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Arial"/>
          <w:color w:val="000000"/>
          <w:sz w:val="24"/>
        </w:rPr>
      </w:pPr>
    </w:p>
    <w:p>
      <w:pPr>
        <w:spacing w:line="360" w:lineRule="auto"/>
        <w:jc w:val="center"/>
        <w:outlineLvl w:val="3"/>
        <w:rPr>
          <w:rFonts w:hAnsi="黑体" w:eastAsia="黑体"/>
          <w:color w:val="000000"/>
          <w:sz w:val="28"/>
          <w:szCs w:val="28"/>
        </w:rPr>
      </w:pPr>
      <w:r>
        <w:rPr>
          <w:rFonts w:hAnsi="黑体" w:eastAsia="黑体"/>
          <w:color w:val="000000"/>
          <w:sz w:val="28"/>
          <w:szCs w:val="28"/>
        </w:rPr>
        <w:t>附录3  资格</w:t>
      </w:r>
      <w:r>
        <w:rPr>
          <w:rFonts w:hint="eastAsia" w:hAnsi="黑体" w:eastAsia="黑体"/>
          <w:color w:val="000000"/>
          <w:sz w:val="28"/>
          <w:szCs w:val="28"/>
        </w:rPr>
        <w:t>审查</w:t>
      </w:r>
      <w:r>
        <w:rPr>
          <w:rFonts w:hAnsi="黑体" w:eastAsia="黑体"/>
          <w:color w:val="000000"/>
          <w:sz w:val="28"/>
          <w:szCs w:val="28"/>
        </w:rPr>
        <w:t>条件（业绩最低要求）</w:t>
      </w:r>
    </w:p>
    <w:tbl>
      <w:tblPr>
        <w:tblStyle w:val="3"/>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96" w:type="dxa"/>
            <w:vAlign w:val="center"/>
          </w:tcPr>
          <w:p>
            <w:pPr>
              <w:spacing w:line="360" w:lineRule="auto"/>
              <w:jc w:val="center"/>
              <w:rPr>
                <w:rFonts w:ascii="Arial" w:hAnsi="Arial" w:eastAsia="黑体" w:cs="Arial"/>
                <w:color w:val="000000"/>
                <w:sz w:val="24"/>
              </w:rPr>
            </w:pPr>
            <w:r>
              <w:rPr>
                <w:rFonts w:hint="eastAsia" w:ascii="Arial" w:hAnsi="Arial" w:eastAsia="黑体" w:cs="Arial"/>
                <w:color w:val="000000"/>
                <w:sz w:val="24"/>
              </w:rPr>
              <w:t>业</w:t>
            </w:r>
            <w:r>
              <w:rPr>
                <w:rFonts w:ascii="Arial" w:hAnsi="Arial" w:eastAsia="黑体" w:cs="Arial"/>
                <w:color w:val="000000"/>
                <w:sz w:val="24"/>
              </w:rPr>
              <w:t xml:space="preserve"> </w:t>
            </w:r>
            <w:r>
              <w:rPr>
                <w:rFonts w:hint="eastAsia" w:ascii="Arial" w:hAnsi="Arial" w:eastAsia="黑体" w:cs="Arial"/>
                <w:color w:val="000000"/>
                <w:sz w:val="24"/>
              </w:rPr>
              <w:t>绩</w:t>
            </w:r>
            <w:r>
              <w:rPr>
                <w:rFonts w:ascii="Arial" w:hAnsi="Arial" w:eastAsia="黑体" w:cs="Arial"/>
                <w:color w:val="000000"/>
                <w:sz w:val="24"/>
              </w:rPr>
              <w:t xml:space="preserve"> </w:t>
            </w:r>
            <w:r>
              <w:rPr>
                <w:rFonts w:hint="eastAsia" w:ascii="Arial" w:hAnsi="Arial" w:eastAsia="黑体" w:cs="Arial"/>
                <w:color w:val="000000"/>
                <w:sz w:val="24"/>
              </w:rPr>
              <w:t>要</w:t>
            </w:r>
            <w:r>
              <w:rPr>
                <w:rFonts w:ascii="Arial" w:hAnsi="Arial" w:eastAsia="黑体" w:cs="Arial"/>
                <w:color w:val="000000"/>
                <w:sz w:val="24"/>
              </w:rPr>
              <w:t xml:space="preserve"> </w:t>
            </w:r>
            <w:r>
              <w:rPr>
                <w:rFonts w:hint="eastAsia" w:ascii="Arial" w:hAnsi="Arial" w:eastAsia="黑体" w:cs="Arial"/>
                <w:color w:val="000000"/>
                <w:sz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296" w:type="dxa"/>
          </w:tcPr>
          <w:p>
            <w:pPr>
              <w:spacing w:line="360" w:lineRule="auto"/>
              <w:rPr>
                <w:snapToGrid w:val="0"/>
                <w:color w:val="000000"/>
                <w:kern w:val="0"/>
                <w:sz w:val="24"/>
              </w:rPr>
            </w:pPr>
            <w:r>
              <w:rPr>
                <w:snapToGrid w:val="0"/>
                <w:color w:val="000000"/>
                <w:kern w:val="0"/>
                <w:sz w:val="24"/>
              </w:rPr>
              <w:t>投标人需同时满足</w:t>
            </w:r>
            <w:r>
              <w:rPr>
                <w:rFonts w:hint="eastAsia"/>
                <w:snapToGrid w:val="0"/>
                <w:color w:val="000000"/>
                <w:kern w:val="0"/>
                <w:sz w:val="24"/>
              </w:rPr>
              <w:t>：</w:t>
            </w:r>
          </w:p>
          <w:p>
            <w:pPr>
              <w:spacing w:line="360" w:lineRule="auto"/>
              <w:rPr>
                <w:rFonts w:hAnsi="宋体"/>
                <w:color w:val="000000"/>
                <w:sz w:val="24"/>
              </w:rPr>
            </w:pPr>
            <w:r>
              <w:rPr>
                <w:rFonts w:hAnsi="宋体"/>
                <w:color w:val="000000"/>
                <w:sz w:val="24"/>
              </w:rPr>
              <w:t xml:space="preserve">1. </w:t>
            </w:r>
            <w:r>
              <w:rPr>
                <w:rFonts w:hint="eastAsia" w:hAnsi="宋体"/>
                <w:color w:val="000000"/>
                <w:sz w:val="24"/>
              </w:rPr>
              <w:t>近5年，至少</w:t>
            </w:r>
            <w:r>
              <w:rPr>
                <w:rFonts w:hAnsi="宋体"/>
                <w:color w:val="000000"/>
                <w:sz w:val="24"/>
              </w:rPr>
              <w:t>独立完成过1</w:t>
            </w:r>
            <w:r>
              <w:rPr>
                <w:rFonts w:hint="eastAsia" w:hAnsi="宋体"/>
                <w:color w:val="000000"/>
                <w:sz w:val="24"/>
              </w:rPr>
              <w:t>个单个合同里程1</w:t>
            </w:r>
            <w:r>
              <w:rPr>
                <w:rFonts w:hAnsi="宋体"/>
                <w:color w:val="000000"/>
                <w:sz w:val="24"/>
              </w:rPr>
              <w:t>0km及以上</w:t>
            </w:r>
            <w:r>
              <w:rPr>
                <w:rFonts w:hint="eastAsia" w:hAnsi="宋体"/>
                <w:color w:val="000000"/>
                <w:sz w:val="24"/>
              </w:rPr>
              <w:t>的一级或以上等级新建或改扩建公路工程施工业绩。</w:t>
            </w:r>
          </w:p>
          <w:p>
            <w:pPr>
              <w:spacing w:line="360" w:lineRule="auto"/>
              <w:rPr>
                <w:color w:val="000000"/>
                <w:sz w:val="24"/>
              </w:rPr>
            </w:pPr>
            <w:r>
              <w:rPr>
                <w:rFonts w:hAnsi="宋体"/>
                <w:color w:val="000000"/>
                <w:sz w:val="24"/>
              </w:rPr>
              <w:t xml:space="preserve">2. </w:t>
            </w:r>
            <w:r>
              <w:rPr>
                <w:rFonts w:hint="eastAsia" w:hAnsi="宋体"/>
                <w:color w:val="000000"/>
                <w:sz w:val="24"/>
              </w:rPr>
              <w:t>近5年，至少独立完成过</w:t>
            </w:r>
            <w:r>
              <w:rPr>
                <w:rFonts w:hAnsi="宋体"/>
                <w:color w:val="000000"/>
                <w:sz w:val="24"/>
              </w:rPr>
              <w:t>1</w:t>
            </w:r>
            <w:r>
              <w:rPr>
                <w:rFonts w:hint="eastAsia" w:hAnsi="宋体"/>
                <w:color w:val="000000"/>
                <w:sz w:val="24"/>
              </w:rPr>
              <w:t>座特大桥施工业绩。</w:t>
            </w:r>
          </w:p>
        </w:tc>
      </w:tr>
    </w:tbl>
    <w:p>
      <w:pPr>
        <w:adjustRightInd w:val="0"/>
        <w:snapToGrid w:val="0"/>
        <w:spacing w:line="400" w:lineRule="atLeast"/>
        <w:rPr>
          <w:rFonts w:eastAsia="黑体"/>
          <w:color w:val="000000"/>
          <w:szCs w:val="21"/>
        </w:rPr>
      </w:pPr>
      <w:r>
        <w:rPr>
          <w:rFonts w:hint="eastAsia" w:eastAsia="黑体"/>
          <w:color w:val="000000"/>
          <w:szCs w:val="21"/>
        </w:rPr>
        <w:t>注：</w:t>
      </w:r>
      <w:r>
        <w:rPr>
          <w:rFonts w:eastAsia="黑体"/>
          <w:color w:val="000000"/>
          <w:szCs w:val="21"/>
        </w:rPr>
        <w:t>1.</w:t>
      </w:r>
      <w:r>
        <w:rPr>
          <w:rFonts w:hint="eastAsia" w:eastAsia="黑体"/>
          <w:color w:val="000000"/>
          <w:szCs w:val="21"/>
        </w:rPr>
        <w:t>“完成过”是指项目已通过交工或竣工验收，质量评定为合格及以上。</w:t>
      </w:r>
    </w:p>
    <w:p>
      <w:pPr>
        <w:adjustRightInd w:val="0"/>
        <w:snapToGrid w:val="0"/>
        <w:spacing w:line="400" w:lineRule="atLeast"/>
        <w:ind w:firstLine="424" w:firstLineChars="202"/>
        <w:rPr>
          <w:rFonts w:eastAsia="黑体"/>
          <w:color w:val="000000"/>
          <w:szCs w:val="21"/>
        </w:rPr>
      </w:pPr>
      <w:r>
        <w:rPr>
          <w:rFonts w:hint="eastAsia" w:eastAsia="黑体"/>
          <w:color w:val="000000"/>
          <w:szCs w:val="21"/>
        </w:rPr>
        <w:t>2</w:t>
      </w:r>
      <w:r>
        <w:rPr>
          <w:rFonts w:eastAsia="黑体"/>
          <w:color w:val="000000"/>
          <w:szCs w:val="21"/>
        </w:rPr>
        <w:t>.近</w:t>
      </w:r>
      <w:r>
        <w:rPr>
          <w:rFonts w:hint="eastAsia" w:eastAsia="黑体"/>
          <w:color w:val="000000"/>
          <w:szCs w:val="21"/>
        </w:rPr>
        <w:t>5年的施工业绩指自2013年1月1日至投标截止时间内通过交工验收或竣工验收的项目业绩。</w:t>
      </w:r>
    </w:p>
    <w:p>
      <w:pPr>
        <w:adjustRightInd w:val="0"/>
        <w:snapToGrid w:val="0"/>
        <w:spacing w:line="400" w:lineRule="atLeast"/>
        <w:ind w:firstLine="424" w:firstLineChars="202"/>
        <w:rPr>
          <w:rFonts w:eastAsia="黑体"/>
          <w:color w:val="000000"/>
          <w:szCs w:val="21"/>
        </w:rPr>
      </w:pPr>
      <w:r>
        <w:rPr>
          <w:rFonts w:eastAsia="黑体"/>
          <w:color w:val="000000"/>
          <w:szCs w:val="21"/>
        </w:rPr>
        <w:t xml:space="preserve">3. </w:t>
      </w:r>
      <w:r>
        <w:rPr>
          <w:rFonts w:hint="eastAsia" w:eastAsia="黑体"/>
          <w:color w:val="000000"/>
          <w:szCs w:val="21"/>
        </w:rPr>
        <w:t>投标人应出示中标通知书或合同协议书、由发包人出具的工程（标段）交工验收证书或业主证明或竣工验收委员会出具的工程竣工验收鉴定书或质量监督机构对各参建单位签发的工作综合评价等级证书的复印件等证明材料，否则，业绩不予认定。</w:t>
      </w:r>
    </w:p>
    <w:p>
      <w:pPr>
        <w:adjustRightInd w:val="0"/>
        <w:snapToGrid w:val="0"/>
        <w:spacing w:line="400" w:lineRule="atLeast"/>
        <w:ind w:firstLine="424" w:firstLineChars="202"/>
        <w:rPr>
          <w:rFonts w:eastAsia="黑体"/>
          <w:color w:val="000000"/>
          <w:szCs w:val="21"/>
        </w:rPr>
      </w:pPr>
      <w:r>
        <w:rPr>
          <w:rFonts w:eastAsia="黑体"/>
          <w:color w:val="000000"/>
          <w:szCs w:val="21"/>
        </w:rPr>
        <w:t xml:space="preserve">4. </w:t>
      </w:r>
      <w:r>
        <w:rPr>
          <w:rFonts w:hint="eastAsia" w:eastAsia="黑体"/>
          <w:color w:val="000000"/>
          <w:szCs w:val="21"/>
        </w:rPr>
        <w:t>一个合同中包含多项业绩内容可分别计算，但母子公司的施工业绩不能相互使用。</w:t>
      </w:r>
    </w:p>
    <w:p>
      <w:pPr>
        <w:jc w:val="center"/>
        <w:rPr>
          <w:rFonts w:hAnsi="黑体" w:eastAsia="黑体"/>
          <w:color w:val="000000"/>
        </w:rPr>
      </w:pPr>
    </w:p>
    <w:p>
      <w:pPr>
        <w:jc w:val="center"/>
        <w:rPr>
          <w:rFonts w:hAnsi="黑体" w:eastAsia="黑体"/>
          <w:color w:val="00000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7643C"/>
    <w:rsid w:val="145A6C3D"/>
    <w:rsid w:val="14646E80"/>
    <w:rsid w:val="35D60ABD"/>
    <w:rsid w:val="6D535020"/>
    <w:rsid w:val="6DB7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2018-07-18T06:59:00Z</dcterms:created>
  <dc:creator>Owner</dc:creator>
  <cp:lastModifiedBy>Owner</cp:lastModifiedBy>
  <dcterms:modified xsi:type="dcterms:W3CDTF">2018-07-18T07:03:25Z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