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outlineLvl w:val="1"/>
        <w:rPr>
          <w:b/>
          <w:color w:val="000000"/>
          <w:sz w:val="32"/>
          <w:szCs w:val="36"/>
        </w:rPr>
      </w:pPr>
    </w:p>
    <w:p>
      <w:pPr>
        <w:spacing w:line="440" w:lineRule="exact"/>
        <w:jc w:val="center"/>
        <w:rPr>
          <w:b/>
          <w:color w:val="000000"/>
          <w:sz w:val="36"/>
          <w:szCs w:val="36"/>
        </w:rPr>
      </w:pPr>
      <w:r>
        <w:rPr>
          <w:rFonts w:hint="eastAsia"/>
          <w:b/>
          <w:color w:val="000000"/>
          <w:sz w:val="28"/>
          <w:szCs w:val="36"/>
        </w:rPr>
        <w:t>评标办法（单信封综合评分法）</w:t>
      </w:r>
    </w:p>
    <w:p>
      <w:pPr>
        <w:rPr>
          <w:rFonts w:ascii="黑体" w:hAnsi="黑体" w:eastAsia="黑体"/>
          <w:color w:val="000000"/>
          <w:sz w:val="24"/>
        </w:rPr>
      </w:pPr>
      <w:r>
        <w:rPr>
          <w:rFonts w:hint="eastAsia" w:ascii="黑体" w:hAnsi="黑体" w:eastAsia="黑体"/>
          <w:color w:val="000000"/>
          <w:sz w:val="24"/>
        </w:rPr>
        <w:t>评标办法前附表</w:t>
      </w:r>
    </w:p>
    <w:tbl>
      <w:tblPr>
        <w:tblStyle w:val="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1"/>
        <w:gridCol w:w="1248"/>
        <w:gridCol w:w="304"/>
        <w:gridCol w:w="991"/>
        <w:gridCol w:w="1077"/>
        <w:gridCol w:w="712"/>
        <w:gridCol w:w="2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11" w:type="dxa"/>
            <w:vAlign w:val="center"/>
          </w:tcPr>
          <w:p>
            <w:pPr>
              <w:spacing w:line="440" w:lineRule="atLeast"/>
              <w:jc w:val="center"/>
              <w:rPr>
                <w:rFonts w:ascii="黑体" w:hAnsi="黑体" w:eastAsia="黑体"/>
                <w:color w:val="000000"/>
                <w:sz w:val="24"/>
              </w:rPr>
            </w:pPr>
            <w:r>
              <w:rPr>
                <w:rFonts w:ascii="黑体" w:hAnsi="黑体" w:eastAsia="黑体"/>
                <w:color w:val="000000"/>
                <w:sz w:val="24"/>
              </w:rPr>
              <w:t>条款号</w:t>
            </w:r>
          </w:p>
        </w:tc>
        <w:tc>
          <w:tcPr>
            <w:tcW w:w="1248" w:type="dxa"/>
            <w:vAlign w:val="center"/>
          </w:tcPr>
          <w:p>
            <w:pPr>
              <w:spacing w:line="440" w:lineRule="atLeast"/>
              <w:jc w:val="center"/>
              <w:rPr>
                <w:rFonts w:ascii="黑体" w:hAnsi="黑体" w:eastAsia="黑体"/>
                <w:color w:val="000000"/>
                <w:sz w:val="24"/>
              </w:rPr>
            </w:pPr>
            <w:r>
              <w:rPr>
                <w:rFonts w:ascii="黑体" w:hAnsi="黑体" w:eastAsia="黑体"/>
                <w:color w:val="000000"/>
                <w:sz w:val="24"/>
              </w:rPr>
              <w:t>条款名称</w:t>
            </w:r>
          </w:p>
        </w:tc>
        <w:tc>
          <w:tcPr>
            <w:tcW w:w="5737" w:type="dxa"/>
            <w:gridSpan w:val="5"/>
            <w:vAlign w:val="center"/>
          </w:tcPr>
          <w:p>
            <w:pPr>
              <w:spacing w:line="440" w:lineRule="atLeast"/>
              <w:jc w:val="center"/>
              <w:rPr>
                <w:rFonts w:ascii="黑体" w:hAnsi="黑体" w:eastAsia="黑体"/>
                <w:color w:val="000000"/>
                <w:sz w:val="24"/>
              </w:rPr>
            </w:pPr>
            <w:r>
              <w:rPr>
                <w:rFonts w:ascii="黑体" w:hAnsi="黑体" w:eastAsia="黑体"/>
                <w:color w:val="000000"/>
                <w:sz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11" w:type="dxa"/>
            <w:vAlign w:val="center"/>
          </w:tcPr>
          <w:p>
            <w:pPr>
              <w:spacing w:line="440" w:lineRule="atLeast"/>
              <w:jc w:val="center"/>
              <w:rPr>
                <w:rFonts w:hAnsi="宋体"/>
                <w:color w:val="000000"/>
                <w:sz w:val="24"/>
              </w:rPr>
            </w:pPr>
            <w:r>
              <w:rPr>
                <w:rFonts w:hAnsi="宋体"/>
                <w:color w:val="000000"/>
                <w:sz w:val="24"/>
              </w:rPr>
              <w:t>2</w:t>
            </w:r>
          </w:p>
        </w:tc>
        <w:tc>
          <w:tcPr>
            <w:tcW w:w="6985" w:type="dxa"/>
            <w:gridSpan w:val="6"/>
            <w:vAlign w:val="center"/>
          </w:tcPr>
          <w:p>
            <w:pPr>
              <w:spacing w:line="440" w:lineRule="atLeast"/>
              <w:jc w:val="center"/>
              <w:rPr>
                <w:rFonts w:hAnsi="宋体"/>
                <w:color w:val="000000"/>
                <w:sz w:val="24"/>
              </w:rPr>
            </w:pPr>
            <w:r>
              <w:rPr>
                <w:rFonts w:hint="eastAsia"/>
                <w:color w:val="000000"/>
              </w:rPr>
              <w:t>审查因素与标准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11" w:type="dxa"/>
            <w:vAlign w:val="center"/>
          </w:tcPr>
          <w:p>
            <w:pPr>
              <w:spacing w:line="440" w:lineRule="atLeast"/>
              <w:jc w:val="center"/>
              <w:rPr>
                <w:color w:val="000000"/>
              </w:rPr>
            </w:pPr>
            <w:r>
              <w:rPr>
                <w:color w:val="000000"/>
              </w:rPr>
              <w:t>2.1.1</w:t>
            </w:r>
          </w:p>
        </w:tc>
        <w:tc>
          <w:tcPr>
            <w:tcW w:w="1248" w:type="dxa"/>
            <w:vAlign w:val="center"/>
          </w:tcPr>
          <w:p>
            <w:pPr>
              <w:spacing w:line="440" w:lineRule="atLeast"/>
              <w:jc w:val="center"/>
              <w:rPr>
                <w:color w:val="000000"/>
              </w:rPr>
            </w:pPr>
            <w:r>
              <w:rPr>
                <w:rFonts w:hint="eastAsia"/>
                <w:color w:val="000000"/>
              </w:rPr>
              <w:t>资格评审标准</w:t>
            </w:r>
          </w:p>
        </w:tc>
        <w:tc>
          <w:tcPr>
            <w:tcW w:w="5737" w:type="dxa"/>
            <w:gridSpan w:val="5"/>
            <w:vAlign w:val="center"/>
          </w:tcPr>
          <w:p>
            <w:pPr>
              <w:spacing w:line="440" w:lineRule="atLeast"/>
              <w:rPr>
                <w:color w:val="000000"/>
                <w:kern w:val="0"/>
              </w:rPr>
            </w:pPr>
            <w:r>
              <w:rPr>
                <w:color w:val="000000"/>
                <w:kern w:val="0"/>
              </w:rPr>
              <w:t xml:space="preserve">(1) </w:t>
            </w:r>
            <w:r>
              <w:rPr>
                <w:rFonts w:hint="eastAsia"/>
                <w:color w:val="000000"/>
                <w:kern w:val="0"/>
              </w:rPr>
              <w:t>投标人具备有效的营业执照、资质证书、安全生产许可证和基本账户开户许可证等；</w:t>
            </w:r>
          </w:p>
          <w:p>
            <w:pPr>
              <w:spacing w:line="440" w:lineRule="atLeast"/>
              <w:rPr>
                <w:color w:val="000000"/>
                <w:kern w:val="0"/>
              </w:rPr>
            </w:pPr>
            <w:r>
              <w:rPr>
                <w:color w:val="000000"/>
                <w:kern w:val="0"/>
              </w:rPr>
              <w:t xml:space="preserve">(2) </w:t>
            </w:r>
            <w:r>
              <w:rPr>
                <w:rFonts w:hint="eastAsia"/>
                <w:color w:val="000000"/>
                <w:kern w:val="0"/>
              </w:rPr>
              <w:t>投标人的资质等级符合第二章</w:t>
            </w:r>
            <w:r>
              <w:rPr>
                <w:rFonts w:ascii="宋体" w:hAnsi="宋体"/>
                <w:color w:val="000000"/>
                <w:kern w:val="0"/>
              </w:rPr>
              <w:t>“投标人须知”</w:t>
            </w:r>
            <w:r>
              <w:rPr>
                <w:color w:val="000000"/>
                <w:kern w:val="0"/>
              </w:rPr>
              <w:t>第</w:t>
            </w:r>
            <w:r>
              <w:rPr>
                <w:rFonts w:hint="eastAsia"/>
                <w:color w:val="000000"/>
                <w:kern w:val="0"/>
              </w:rPr>
              <w:t>1.4.1项的规定；</w:t>
            </w:r>
          </w:p>
          <w:p>
            <w:pPr>
              <w:spacing w:line="440" w:lineRule="atLeast"/>
              <w:rPr>
                <w:color w:val="000000"/>
                <w:kern w:val="0"/>
              </w:rPr>
            </w:pPr>
            <w:r>
              <w:rPr>
                <w:color w:val="000000"/>
                <w:kern w:val="0"/>
              </w:rPr>
              <w:t xml:space="preserve">(3) </w:t>
            </w:r>
            <w:r>
              <w:rPr>
                <w:rFonts w:hint="eastAsia"/>
                <w:color w:val="000000"/>
                <w:kern w:val="0"/>
              </w:rPr>
              <w:t>投标人的财务状况符合第二章</w:t>
            </w:r>
            <w:r>
              <w:rPr>
                <w:rFonts w:ascii="宋体" w:hAnsi="宋体"/>
                <w:color w:val="000000"/>
                <w:kern w:val="0"/>
              </w:rPr>
              <w:t>“投标人须知”</w:t>
            </w:r>
            <w:r>
              <w:rPr>
                <w:color w:val="000000"/>
                <w:kern w:val="0"/>
              </w:rPr>
              <w:t>第</w:t>
            </w:r>
            <w:r>
              <w:rPr>
                <w:rFonts w:hint="eastAsia"/>
                <w:color w:val="000000"/>
                <w:kern w:val="0"/>
              </w:rPr>
              <w:t>1.4.1项的规定；</w:t>
            </w:r>
          </w:p>
          <w:p>
            <w:pPr>
              <w:spacing w:line="440" w:lineRule="atLeast"/>
              <w:rPr>
                <w:color w:val="000000"/>
                <w:kern w:val="0"/>
              </w:rPr>
            </w:pPr>
            <w:r>
              <w:rPr>
                <w:color w:val="000000"/>
                <w:kern w:val="0"/>
              </w:rPr>
              <w:t xml:space="preserve">(4) </w:t>
            </w:r>
            <w:r>
              <w:rPr>
                <w:rFonts w:hint="eastAsia"/>
                <w:color w:val="000000"/>
                <w:kern w:val="0"/>
              </w:rPr>
              <w:t>投标人的项目业绩符合第二章</w:t>
            </w:r>
            <w:r>
              <w:rPr>
                <w:rFonts w:ascii="宋体" w:hAnsi="宋体"/>
                <w:color w:val="000000"/>
                <w:kern w:val="0"/>
              </w:rPr>
              <w:t>“投标人须知”</w:t>
            </w:r>
            <w:r>
              <w:rPr>
                <w:color w:val="000000"/>
                <w:kern w:val="0"/>
              </w:rPr>
              <w:t>第</w:t>
            </w:r>
            <w:r>
              <w:rPr>
                <w:rFonts w:hint="eastAsia"/>
                <w:color w:val="000000"/>
                <w:kern w:val="0"/>
              </w:rPr>
              <w:t>1.4.1项的规定；</w:t>
            </w:r>
          </w:p>
          <w:p>
            <w:pPr>
              <w:spacing w:line="440" w:lineRule="atLeast"/>
              <w:rPr>
                <w:color w:val="000000"/>
                <w:kern w:val="0"/>
              </w:rPr>
            </w:pPr>
            <w:r>
              <w:rPr>
                <w:color w:val="000000"/>
                <w:kern w:val="0"/>
              </w:rPr>
              <w:t xml:space="preserve">(5) </w:t>
            </w:r>
            <w:r>
              <w:rPr>
                <w:rFonts w:hint="eastAsia"/>
                <w:color w:val="000000"/>
                <w:kern w:val="0"/>
              </w:rPr>
              <w:t>投标人的信誉符合第二章</w:t>
            </w:r>
            <w:r>
              <w:rPr>
                <w:rFonts w:ascii="宋体" w:hAnsi="宋体"/>
                <w:color w:val="000000"/>
                <w:kern w:val="0"/>
              </w:rPr>
              <w:t>“投标人须知”</w:t>
            </w:r>
            <w:r>
              <w:rPr>
                <w:color w:val="000000"/>
                <w:kern w:val="0"/>
              </w:rPr>
              <w:t>第</w:t>
            </w:r>
            <w:r>
              <w:rPr>
                <w:rFonts w:hint="eastAsia"/>
                <w:color w:val="000000"/>
                <w:kern w:val="0"/>
              </w:rPr>
              <w:t>1.4.1项的规定；</w:t>
            </w:r>
          </w:p>
          <w:p>
            <w:pPr>
              <w:spacing w:line="440" w:lineRule="atLeast"/>
              <w:rPr>
                <w:color w:val="000000"/>
                <w:kern w:val="0"/>
              </w:rPr>
            </w:pPr>
            <w:r>
              <w:rPr>
                <w:color w:val="000000"/>
                <w:kern w:val="0"/>
              </w:rPr>
              <w:t xml:space="preserve">(6) </w:t>
            </w:r>
            <w:r>
              <w:rPr>
                <w:rFonts w:hint="eastAsia"/>
                <w:color w:val="000000"/>
                <w:kern w:val="0"/>
              </w:rPr>
              <w:t>投标人的主要管理人员资格符合第二章</w:t>
            </w:r>
            <w:r>
              <w:rPr>
                <w:rFonts w:ascii="宋体" w:hAnsi="宋体"/>
                <w:color w:val="000000"/>
                <w:kern w:val="0"/>
              </w:rPr>
              <w:t>“投标人须知”</w:t>
            </w:r>
            <w:r>
              <w:rPr>
                <w:color w:val="000000"/>
                <w:kern w:val="0"/>
              </w:rPr>
              <w:t>第</w:t>
            </w:r>
            <w:r>
              <w:rPr>
                <w:rFonts w:hint="eastAsia"/>
                <w:color w:val="000000"/>
                <w:kern w:val="0"/>
              </w:rPr>
              <w:t>1.4.1项的规定；</w:t>
            </w:r>
          </w:p>
          <w:p>
            <w:pPr>
              <w:spacing w:line="440" w:lineRule="atLeast"/>
              <w:rPr>
                <w:color w:val="000000"/>
                <w:kern w:val="0"/>
              </w:rPr>
            </w:pPr>
            <w:r>
              <w:rPr>
                <w:rFonts w:hAnsi="宋体"/>
                <w:color w:val="000000"/>
              </w:rPr>
              <w:t xml:space="preserve">(7) </w:t>
            </w:r>
            <w:r>
              <w:rPr>
                <w:rFonts w:hint="eastAsia"/>
                <w:color w:val="000000"/>
                <w:kern w:val="0"/>
              </w:rPr>
              <w:t>投标人未存在招标公告第</w:t>
            </w:r>
            <w:r>
              <w:rPr>
                <w:color w:val="000000"/>
                <w:kern w:val="0"/>
              </w:rPr>
              <w:t>3.3</w:t>
            </w:r>
            <w:r>
              <w:rPr>
                <w:rFonts w:hint="eastAsia"/>
                <w:color w:val="000000"/>
                <w:kern w:val="0"/>
              </w:rPr>
              <w:t>、</w:t>
            </w:r>
            <w:r>
              <w:rPr>
                <w:color w:val="000000"/>
                <w:kern w:val="0"/>
              </w:rPr>
              <w:t>3.4</w:t>
            </w:r>
            <w:r>
              <w:rPr>
                <w:rFonts w:hint="eastAsia"/>
                <w:color w:val="000000"/>
                <w:kern w:val="0"/>
              </w:rPr>
              <w:t>、</w:t>
            </w:r>
            <w:r>
              <w:rPr>
                <w:color w:val="000000"/>
                <w:kern w:val="0"/>
              </w:rPr>
              <w:t>3.5</w:t>
            </w:r>
            <w:r>
              <w:rPr>
                <w:rFonts w:hint="eastAsia"/>
                <w:color w:val="000000"/>
                <w:kern w:val="0"/>
              </w:rPr>
              <w:t>项规定的情形</w:t>
            </w:r>
            <w:r>
              <w:rPr>
                <w:rFonts w:hint="eastAsia" w:hAnsi="宋体"/>
                <w:color w:val="000000"/>
              </w:rPr>
              <w:t>；</w:t>
            </w:r>
          </w:p>
          <w:p>
            <w:pPr>
              <w:spacing w:line="440" w:lineRule="atLeast"/>
              <w:rPr>
                <w:rFonts w:hAnsi="宋体"/>
                <w:color w:val="000000"/>
              </w:rPr>
            </w:pPr>
            <w:r>
              <w:rPr>
                <w:color w:val="000000"/>
                <w:kern w:val="0"/>
              </w:rPr>
              <w:t xml:space="preserve">(8) </w:t>
            </w:r>
            <w:r>
              <w:rPr>
                <w:rFonts w:hint="eastAsia"/>
                <w:color w:val="000000"/>
                <w:kern w:val="0"/>
              </w:rPr>
              <w:t>投标人不存在第二</w:t>
            </w:r>
            <w:r>
              <w:rPr>
                <w:rFonts w:ascii="宋体" w:hAnsi="宋体"/>
                <w:color w:val="000000"/>
                <w:kern w:val="0"/>
              </w:rPr>
              <w:t>章“</w:t>
            </w:r>
            <w:r>
              <w:rPr>
                <w:rFonts w:hint="eastAsia" w:ascii="宋体" w:hAnsi="宋体"/>
                <w:color w:val="000000"/>
                <w:kern w:val="0"/>
              </w:rPr>
              <w:t>投标</w:t>
            </w:r>
            <w:r>
              <w:rPr>
                <w:rFonts w:ascii="宋体" w:hAnsi="宋体"/>
                <w:color w:val="000000"/>
                <w:kern w:val="0"/>
              </w:rPr>
              <w:t>须知”第</w:t>
            </w:r>
            <w:r>
              <w:rPr>
                <w:color w:val="000000"/>
                <w:kern w:val="0"/>
              </w:rPr>
              <w:t>1.4.3</w:t>
            </w:r>
            <w:r>
              <w:rPr>
                <w:rFonts w:hint="eastAsia"/>
                <w:color w:val="000000"/>
                <w:kern w:val="0"/>
              </w:rPr>
              <w:t>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9" w:hRule="atLeast"/>
        </w:trPr>
        <w:tc>
          <w:tcPr>
            <w:tcW w:w="1311" w:type="dxa"/>
            <w:vAlign w:val="center"/>
          </w:tcPr>
          <w:p>
            <w:pPr>
              <w:spacing w:line="440" w:lineRule="atLeast"/>
              <w:jc w:val="center"/>
              <w:rPr>
                <w:color w:val="000000"/>
              </w:rPr>
            </w:pPr>
            <w:r>
              <w:rPr>
                <w:color w:val="000000"/>
              </w:rPr>
              <w:t>2.1.2</w:t>
            </w:r>
            <w:r>
              <w:rPr>
                <w:rFonts w:hint="eastAsia"/>
                <w:color w:val="000000"/>
              </w:rPr>
              <w:t>、</w:t>
            </w:r>
            <w:r>
              <w:rPr>
                <w:color w:val="000000"/>
              </w:rPr>
              <w:t>2.1.3</w:t>
            </w:r>
          </w:p>
        </w:tc>
        <w:tc>
          <w:tcPr>
            <w:tcW w:w="1248" w:type="dxa"/>
            <w:vAlign w:val="center"/>
          </w:tcPr>
          <w:p>
            <w:pPr>
              <w:spacing w:line="440" w:lineRule="atLeast"/>
              <w:jc w:val="center"/>
              <w:rPr>
                <w:color w:val="000000"/>
              </w:rPr>
            </w:pPr>
            <w:r>
              <w:rPr>
                <w:rFonts w:hint="eastAsia"/>
                <w:color w:val="000000"/>
              </w:rPr>
              <w:t>形式评审与响应性评审标准</w:t>
            </w:r>
          </w:p>
        </w:tc>
        <w:tc>
          <w:tcPr>
            <w:tcW w:w="5737" w:type="dxa"/>
            <w:gridSpan w:val="5"/>
            <w:vAlign w:val="center"/>
          </w:tcPr>
          <w:p>
            <w:pPr>
              <w:spacing w:line="440" w:lineRule="atLeast"/>
              <w:rPr>
                <w:color w:val="000000"/>
                <w:kern w:val="0"/>
              </w:rPr>
            </w:pPr>
            <w:r>
              <w:rPr>
                <w:rFonts w:hint="eastAsia"/>
                <w:color w:val="000000"/>
                <w:kern w:val="0"/>
              </w:rPr>
              <w:t>（</w:t>
            </w:r>
            <w:r>
              <w:rPr>
                <w:color w:val="000000"/>
                <w:kern w:val="0"/>
              </w:rPr>
              <w:t>1</w:t>
            </w:r>
            <w:r>
              <w:rPr>
                <w:rFonts w:hint="eastAsia"/>
                <w:color w:val="000000"/>
                <w:kern w:val="0"/>
              </w:rPr>
              <w:t>）投标文件按照招标文件规定的格式、内容填写，字迹清晰可辨；</w:t>
            </w:r>
          </w:p>
          <w:p>
            <w:pPr>
              <w:spacing w:line="440" w:lineRule="atLeast"/>
              <w:rPr>
                <w:color w:val="000000"/>
                <w:kern w:val="0"/>
              </w:rPr>
            </w:pPr>
            <w:r>
              <w:rPr>
                <w:rFonts w:hint="eastAsia"/>
                <w:color w:val="000000"/>
                <w:kern w:val="0"/>
              </w:rPr>
              <w:t>（</w:t>
            </w:r>
            <w:r>
              <w:rPr>
                <w:color w:val="000000"/>
                <w:kern w:val="0"/>
              </w:rPr>
              <w:t>2</w:t>
            </w:r>
            <w:r>
              <w:rPr>
                <w:rFonts w:hint="eastAsia"/>
                <w:color w:val="000000"/>
                <w:kern w:val="0"/>
              </w:rPr>
              <w:t>）投标文件上法定代表或其授权代理人的签字、投标人的单位章齐全，符合招标文件规定；</w:t>
            </w:r>
          </w:p>
          <w:p>
            <w:pPr>
              <w:spacing w:line="440" w:lineRule="atLeast"/>
              <w:rPr>
                <w:rFonts w:ascii="宋体" w:hAnsi="宋体"/>
                <w:color w:val="000000"/>
                <w:kern w:val="0"/>
              </w:rPr>
            </w:pPr>
            <w:r>
              <w:rPr>
                <w:rFonts w:hint="eastAsia"/>
                <w:color w:val="000000"/>
                <w:kern w:val="0"/>
              </w:rPr>
              <w:t>（</w:t>
            </w:r>
            <w:r>
              <w:rPr>
                <w:color w:val="000000"/>
                <w:kern w:val="0"/>
              </w:rPr>
              <w:t>3</w:t>
            </w:r>
            <w:r>
              <w:rPr>
                <w:rFonts w:hint="eastAsia"/>
                <w:color w:val="000000"/>
                <w:kern w:val="0"/>
              </w:rPr>
              <w:t>）投标人按照第二章“投标人须知”第</w:t>
            </w:r>
            <w:r>
              <w:rPr>
                <w:color w:val="000000"/>
                <w:kern w:val="0"/>
              </w:rPr>
              <w:t>3.4</w:t>
            </w:r>
            <w:r>
              <w:rPr>
                <w:rFonts w:hint="eastAsia"/>
                <w:color w:val="000000"/>
                <w:kern w:val="0"/>
              </w:rPr>
              <w:t>项规定的金额、形式、时间和账户等要求提供了投标保证金</w:t>
            </w:r>
            <w:r>
              <w:rPr>
                <w:rFonts w:ascii="宋体" w:hAnsi="宋体"/>
                <w:color w:val="000000"/>
                <w:kern w:val="0"/>
              </w:rPr>
              <w:t>；</w:t>
            </w:r>
          </w:p>
          <w:p>
            <w:pPr>
              <w:spacing w:line="440" w:lineRule="atLeast"/>
              <w:rPr>
                <w:color w:val="000000"/>
                <w:kern w:val="0"/>
              </w:rPr>
            </w:pPr>
            <w:r>
              <w:rPr>
                <w:rFonts w:hint="eastAsia"/>
                <w:color w:val="000000"/>
                <w:kern w:val="0"/>
              </w:rPr>
              <w:t>（</w:t>
            </w:r>
            <w:r>
              <w:rPr>
                <w:color w:val="000000"/>
                <w:kern w:val="0"/>
              </w:rPr>
              <w:t>4</w:t>
            </w:r>
            <w:r>
              <w:rPr>
                <w:rFonts w:hint="eastAsia"/>
                <w:color w:val="000000"/>
                <w:kern w:val="0"/>
              </w:rPr>
              <w:t>）投标人按照第二章“投标人须知”第</w:t>
            </w:r>
            <w:r>
              <w:rPr>
                <w:color w:val="000000"/>
                <w:kern w:val="0"/>
              </w:rPr>
              <w:t>3.6.3</w:t>
            </w:r>
            <w:r>
              <w:rPr>
                <w:rFonts w:hint="eastAsia"/>
                <w:color w:val="000000"/>
                <w:kern w:val="0"/>
              </w:rPr>
              <w:t>项的规定，提供了法定代表人的授权委托书或法定</w:t>
            </w:r>
            <w:r>
              <w:rPr>
                <w:rFonts w:ascii="宋体" w:hAnsi="宋体"/>
                <w:color w:val="000000"/>
                <w:kern w:val="0"/>
              </w:rPr>
              <w:t>代表人身份证明</w:t>
            </w:r>
            <w:r>
              <w:rPr>
                <w:rFonts w:hint="eastAsia" w:ascii="宋体" w:hAnsi="宋体"/>
                <w:color w:val="000000"/>
                <w:kern w:val="0"/>
              </w:rPr>
              <w:t>，并附有公证机关出具的加盖钢印、单位章并有公证员签名章的公证书，</w:t>
            </w:r>
            <w:r>
              <w:rPr>
                <w:rFonts w:ascii="宋体" w:hAnsi="宋体"/>
                <w:color w:val="000000"/>
                <w:kern w:val="0"/>
              </w:rPr>
              <w:t>钢印清晰可辩</w:t>
            </w:r>
            <w:r>
              <w:rPr>
                <w:rFonts w:hint="eastAsia" w:ascii="宋体" w:hAnsi="宋体"/>
                <w:color w:val="000000"/>
                <w:kern w:val="0"/>
              </w:rPr>
              <w:t>，</w:t>
            </w:r>
            <w:r>
              <w:rPr>
                <w:rFonts w:ascii="宋体" w:hAnsi="宋体"/>
                <w:color w:val="000000"/>
                <w:kern w:val="0"/>
              </w:rPr>
              <w:t>同时公证内容完全满足招标文件规定</w:t>
            </w:r>
            <w:r>
              <w:rPr>
                <w:rFonts w:hint="eastAsia"/>
                <w:color w:val="000000"/>
                <w:kern w:val="0"/>
              </w:rPr>
              <w:t>；</w:t>
            </w:r>
          </w:p>
          <w:p>
            <w:pPr>
              <w:spacing w:line="440" w:lineRule="atLeast"/>
              <w:rPr>
                <w:color w:val="000000"/>
                <w:kern w:val="0"/>
              </w:rPr>
            </w:pPr>
            <w:r>
              <w:rPr>
                <w:rFonts w:hint="eastAsia"/>
                <w:color w:val="000000"/>
                <w:kern w:val="0"/>
              </w:rPr>
              <w:t>（</w:t>
            </w:r>
            <w:r>
              <w:rPr>
                <w:color w:val="000000"/>
                <w:kern w:val="0"/>
              </w:rPr>
              <w:t>5</w:t>
            </w:r>
            <w:r>
              <w:rPr>
                <w:rFonts w:hint="eastAsia"/>
                <w:color w:val="000000"/>
                <w:kern w:val="0"/>
              </w:rPr>
              <w:t>）一份文件应只提交一个投标报价，且报价格式符合招标文件的要求；</w:t>
            </w:r>
          </w:p>
          <w:p>
            <w:pPr>
              <w:spacing w:line="440" w:lineRule="atLeast"/>
              <w:rPr>
                <w:color w:val="000000"/>
                <w:kern w:val="0"/>
              </w:rPr>
            </w:pPr>
            <w:r>
              <w:rPr>
                <w:rFonts w:hint="eastAsia"/>
                <w:color w:val="000000"/>
                <w:kern w:val="0"/>
              </w:rPr>
              <w:t>（</w:t>
            </w:r>
            <w:r>
              <w:rPr>
                <w:color w:val="000000"/>
                <w:kern w:val="0"/>
              </w:rPr>
              <w:t>6</w:t>
            </w:r>
            <w:r>
              <w:rPr>
                <w:rFonts w:hint="eastAsia"/>
                <w:color w:val="000000"/>
                <w:kern w:val="0"/>
              </w:rPr>
              <w:t>）</w:t>
            </w:r>
            <w:r>
              <w:rPr>
                <w:rFonts w:hint="eastAsia"/>
                <w:color w:val="000000"/>
              </w:rPr>
              <w:t>投标人未以联合体方式投标；</w:t>
            </w:r>
          </w:p>
          <w:p>
            <w:pPr>
              <w:spacing w:line="440" w:lineRule="atLeast"/>
              <w:rPr>
                <w:color w:val="000000"/>
                <w:kern w:val="0"/>
              </w:rPr>
            </w:pPr>
            <w:r>
              <w:rPr>
                <w:rFonts w:hint="eastAsia"/>
                <w:color w:val="000000"/>
                <w:kern w:val="0"/>
              </w:rPr>
              <w:t>（</w:t>
            </w:r>
            <w:r>
              <w:rPr>
                <w:color w:val="000000"/>
                <w:kern w:val="0"/>
              </w:rPr>
              <w:t>7</w:t>
            </w:r>
            <w:r>
              <w:rPr>
                <w:rFonts w:hint="eastAsia"/>
                <w:color w:val="000000"/>
                <w:kern w:val="0"/>
              </w:rPr>
              <w:t>）投标人如有分包计划，符合招标文件的规定，并按招标文件第八章“投标文件格式”的要求填写了“拟分包项目情况表”；</w:t>
            </w:r>
          </w:p>
          <w:p>
            <w:pPr>
              <w:spacing w:line="440" w:lineRule="atLeast"/>
              <w:rPr>
                <w:color w:val="000000"/>
                <w:kern w:val="0"/>
              </w:rPr>
            </w:pPr>
            <w:r>
              <w:rPr>
                <w:rFonts w:hint="eastAsia"/>
                <w:color w:val="000000"/>
                <w:kern w:val="0"/>
              </w:rPr>
              <w:t>（</w:t>
            </w:r>
            <w:r>
              <w:rPr>
                <w:color w:val="000000"/>
                <w:kern w:val="0"/>
              </w:rPr>
              <w:t>8</w:t>
            </w:r>
            <w:r>
              <w:rPr>
                <w:rFonts w:hint="eastAsia"/>
                <w:color w:val="000000"/>
                <w:kern w:val="0"/>
              </w:rPr>
              <w:t>）投标文件载明的招标项目完成期限未超过招标文件规定的时限；</w:t>
            </w:r>
          </w:p>
          <w:p>
            <w:pPr>
              <w:spacing w:line="440" w:lineRule="atLeast"/>
              <w:rPr>
                <w:color w:val="000000"/>
                <w:kern w:val="0"/>
              </w:rPr>
            </w:pPr>
            <w:r>
              <w:rPr>
                <w:rFonts w:hint="eastAsia"/>
                <w:color w:val="000000"/>
                <w:kern w:val="0"/>
              </w:rPr>
              <w:t>（</w:t>
            </w:r>
            <w:r>
              <w:rPr>
                <w:color w:val="000000"/>
                <w:kern w:val="0"/>
              </w:rPr>
              <w:t>9</w:t>
            </w:r>
            <w:r>
              <w:rPr>
                <w:rFonts w:hint="eastAsia"/>
                <w:color w:val="000000"/>
                <w:kern w:val="0"/>
              </w:rPr>
              <w:t>）投标文件没有对招标人的权利提出削弱性或限制性要求，没有对投标人的责任和义务提出实质性修改。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7" w:hRule="atLeast"/>
        </w:trPr>
        <w:tc>
          <w:tcPr>
            <w:tcW w:w="1311" w:type="dxa"/>
            <w:vAlign w:val="center"/>
          </w:tcPr>
          <w:p>
            <w:pPr>
              <w:spacing w:line="440" w:lineRule="atLeast"/>
              <w:jc w:val="center"/>
              <w:rPr>
                <w:color w:val="000000"/>
              </w:rPr>
            </w:pPr>
            <w:r>
              <w:rPr>
                <w:color w:val="000000"/>
              </w:rPr>
              <w:t>2.2.1</w:t>
            </w:r>
          </w:p>
        </w:tc>
        <w:tc>
          <w:tcPr>
            <w:tcW w:w="1248" w:type="dxa"/>
            <w:vAlign w:val="center"/>
          </w:tcPr>
          <w:p>
            <w:pPr>
              <w:spacing w:line="440" w:lineRule="atLeast"/>
              <w:rPr>
                <w:color w:val="000000"/>
              </w:rPr>
            </w:pPr>
            <w:r>
              <w:rPr>
                <w:rFonts w:hint="eastAsia"/>
                <w:color w:val="000000"/>
              </w:rPr>
              <w:t>分值构成（总分：</w:t>
            </w:r>
            <w:r>
              <w:rPr>
                <w:color w:val="000000"/>
              </w:rPr>
              <w:t>100</w:t>
            </w:r>
            <w:r>
              <w:rPr>
                <w:rFonts w:hint="eastAsia"/>
                <w:color w:val="000000"/>
              </w:rPr>
              <w:t>分）</w:t>
            </w:r>
          </w:p>
        </w:tc>
        <w:tc>
          <w:tcPr>
            <w:tcW w:w="5737" w:type="dxa"/>
            <w:gridSpan w:val="5"/>
            <w:vAlign w:val="center"/>
          </w:tcPr>
          <w:p>
            <w:pPr>
              <w:spacing w:line="440" w:lineRule="atLeast"/>
              <w:rPr>
                <w:color w:val="000000"/>
                <w:kern w:val="0"/>
              </w:rPr>
            </w:pPr>
            <w:r>
              <w:rPr>
                <w:rFonts w:hint="eastAsia"/>
                <w:color w:val="000000"/>
                <w:kern w:val="0"/>
              </w:rPr>
              <w:t>拟投入的主要管理人员资历：</w:t>
            </w:r>
            <w:r>
              <w:rPr>
                <w:color w:val="000000"/>
                <w:kern w:val="0"/>
              </w:rPr>
              <w:t>10</w:t>
            </w:r>
            <w:r>
              <w:rPr>
                <w:rFonts w:hint="eastAsia"/>
                <w:color w:val="000000"/>
                <w:kern w:val="0"/>
              </w:rPr>
              <w:t>分；</w:t>
            </w:r>
          </w:p>
          <w:p>
            <w:pPr>
              <w:spacing w:line="440" w:lineRule="atLeast"/>
              <w:rPr>
                <w:color w:val="000000"/>
                <w:kern w:val="0"/>
              </w:rPr>
            </w:pPr>
            <w:r>
              <w:rPr>
                <w:rFonts w:hint="eastAsia"/>
                <w:color w:val="000000"/>
                <w:kern w:val="0"/>
              </w:rPr>
              <w:t>类似施工业绩：</w:t>
            </w:r>
            <w:r>
              <w:rPr>
                <w:color w:val="000000"/>
                <w:kern w:val="0"/>
              </w:rPr>
              <w:t>15</w:t>
            </w:r>
            <w:r>
              <w:rPr>
                <w:rFonts w:hint="eastAsia"/>
                <w:color w:val="000000"/>
                <w:kern w:val="0"/>
              </w:rPr>
              <w:t>分；</w:t>
            </w:r>
          </w:p>
          <w:p>
            <w:pPr>
              <w:spacing w:line="440" w:lineRule="atLeast"/>
              <w:rPr>
                <w:color w:val="000000"/>
                <w:kern w:val="0"/>
              </w:rPr>
            </w:pPr>
            <w:r>
              <w:rPr>
                <w:rFonts w:hint="eastAsia"/>
                <w:color w:val="000000"/>
                <w:kern w:val="0"/>
              </w:rPr>
              <w:t>财务能力：</w:t>
            </w:r>
            <w:r>
              <w:rPr>
                <w:color w:val="000000"/>
                <w:kern w:val="0"/>
              </w:rPr>
              <w:t>5</w:t>
            </w:r>
            <w:r>
              <w:rPr>
                <w:rFonts w:hint="eastAsia"/>
                <w:color w:val="000000"/>
                <w:kern w:val="0"/>
              </w:rPr>
              <w:t>分；</w:t>
            </w:r>
          </w:p>
          <w:p>
            <w:pPr>
              <w:spacing w:line="440" w:lineRule="atLeast"/>
              <w:rPr>
                <w:color w:val="000000"/>
                <w:kern w:val="0"/>
              </w:rPr>
            </w:pPr>
            <w:r>
              <w:rPr>
                <w:rFonts w:hint="eastAsia"/>
                <w:color w:val="000000"/>
                <w:kern w:val="0"/>
              </w:rPr>
              <w:t>项目实施初步方案：</w:t>
            </w:r>
            <w:r>
              <w:rPr>
                <w:color w:val="000000"/>
                <w:kern w:val="0"/>
              </w:rPr>
              <w:t>20</w:t>
            </w:r>
            <w:r>
              <w:rPr>
                <w:rFonts w:hint="eastAsia"/>
                <w:color w:val="000000"/>
                <w:kern w:val="0"/>
              </w:rPr>
              <w:t>分；</w:t>
            </w:r>
          </w:p>
          <w:p>
            <w:pPr>
              <w:spacing w:line="440" w:lineRule="atLeast"/>
              <w:rPr>
                <w:color w:val="000000"/>
                <w:kern w:val="0"/>
              </w:rPr>
            </w:pPr>
            <w:r>
              <w:rPr>
                <w:rFonts w:hint="eastAsia"/>
                <w:color w:val="000000"/>
                <w:kern w:val="0"/>
              </w:rPr>
              <w:t>投标报价：</w:t>
            </w:r>
            <w:r>
              <w:rPr>
                <w:color w:val="000000"/>
                <w:kern w:val="0"/>
              </w:rPr>
              <w:t>50</w:t>
            </w:r>
            <w:r>
              <w:rPr>
                <w:rFonts w:hint="eastAsia"/>
                <w:color w:val="000000"/>
                <w:kern w:val="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6" w:hRule="atLeast"/>
        </w:trPr>
        <w:tc>
          <w:tcPr>
            <w:tcW w:w="1311" w:type="dxa"/>
            <w:vAlign w:val="center"/>
          </w:tcPr>
          <w:p>
            <w:pPr>
              <w:spacing w:line="440" w:lineRule="atLeast"/>
              <w:jc w:val="center"/>
              <w:rPr>
                <w:color w:val="000000"/>
                <w:sz w:val="24"/>
              </w:rPr>
            </w:pPr>
            <w:r>
              <w:rPr>
                <w:color w:val="000000"/>
                <w:sz w:val="24"/>
              </w:rPr>
              <w:t>2.2.2</w:t>
            </w:r>
          </w:p>
        </w:tc>
        <w:tc>
          <w:tcPr>
            <w:tcW w:w="1248" w:type="dxa"/>
            <w:vAlign w:val="center"/>
          </w:tcPr>
          <w:p>
            <w:pPr>
              <w:spacing w:line="440" w:lineRule="atLeast"/>
              <w:jc w:val="center"/>
              <w:rPr>
                <w:color w:val="000000"/>
                <w:sz w:val="24"/>
              </w:rPr>
            </w:pPr>
            <w:r>
              <w:rPr>
                <w:rFonts w:hint="eastAsia"/>
                <w:color w:val="000000"/>
                <w:kern w:val="0"/>
              </w:rPr>
              <w:t>评标基准价计算</w:t>
            </w:r>
          </w:p>
        </w:tc>
        <w:tc>
          <w:tcPr>
            <w:tcW w:w="5737" w:type="dxa"/>
            <w:gridSpan w:val="5"/>
            <w:vAlign w:val="center"/>
          </w:tcPr>
          <w:p>
            <w:pPr>
              <w:spacing w:line="440" w:lineRule="atLeast"/>
              <w:rPr>
                <w:color w:val="000000"/>
                <w:kern w:val="0"/>
              </w:rPr>
            </w:pPr>
            <w:r>
              <w:rPr>
                <w:color w:val="000000"/>
                <w:kern w:val="0"/>
              </w:rPr>
              <w:t xml:space="preserve">(1) </w:t>
            </w:r>
            <w:r>
              <w:rPr>
                <w:rFonts w:hint="eastAsia"/>
                <w:color w:val="000000"/>
                <w:kern w:val="0"/>
              </w:rPr>
              <w:t>评标价的确定：</w:t>
            </w:r>
          </w:p>
          <w:p>
            <w:pPr>
              <w:spacing w:line="440" w:lineRule="atLeast"/>
              <w:rPr>
                <w:color w:val="000000"/>
                <w:kern w:val="0"/>
              </w:rPr>
            </w:pPr>
            <w:r>
              <w:rPr>
                <w:rFonts w:hint="eastAsia"/>
                <w:color w:val="000000"/>
                <w:kern w:val="0"/>
              </w:rPr>
              <w:t>评标价＝投标人投标函中填报的浮动系数f%。</w:t>
            </w:r>
          </w:p>
          <w:p>
            <w:pPr>
              <w:spacing w:line="440" w:lineRule="atLeast"/>
              <w:rPr>
                <w:color w:val="000000"/>
                <w:kern w:val="0"/>
              </w:rPr>
            </w:pPr>
            <w:r>
              <w:rPr>
                <w:color w:val="000000"/>
                <w:kern w:val="0"/>
              </w:rPr>
              <w:t xml:space="preserve">(2) </w:t>
            </w:r>
            <w:r>
              <w:rPr>
                <w:rFonts w:hint="eastAsia"/>
                <w:color w:val="000000"/>
                <w:kern w:val="0"/>
              </w:rPr>
              <w:t>评标基准价的确定：</w:t>
            </w:r>
          </w:p>
          <w:p>
            <w:pPr>
              <w:spacing w:line="440" w:lineRule="atLeast"/>
              <w:rPr>
                <w:color w:val="000000"/>
                <w:kern w:val="0"/>
                <w:sz w:val="24"/>
              </w:rPr>
            </w:pPr>
            <w:r>
              <w:rPr>
                <w:rFonts w:hint="eastAsia"/>
                <w:color w:val="000000"/>
                <w:kern w:val="0"/>
              </w:rPr>
              <w:t>除按投标人须知第</w:t>
            </w:r>
            <w:r>
              <w:rPr>
                <w:color w:val="000000"/>
                <w:kern w:val="0"/>
              </w:rPr>
              <w:t>5.2.3</w:t>
            </w:r>
            <w:r>
              <w:rPr>
                <w:rFonts w:hint="eastAsia"/>
                <w:color w:val="000000"/>
                <w:kern w:val="0"/>
              </w:rPr>
              <w:t>项规定开标现场不计入评标基准价计算的投标报价之外，其余所有通过资格评审及形式性评审与响应性评审的投标人的投标报价去掉一个最高值和一个最低值后的算术平均值即为评标基准价（如果参与评标基准价计算的有效投标人少于</w:t>
            </w:r>
            <w:r>
              <w:rPr>
                <w:color w:val="000000"/>
                <w:kern w:val="0"/>
              </w:rPr>
              <w:t>5</w:t>
            </w:r>
            <w:r>
              <w:rPr>
                <w:rFonts w:hint="eastAsia"/>
                <w:color w:val="000000"/>
                <w:kern w:val="0"/>
              </w:rPr>
              <w:t>家（含</w:t>
            </w:r>
            <w:r>
              <w:rPr>
                <w:color w:val="000000"/>
                <w:kern w:val="0"/>
              </w:rPr>
              <w:t>5</w:t>
            </w:r>
            <w:r>
              <w:rPr>
                <w:rFonts w:hint="eastAsia"/>
                <w:color w:val="000000"/>
                <w:kern w:val="0"/>
              </w:rPr>
              <w:t>家）时，则计算投标报价平均值时不去掉最高值和最低值）。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5" w:hRule="atLeast"/>
        </w:trPr>
        <w:tc>
          <w:tcPr>
            <w:tcW w:w="1311" w:type="dxa"/>
            <w:vAlign w:val="center"/>
          </w:tcPr>
          <w:p>
            <w:pPr>
              <w:spacing w:line="440" w:lineRule="atLeast"/>
              <w:jc w:val="center"/>
              <w:rPr>
                <w:color w:val="000000"/>
                <w:sz w:val="24"/>
              </w:rPr>
            </w:pPr>
            <w:r>
              <w:rPr>
                <w:color w:val="000000"/>
                <w:sz w:val="24"/>
              </w:rPr>
              <w:t>2.2.3</w:t>
            </w:r>
          </w:p>
        </w:tc>
        <w:tc>
          <w:tcPr>
            <w:tcW w:w="1248" w:type="dxa"/>
            <w:vAlign w:val="center"/>
          </w:tcPr>
          <w:p>
            <w:pPr>
              <w:spacing w:line="440" w:lineRule="exact"/>
              <w:jc w:val="center"/>
              <w:rPr>
                <w:color w:val="000000"/>
                <w:szCs w:val="21"/>
              </w:rPr>
            </w:pPr>
            <w:r>
              <w:rPr>
                <w:rFonts w:hint="eastAsia"/>
                <w:color w:val="000000"/>
                <w:szCs w:val="21"/>
              </w:rPr>
              <w:t>投标报价的偏差率计算公式</w:t>
            </w:r>
          </w:p>
        </w:tc>
        <w:tc>
          <w:tcPr>
            <w:tcW w:w="5737" w:type="dxa"/>
            <w:gridSpan w:val="5"/>
            <w:vAlign w:val="center"/>
          </w:tcPr>
          <w:p>
            <w:pPr>
              <w:spacing w:line="440" w:lineRule="exact"/>
              <w:rPr>
                <w:color w:val="000000"/>
                <w:szCs w:val="21"/>
              </w:rPr>
            </w:pPr>
            <w:r>
              <w:rPr>
                <w:rFonts w:hint="eastAsia"/>
                <w:color w:val="000000"/>
                <w:szCs w:val="21"/>
              </w:rPr>
              <w:t>偏差率</w:t>
            </w:r>
            <w:r>
              <w:rPr>
                <w:color w:val="000000"/>
                <w:szCs w:val="21"/>
              </w:rPr>
              <w:t>=100%×</w:t>
            </w:r>
            <w:r>
              <w:rPr>
                <w:rFonts w:hint="eastAsia"/>
                <w:color w:val="000000"/>
                <w:szCs w:val="21"/>
              </w:rPr>
              <w:t>（评标价</w:t>
            </w:r>
            <w:r>
              <w:rPr>
                <w:color w:val="000000"/>
                <w:szCs w:val="21"/>
              </w:rPr>
              <w:t>−</w:t>
            </w:r>
            <w:r>
              <w:rPr>
                <w:rFonts w:hint="eastAsia"/>
                <w:color w:val="000000"/>
                <w:szCs w:val="21"/>
              </w:rPr>
              <w:t>评标基准价）</w:t>
            </w:r>
            <w:r>
              <w:rPr>
                <w:color w:val="000000"/>
                <w:szCs w:val="21"/>
              </w:rPr>
              <w:t>/</w:t>
            </w:r>
            <w:r>
              <w:rPr>
                <w:rFonts w:hint="eastAsia"/>
                <w:color w:val="000000"/>
                <w:szCs w:val="21"/>
              </w:rPr>
              <w:t>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trPr>
        <w:tc>
          <w:tcPr>
            <w:tcW w:w="1311" w:type="dxa"/>
            <w:vMerge w:val="restart"/>
            <w:vAlign w:val="center"/>
          </w:tcPr>
          <w:p>
            <w:pPr>
              <w:spacing w:line="440" w:lineRule="atLeast"/>
              <w:jc w:val="center"/>
              <w:rPr>
                <w:rFonts w:ascii="黑体" w:hAnsi="黑体" w:eastAsia="黑体"/>
                <w:color w:val="000000"/>
              </w:rPr>
            </w:pPr>
            <w:r>
              <w:rPr>
                <w:rFonts w:ascii="黑体" w:hAnsi="黑体" w:eastAsia="黑体"/>
                <w:color w:val="000000"/>
              </w:rPr>
              <w:t>条款号</w:t>
            </w:r>
          </w:p>
        </w:tc>
        <w:tc>
          <w:tcPr>
            <w:tcW w:w="6985" w:type="dxa"/>
            <w:gridSpan w:val="6"/>
            <w:vAlign w:val="center"/>
          </w:tcPr>
          <w:p>
            <w:pPr>
              <w:spacing w:line="440" w:lineRule="atLeast"/>
              <w:jc w:val="center"/>
              <w:rPr>
                <w:rFonts w:ascii="黑体" w:hAnsi="黑体" w:eastAsia="黑体"/>
                <w:color w:val="000000"/>
              </w:rPr>
            </w:pPr>
            <w:r>
              <w:rPr>
                <w:rFonts w:ascii="黑体" w:hAnsi="黑体" w:eastAsia="黑体"/>
                <w:color w:val="000000"/>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 w:hRule="atLeast"/>
        </w:trPr>
        <w:tc>
          <w:tcPr>
            <w:tcW w:w="1311" w:type="dxa"/>
            <w:vMerge w:val="continue"/>
            <w:vAlign w:val="center"/>
          </w:tcPr>
          <w:p>
            <w:pPr>
              <w:spacing w:line="440" w:lineRule="atLeast"/>
              <w:jc w:val="left"/>
              <w:rPr>
                <w:rFonts w:ascii="黑体" w:hAnsi="黑体" w:eastAsia="黑体"/>
                <w:color w:val="000000"/>
              </w:rPr>
            </w:pPr>
          </w:p>
        </w:tc>
        <w:tc>
          <w:tcPr>
            <w:tcW w:w="4332" w:type="dxa"/>
            <w:gridSpan w:val="5"/>
            <w:vAlign w:val="center"/>
          </w:tcPr>
          <w:p>
            <w:pPr>
              <w:spacing w:line="440" w:lineRule="atLeast"/>
              <w:jc w:val="center"/>
              <w:rPr>
                <w:rFonts w:ascii="黑体" w:hAnsi="黑体" w:eastAsia="黑体"/>
                <w:color w:val="000000"/>
              </w:rPr>
            </w:pPr>
            <w:r>
              <w:rPr>
                <w:rFonts w:ascii="黑体" w:hAnsi="黑体" w:eastAsia="黑体"/>
                <w:color w:val="000000"/>
              </w:rPr>
              <w:t>评分因素与权重分值</w:t>
            </w:r>
          </w:p>
        </w:tc>
        <w:tc>
          <w:tcPr>
            <w:tcW w:w="2653" w:type="dxa"/>
            <w:vMerge w:val="restart"/>
            <w:vAlign w:val="center"/>
          </w:tcPr>
          <w:p>
            <w:pPr>
              <w:spacing w:line="440" w:lineRule="atLeast"/>
              <w:jc w:val="center"/>
              <w:rPr>
                <w:rFonts w:ascii="黑体" w:hAnsi="黑体" w:eastAsia="黑体"/>
                <w:color w:val="000000"/>
              </w:rPr>
            </w:pPr>
            <w:r>
              <w:rPr>
                <w:rFonts w:ascii="黑体" w:hAnsi="黑体" w:eastAsia="黑体"/>
                <w:color w:val="000000"/>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trPr>
        <w:tc>
          <w:tcPr>
            <w:tcW w:w="1311" w:type="dxa"/>
            <w:vMerge w:val="continue"/>
            <w:vAlign w:val="center"/>
          </w:tcPr>
          <w:p>
            <w:pPr>
              <w:spacing w:line="440" w:lineRule="atLeast"/>
              <w:jc w:val="left"/>
              <w:rPr>
                <w:color w:val="000000"/>
              </w:rPr>
            </w:pPr>
          </w:p>
        </w:tc>
        <w:tc>
          <w:tcPr>
            <w:tcW w:w="1552" w:type="dxa"/>
            <w:gridSpan w:val="2"/>
            <w:vAlign w:val="center"/>
          </w:tcPr>
          <w:p>
            <w:pPr>
              <w:spacing w:line="440" w:lineRule="atLeast"/>
              <w:jc w:val="center"/>
              <w:rPr>
                <w:rFonts w:ascii="黑体" w:hAnsi="黑体" w:eastAsia="黑体"/>
                <w:color w:val="000000"/>
              </w:rPr>
            </w:pPr>
            <w:r>
              <w:rPr>
                <w:rFonts w:ascii="黑体" w:hAnsi="黑体" w:eastAsia="黑体"/>
                <w:color w:val="000000"/>
              </w:rPr>
              <w:t>评分因素</w:t>
            </w:r>
          </w:p>
        </w:tc>
        <w:tc>
          <w:tcPr>
            <w:tcW w:w="991" w:type="dxa"/>
            <w:vAlign w:val="center"/>
          </w:tcPr>
          <w:p>
            <w:pPr>
              <w:spacing w:line="440" w:lineRule="atLeast"/>
              <w:rPr>
                <w:rFonts w:ascii="黑体" w:hAnsi="黑体" w:eastAsia="黑体"/>
                <w:color w:val="000000"/>
              </w:rPr>
            </w:pPr>
            <w:r>
              <w:rPr>
                <w:rFonts w:ascii="黑体" w:hAnsi="黑体" w:eastAsia="黑体"/>
                <w:color w:val="000000"/>
              </w:rPr>
              <w:t>评分因素权重分值</w:t>
            </w:r>
          </w:p>
        </w:tc>
        <w:tc>
          <w:tcPr>
            <w:tcW w:w="1077" w:type="dxa"/>
            <w:vAlign w:val="center"/>
          </w:tcPr>
          <w:p>
            <w:pPr>
              <w:spacing w:line="440" w:lineRule="atLeast"/>
              <w:jc w:val="center"/>
              <w:rPr>
                <w:rFonts w:ascii="黑体" w:hAnsi="黑体" w:eastAsia="黑体"/>
                <w:color w:val="000000"/>
              </w:rPr>
            </w:pPr>
            <w:r>
              <w:rPr>
                <w:rFonts w:ascii="黑体" w:hAnsi="黑体" w:eastAsia="黑体"/>
                <w:color w:val="000000"/>
              </w:rPr>
              <w:t>各评分因素细分项</w:t>
            </w:r>
          </w:p>
        </w:tc>
        <w:tc>
          <w:tcPr>
            <w:tcW w:w="712" w:type="dxa"/>
            <w:vAlign w:val="center"/>
          </w:tcPr>
          <w:p>
            <w:pPr>
              <w:spacing w:line="440" w:lineRule="atLeast"/>
              <w:jc w:val="center"/>
              <w:rPr>
                <w:rFonts w:ascii="黑体" w:hAnsi="黑体" w:eastAsia="黑体"/>
                <w:color w:val="000000"/>
              </w:rPr>
            </w:pPr>
            <w:r>
              <w:rPr>
                <w:rFonts w:ascii="黑体" w:hAnsi="黑体" w:eastAsia="黑体"/>
                <w:color w:val="000000"/>
              </w:rPr>
              <w:t>分值</w:t>
            </w:r>
          </w:p>
        </w:tc>
        <w:tc>
          <w:tcPr>
            <w:tcW w:w="2653" w:type="dxa"/>
            <w:vMerge w:val="continue"/>
            <w:vAlign w:val="center"/>
          </w:tcPr>
          <w:p>
            <w:pPr>
              <w:spacing w:line="440" w:lineRule="atLeas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11" w:type="dxa"/>
            <w:vMerge w:val="restart"/>
            <w:vAlign w:val="center"/>
          </w:tcPr>
          <w:p>
            <w:pPr>
              <w:spacing w:line="440" w:lineRule="atLeast"/>
              <w:jc w:val="center"/>
              <w:rPr>
                <w:color w:val="000000"/>
              </w:rPr>
            </w:pPr>
            <w:r>
              <w:rPr>
                <w:color w:val="000000"/>
              </w:rPr>
              <w:t>2.2.4</w:t>
            </w:r>
            <w:r>
              <w:rPr>
                <w:rFonts w:hint="eastAsia"/>
                <w:color w:val="000000"/>
              </w:rPr>
              <w:t>（</w:t>
            </w:r>
            <w:r>
              <w:rPr>
                <w:color w:val="000000"/>
              </w:rPr>
              <w:t>1</w:t>
            </w:r>
            <w:r>
              <w:rPr>
                <w:rFonts w:hint="eastAsia"/>
                <w:color w:val="000000"/>
              </w:rPr>
              <w:t>）</w:t>
            </w:r>
          </w:p>
        </w:tc>
        <w:tc>
          <w:tcPr>
            <w:tcW w:w="1552" w:type="dxa"/>
            <w:gridSpan w:val="2"/>
            <w:vMerge w:val="restart"/>
            <w:vAlign w:val="center"/>
          </w:tcPr>
          <w:p>
            <w:pPr>
              <w:spacing w:line="440" w:lineRule="atLeast"/>
              <w:jc w:val="center"/>
              <w:rPr>
                <w:rFonts w:hAnsi="宋体"/>
                <w:color w:val="000000"/>
                <w:szCs w:val="21"/>
              </w:rPr>
            </w:pPr>
            <w:r>
              <w:rPr>
                <w:rFonts w:hint="eastAsia"/>
                <w:color w:val="000000"/>
                <w:kern w:val="0"/>
                <w:szCs w:val="21"/>
              </w:rPr>
              <w:t>拟投入的项目经理和项目总工资历</w:t>
            </w:r>
          </w:p>
        </w:tc>
        <w:tc>
          <w:tcPr>
            <w:tcW w:w="991" w:type="dxa"/>
            <w:vMerge w:val="restart"/>
            <w:vAlign w:val="center"/>
          </w:tcPr>
          <w:p>
            <w:pPr>
              <w:spacing w:line="440" w:lineRule="atLeast"/>
              <w:jc w:val="center"/>
              <w:rPr>
                <w:rFonts w:hAnsi="宋体"/>
                <w:color w:val="000000"/>
                <w:szCs w:val="21"/>
              </w:rPr>
            </w:pPr>
            <w:r>
              <w:rPr>
                <w:rFonts w:hAnsi="宋体"/>
                <w:color w:val="000000"/>
                <w:szCs w:val="21"/>
              </w:rPr>
              <w:t>10</w:t>
            </w:r>
            <w:r>
              <w:rPr>
                <w:rFonts w:hint="eastAsia" w:hAnsi="宋体"/>
                <w:color w:val="000000"/>
                <w:szCs w:val="21"/>
              </w:rPr>
              <w:t>分</w:t>
            </w:r>
          </w:p>
        </w:tc>
        <w:tc>
          <w:tcPr>
            <w:tcW w:w="1077" w:type="dxa"/>
            <w:vAlign w:val="center"/>
          </w:tcPr>
          <w:p>
            <w:pPr>
              <w:spacing w:line="440" w:lineRule="atLeast"/>
              <w:jc w:val="center"/>
              <w:rPr>
                <w:rFonts w:hAnsi="宋体"/>
                <w:color w:val="000000"/>
              </w:rPr>
            </w:pPr>
            <w:r>
              <w:rPr>
                <w:rFonts w:hAnsi="宋体"/>
                <w:color w:val="000000"/>
              </w:rPr>
              <w:t>基本分</w:t>
            </w:r>
          </w:p>
        </w:tc>
        <w:tc>
          <w:tcPr>
            <w:tcW w:w="712" w:type="dxa"/>
            <w:vAlign w:val="center"/>
          </w:tcPr>
          <w:p>
            <w:pPr>
              <w:spacing w:line="440" w:lineRule="atLeast"/>
              <w:jc w:val="center"/>
              <w:rPr>
                <w:rFonts w:hAnsi="宋体"/>
                <w:color w:val="000000"/>
              </w:rPr>
            </w:pPr>
            <w:r>
              <w:rPr>
                <w:rFonts w:hAnsi="宋体"/>
                <w:color w:val="000000"/>
              </w:rPr>
              <w:t>6</w:t>
            </w:r>
          </w:p>
        </w:tc>
        <w:tc>
          <w:tcPr>
            <w:tcW w:w="2653" w:type="dxa"/>
            <w:vAlign w:val="center"/>
          </w:tcPr>
          <w:p>
            <w:pPr>
              <w:spacing w:line="440" w:lineRule="atLeast"/>
              <w:rPr>
                <w:color w:val="000000"/>
              </w:rPr>
            </w:pPr>
            <w:r>
              <w:rPr>
                <w:rFonts w:hAnsi="宋体"/>
                <w:color w:val="000000"/>
              </w:rPr>
              <w:t>满足资格</w:t>
            </w:r>
            <w:r>
              <w:rPr>
                <w:rFonts w:hint="eastAsia" w:hAnsi="宋体"/>
                <w:color w:val="000000"/>
              </w:rPr>
              <w:t>审查条件</w:t>
            </w:r>
            <w:r>
              <w:rPr>
                <w:rFonts w:hAnsi="宋体"/>
                <w:color w:val="000000"/>
              </w:rPr>
              <w:t>得</w:t>
            </w:r>
            <w:r>
              <w:rPr>
                <w:color w:val="000000"/>
              </w:rPr>
              <w:t>6</w:t>
            </w:r>
            <w:r>
              <w:rPr>
                <w:rFonts w:hAnsi="宋体"/>
                <w:color w:val="000000"/>
              </w:rPr>
              <w:t>分</w:t>
            </w:r>
            <w:r>
              <w:rPr>
                <w:rFonts w:hint="eastAsia"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11" w:type="dxa"/>
            <w:vMerge w:val="continue"/>
            <w:vAlign w:val="center"/>
          </w:tcPr>
          <w:p>
            <w:pPr>
              <w:spacing w:line="440" w:lineRule="atLeast"/>
              <w:jc w:val="left"/>
              <w:rPr>
                <w:color w:val="000000"/>
              </w:rPr>
            </w:pPr>
          </w:p>
        </w:tc>
        <w:tc>
          <w:tcPr>
            <w:tcW w:w="1552" w:type="dxa"/>
            <w:gridSpan w:val="2"/>
            <w:vMerge w:val="continue"/>
            <w:vAlign w:val="center"/>
          </w:tcPr>
          <w:p>
            <w:pPr>
              <w:spacing w:line="440" w:lineRule="atLeast"/>
              <w:jc w:val="center"/>
              <w:rPr>
                <w:rFonts w:hAnsi="宋体"/>
                <w:color w:val="000000"/>
                <w:szCs w:val="21"/>
              </w:rPr>
            </w:pPr>
          </w:p>
        </w:tc>
        <w:tc>
          <w:tcPr>
            <w:tcW w:w="991" w:type="dxa"/>
            <w:vMerge w:val="continue"/>
            <w:vAlign w:val="center"/>
          </w:tcPr>
          <w:p>
            <w:pPr>
              <w:spacing w:line="440" w:lineRule="atLeast"/>
              <w:jc w:val="center"/>
              <w:rPr>
                <w:rFonts w:hAnsi="宋体"/>
                <w:color w:val="000000"/>
                <w:szCs w:val="21"/>
              </w:rPr>
            </w:pPr>
          </w:p>
        </w:tc>
        <w:tc>
          <w:tcPr>
            <w:tcW w:w="1077" w:type="dxa"/>
            <w:vAlign w:val="center"/>
          </w:tcPr>
          <w:p>
            <w:pPr>
              <w:spacing w:line="440" w:lineRule="atLeast"/>
              <w:jc w:val="center"/>
              <w:rPr>
                <w:color w:val="000000"/>
              </w:rPr>
            </w:pPr>
            <w:r>
              <w:rPr>
                <w:rFonts w:hAnsi="宋体"/>
                <w:color w:val="000000"/>
              </w:rPr>
              <w:t>项目经理</w:t>
            </w:r>
          </w:p>
        </w:tc>
        <w:tc>
          <w:tcPr>
            <w:tcW w:w="712" w:type="dxa"/>
            <w:vAlign w:val="center"/>
          </w:tcPr>
          <w:p>
            <w:pPr>
              <w:spacing w:line="440" w:lineRule="atLeast"/>
              <w:jc w:val="center"/>
              <w:rPr>
                <w:rFonts w:hAnsi="宋体"/>
                <w:color w:val="000000"/>
              </w:rPr>
            </w:pPr>
            <w:r>
              <w:rPr>
                <w:rFonts w:hAnsi="宋体"/>
                <w:color w:val="000000"/>
              </w:rPr>
              <w:t>2</w:t>
            </w:r>
          </w:p>
        </w:tc>
        <w:tc>
          <w:tcPr>
            <w:tcW w:w="2653" w:type="dxa"/>
            <w:vAlign w:val="center"/>
          </w:tcPr>
          <w:p>
            <w:pPr>
              <w:spacing w:line="440" w:lineRule="atLeast"/>
              <w:rPr>
                <w:rFonts w:hAnsi="宋体"/>
                <w:color w:val="000000"/>
              </w:rPr>
            </w:pPr>
            <w:r>
              <w:rPr>
                <w:rFonts w:hint="eastAsia" w:hAnsi="宋体"/>
                <w:color w:val="000000"/>
              </w:rPr>
              <w:t>与</w:t>
            </w:r>
            <w:r>
              <w:rPr>
                <w:rFonts w:hAnsi="宋体"/>
                <w:color w:val="000000"/>
              </w:rPr>
              <w:t>资格</w:t>
            </w:r>
            <w:r>
              <w:rPr>
                <w:rFonts w:hint="eastAsia" w:hAnsi="宋体"/>
                <w:color w:val="000000"/>
              </w:rPr>
              <w:t>审查条件相比，项目经理每增加1个单个合同</w:t>
            </w:r>
            <w:r>
              <w:rPr>
                <w:rFonts w:hAnsi="宋体"/>
                <w:color w:val="000000"/>
              </w:rPr>
              <w:t>20亿元及以上</w:t>
            </w:r>
            <w:r>
              <w:rPr>
                <w:rFonts w:hint="eastAsia" w:hAnsi="宋体"/>
                <w:color w:val="000000"/>
              </w:rPr>
              <w:t>一级或以上等级新建或改扩建公路工程</w:t>
            </w:r>
            <w:r>
              <w:rPr>
                <w:rFonts w:hAnsi="宋体"/>
                <w:color w:val="000000"/>
              </w:rPr>
              <w:t>施工的项目经理</w:t>
            </w:r>
            <w:r>
              <w:rPr>
                <w:rFonts w:hint="eastAsia" w:hAnsi="宋体"/>
                <w:color w:val="000000"/>
              </w:rPr>
              <w:t>加</w:t>
            </w:r>
            <w:r>
              <w:rPr>
                <w:rFonts w:hAnsi="宋体"/>
                <w:color w:val="000000"/>
              </w:rPr>
              <w:t>1</w:t>
            </w:r>
            <w:r>
              <w:rPr>
                <w:rFonts w:hint="eastAsia" w:hAnsi="宋体"/>
                <w:color w:val="000000"/>
              </w:rPr>
              <w:t>分，最高不超过</w:t>
            </w:r>
            <w:r>
              <w:rPr>
                <w:rFonts w:hAnsi="宋体"/>
                <w:color w:val="000000"/>
              </w:rPr>
              <w:t>2</w:t>
            </w:r>
            <w:r>
              <w:rPr>
                <w:rFonts w:hint="eastAsia" w:hAnsi="宋体"/>
                <w:color w:val="00000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11" w:type="dxa"/>
            <w:vMerge w:val="continue"/>
            <w:vAlign w:val="center"/>
          </w:tcPr>
          <w:p>
            <w:pPr>
              <w:spacing w:line="440" w:lineRule="atLeast"/>
              <w:jc w:val="left"/>
              <w:rPr>
                <w:color w:val="000000"/>
              </w:rPr>
            </w:pPr>
          </w:p>
        </w:tc>
        <w:tc>
          <w:tcPr>
            <w:tcW w:w="1552" w:type="dxa"/>
            <w:gridSpan w:val="2"/>
            <w:vMerge w:val="continue"/>
            <w:vAlign w:val="center"/>
          </w:tcPr>
          <w:p>
            <w:pPr>
              <w:spacing w:line="440" w:lineRule="atLeast"/>
              <w:jc w:val="center"/>
              <w:rPr>
                <w:rFonts w:hAnsi="宋体"/>
                <w:color w:val="000000"/>
                <w:szCs w:val="21"/>
              </w:rPr>
            </w:pPr>
          </w:p>
        </w:tc>
        <w:tc>
          <w:tcPr>
            <w:tcW w:w="991" w:type="dxa"/>
            <w:vMerge w:val="continue"/>
            <w:vAlign w:val="center"/>
          </w:tcPr>
          <w:p>
            <w:pPr>
              <w:spacing w:line="440" w:lineRule="atLeast"/>
              <w:jc w:val="center"/>
              <w:rPr>
                <w:rFonts w:hAnsi="宋体"/>
                <w:color w:val="000000"/>
                <w:szCs w:val="21"/>
              </w:rPr>
            </w:pPr>
          </w:p>
        </w:tc>
        <w:tc>
          <w:tcPr>
            <w:tcW w:w="1077" w:type="dxa"/>
            <w:vAlign w:val="center"/>
          </w:tcPr>
          <w:p>
            <w:pPr>
              <w:spacing w:line="440" w:lineRule="atLeast"/>
              <w:jc w:val="center"/>
              <w:rPr>
                <w:color w:val="000000"/>
              </w:rPr>
            </w:pPr>
            <w:r>
              <w:rPr>
                <w:rFonts w:hAnsi="宋体"/>
                <w:color w:val="000000"/>
              </w:rPr>
              <w:t>项目总工</w:t>
            </w:r>
          </w:p>
        </w:tc>
        <w:tc>
          <w:tcPr>
            <w:tcW w:w="712" w:type="dxa"/>
            <w:vAlign w:val="center"/>
          </w:tcPr>
          <w:p>
            <w:pPr>
              <w:spacing w:line="440" w:lineRule="atLeast"/>
              <w:jc w:val="center"/>
              <w:rPr>
                <w:rFonts w:hAnsi="宋体"/>
                <w:color w:val="000000"/>
              </w:rPr>
            </w:pPr>
            <w:r>
              <w:rPr>
                <w:rFonts w:hAnsi="宋体"/>
                <w:color w:val="000000"/>
              </w:rPr>
              <w:t>2</w:t>
            </w:r>
          </w:p>
        </w:tc>
        <w:tc>
          <w:tcPr>
            <w:tcW w:w="2653" w:type="dxa"/>
            <w:vAlign w:val="center"/>
          </w:tcPr>
          <w:p>
            <w:pPr>
              <w:spacing w:line="440" w:lineRule="atLeast"/>
              <w:rPr>
                <w:rFonts w:hAnsi="宋体"/>
                <w:color w:val="000000"/>
              </w:rPr>
            </w:pPr>
            <w:r>
              <w:rPr>
                <w:rFonts w:hint="eastAsia" w:hAnsi="宋体"/>
                <w:color w:val="000000"/>
              </w:rPr>
              <w:t>与</w:t>
            </w:r>
            <w:r>
              <w:rPr>
                <w:rFonts w:hAnsi="宋体"/>
                <w:color w:val="000000"/>
              </w:rPr>
              <w:t>资格</w:t>
            </w:r>
            <w:r>
              <w:rPr>
                <w:rFonts w:hint="eastAsia" w:hAnsi="宋体"/>
                <w:color w:val="000000"/>
              </w:rPr>
              <w:t>审查条件相比，项目总工每增加一个</w:t>
            </w:r>
            <w:r>
              <w:rPr>
                <w:rFonts w:hAnsi="宋体"/>
                <w:color w:val="000000"/>
              </w:rPr>
              <w:t>特大桥工程施工的</w:t>
            </w:r>
            <w:r>
              <w:rPr>
                <w:rFonts w:hint="eastAsia" w:hAnsi="宋体"/>
                <w:color w:val="000000"/>
              </w:rPr>
              <w:t>项目总工或技术负责人</w:t>
            </w:r>
            <w:r>
              <w:rPr>
                <w:rFonts w:hAnsi="宋体"/>
                <w:color w:val="000000"/>
              </w:rPr>
              <w:t>业绩加</w:t>
            </w:r>
            <w:r>
              <w:rPr>
                <w:rFonts w:hint="eastAsia" w:hAnsi="宋体"/>
                <w:color w:val="000000"/>
              </w:rPr>
              <w:t>1分，最多加</w:t>
            </w:r>
            <w:r>
              <w:rPr>
                <w:rFonts w:hAnsi="宋体"/>
                <w:color w:val="000000"/>
              </w:rPr>
              <w:t>2</w:t>
            </w:r>
            <w:r>
              <w:rPr>
                <w:rFonts w:hint="eastAsia" w:hAnsi="宋体"/>
                <w:color w:val="00000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11" w:type="dxa"/>
            <w:vMerge w:val="restart"/>
            <w:vAlign w:val="center"/>
          </w:tcPr>
          <w:p>
            <w:pPr>
              <w:spacing w:line="440" w:lineRule="atLeast"/>
              <w:jc w:val="left"/>
              <w:rPr>
                <w:color w:val="000000"/>
                <w:sz w:val="24"/>
              </w:rPr>
            </w:pPr>
            <w:r>
              <w:rPr>
                <w:color w:val="000000"/>
                <w:sz w:val="24"/>
              </w:rPr>
              <w:t>2.2.4</w:t>
            </w:r>
            <w:r>
              <w:rPr>
                <w:rFonts w:hint="eastAsia"/>
                <w:color w:val="000000"/>
                <w:sz w:val="24"/>
              </w:rPr>
              <w:t>（</w:t>
            </w:r>
            <w:r>
              <w:rPr>
                <w:color w:val="000000"/>
                <w:sz w:val="24"/>
              </w:rPr>
              <w:t>2</w:t>
            </w:r>
            <w:r>
              <w:rPr>
                <w:rFonts w:hint="eastAsia"/>
                <w:color w:val="000000"/>
                <w:sz w:val="24"/>
              </w:rPr>
              <w:t>）</w:t>
            </w:r>
          </w:p>
        </w:tc>
        <w:tc>
          <w:tcPr>
            <w:tcW w:w="1552" w:type="dxa"/>
            <w:gridSpan w:val="2"/>
            <w:vMerge w:val="restart"/>
            <w:vAlign w:val="center"/>
          </w:tcPr>
          <w:p>
            <w:pPr>
              <w:spacing w:line="440" w:lineRule="atLeast"/>
              <w:jc w:val="center"/>
              <w:rPr>
                <w:color w:val="000000"/>
                <w:szCs w:val="21"/>
              </w:rPr>
            </w:pPr>
            <w:r>
              <w:rPr>
                <w:rFonts w:hint="eastAsia" w:hAnsi="宋体"/>
                <w:color w:val="000000"/>
                <w:szCs w:val="21"/>
              </w:rPr>
              <w:t>类似施工业绩</w:t>
            </w:r>
          </w:p>
        </w:tc>
        <w:tc>
          <w:tcPr>
            <w:tcW w:w="991" w:type="dxa"/>
            <w:vMerge w:val="restart"/>
            <w:vAlign w:val="center"/>
          </w:tcPr>
          <w:p>
            <w:pPr>
              <w:spacing w:line="440" w:lineRule="atLeast"/>
              <w:jc w:val="center"/>
              <w:rPr>
                <w:rFonts w:hAnsi="宋体"/>
                <w:color w:val="000000"/>
                <w:szCs w:val="21"/>
              </w:rPr>
            </w:pPr>
            <w:r>
              <w:rPr>
                <w:rFonts w:hAnsi="宋体"/>
                <w:color w:val="000000"/>
                <w:szCs w:val="21"/>
              </w:rPr>
              <w:t>15分</w:t>
            </w:r>
          </w:p>
        </w:tc>
        <w:tc>
          <w:tcPr>
            <w:tcW w:w="1077" w:type="dxa"/>
            <w:vAlign w:val="center"/>
          </w:tcPr>
          <w:p>
            <w:pPr>
              <w:spacing w:line="440" w:lineRule="atLeast"/>
              <w:jc w:val="center"/>
              <w:rPr>
                <w:rFonts w:hAnsi="宋体"/>
                <w:color w:val="000000"/>
                <w:szCs w:val="21"/>
              </w:rPr>
            </w:pPr>
            <w:r>
              <w:rPr>
                <w:rFonts w:hAnsi="宋体"/>
                <w:color w:val="000000"/>
                <w:szCs w:val="21"/>
              </w:rPr>
              <w:t>基本分</w:t>
            </w:r>
          </w:p>
        </w:tc>
        <w:tc>
          <w:tcPr>
            <w:tcW w:w="712" w:type="dxa"/>
            <w:vAlign w:val="center"/>
          </w:tcPr>
          <w:p>
            <w:pPr>
              <w:spacing w:line="440" w:lineRule="atLeast"/>
              <w:jc w:val="center"/>
              <w:rPr>
                <w:rFonts w:hAnsi="宋体"/>
                <w:color w:val="000000"/>
                <w:szCs w:val="21"/>
              </w:rPr>
            </w:pPr>
            <w:r>
              <w:rPr>
                <w:rFonts w:hAnsi="宋体"/>
                <w:color w:val="000000"/>
                <w:szCs w:val="21"/>
              </w:rPr>
              <w:t>9</w:t>
            </w:r>
          </w:p>
        </w:tc>
        <w:tc>
          <w:tcPr>
            <w:tcW w:w="2653" w:type="dxa"/>
            <w:vAlign w:val="center"/>
          </w:tcPr>
          <w:p>
            <w:pPr>
              <w:spacing w:line="440" w:lineRule="atLeast"/>
              <w:rPr>
                <w:color w:val="000000"/>
                <w:szCs w:val="21"/>
              </w:rPr>
            </w:pPr>
            <w:r>
              <w:rPr>
                <w:rFonts w:hAnsi="宋体"/>
                <w:color w:val="000000"/>
                <w:szCs w:val="21"/>
              </w:rPr>
              <w:t>满足资格</w:t>
            </w:r>
            <w:r>
              <w:rPr>
                <w:rFonts w:hint="eastAsia" w:hAnsi="宋体"/>
                <w:color w:val="000000"/>
                <w:szCs w:val="21"/>
              </w:rPr>
              <w:t>审查条件</w:t>
            </w:r>
            <w:r>
              <w:rPr>
                <w:rFonts w:hAnsi="宋体"/>
                <w:color w:val="000000"/>
                <w:szCs w:val="21"/>
              </w:rPr>
              <w:t>得</w:t>
            </w:r>
            <w:r>
              <w:rPr>
                <w:color w:val="000000"/>
                <w:szCs w:val="21"/>
              </w:rPr>
              <w:t>9</w:t>
            </w:r>
            <w:r>
              <w:rPr>
                <w:rFonts w:hAnsi="宋体"/>
                <w:color w:val="000000"/>
                <w:szCs w:val="21"/>
              </w:rPr>
              <w:t>分</w:t>
            </w:r>
            <w:r>
              <w:rPr>
                <w:rFonts w:hint="eastAsia"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11" w:type="dxa"/>
            <w:vMerge w:val="continue"/>
            <w:vAlign w:val="center"/>
          </w:tcPr>
          <w:p>
            <w:pPr>
              <w:spacing w:line="440" w:lineRule="atLeast"/>
              <w:jc w:val="left"/>
              <w:rPr>
                <w:color w:val="000000"/>
                <w:sz w:val="24"/>
              </w:rPr>
            </w:pPr>
          </w:p>
        </w:tc>
        <w:tc>
          <w:tcPr>
            <w:tcW w:w="1552" w:type="dxa"/>
            <w:gridSpan w:val="2"/>
            <w:vMerge w:val="continue"/>
            <w:vAlign w:val="center"/>
          </w:tcPr>
          <w:p>
            <w:pPr>
              <w:spacing w:line="440" w:lineRule="atLeast"/>
              <w:jc w:val="center"/>
              <w:rPr>
                <w:rFonts w:hAnsi="宋体"/>
                <w:color w:val="000000"/>
                <w:sz w:val="24"/>
              </w:rPr>
            </w:pPr>
          </w:p>
        </w:tc>
        <w:tc>
          <w:tcPr>
            <w:tcW w:w="991" w:type="dxa"/>
            <w:vMerge w:val="continue"/>
            <w:vAlign w:val="center"/>
          </w:tcPr>
          <w:p>
            <w:pPr>
              <w:spacing w:line="440" w:lineRule="atLeast"/>
              <w:jc w:val="center"/>
              <w:rPr>
                <w:rFonts w:hAnsi="宋体"/>
                <w:color w:val="000000"/>
                <w:sz w:val="24"/>
              </w:rPr>
            </w:pPr>
          </w:p>
        </w:tc>
        <w:tc>
          <w:tcPr>
            <w:tcW w:w="1077" w:type="dxa"/>
            <w:vAlign w:val="center"/>
          </w:tcPr>
          <w:p>
            <w:pPr>
              <w:spacing w:line="440" w:lineRule="atLeast"/>
              <w:jc w:val="center"/>
              <w:rPr>
                <w:color w:val="000000"/>
                <w:szCs w:val="21"/>
              </w:rPr>
            </w:pPr>
            <w:r>
              <w:rPr>
                <w:rFonts w:hAnsi="宋体"/>
                <w:color w:val="000000"/>
                <w:szCs w:val="21"/>
              </w:rPr>
              <w:t>业绩</w:t>
            </w:r>
          </w:p>
        </w:tc>
        <w:tc>
          <w:tcPr>
            <w:tcW w:w="712" w:type="dxa"/>
            <w:vAlign w:val="center"/>
          </w:tcPr>
          <w:p>
            <w:pPr>
              <w:spacing w:line="440" w:lineRule="atLeast"/>
              <w:jc w:val="center"/>
              <w:rPr>
                <w:color w:val="000000"/>
                <w:szCs w:val="21"/>
              </w:rPr>
            </w:pPr>
            <w:r>
              <w:rPr>
                <w:color w:val="000000"/>
                <w:szCs w:val="21"/>
              </w:rPr>
              <w:t>6</w:t>
            </w:r>
          </w:p>
        </w:tc>
        <w:tc>
          <w:tcPr>
            <w:tcW w:w="2653" w:type="dxa"/>
            <w:vAlign w:val="center"/>
          </w:tcPr>
          <w:p>
            <w:pPr>
              <w:spacing w:line="440" w:lineRule="atLeast"/>
              <w:rPr>
                <w:rFonts w:hAnsi="宋体"/>
                <w:color w:val="000000"/>
                <w:szCs w:val="21"/>
              </w:rPr>
            </w:pPr>
            <w:r>
              <w:rPr>
                <w:rFonts w:hint="eastAsia" w:hAnsi="宋体"/>
                <w:color w:val="000000"/>
                <w:szCs w:val="21"/>
              </w:rPr>
              <w:t>①与</w:t>
            </w:r>
            <w:r>
              <w:rPr>
                <w:rFonts w:hAnsi="宋体"/>
                <w:color w:val="000000"/>
              </w:rPr>
              <w:t>资格</w:t>
            </w:r>
            <w:r>
              <w:rPr>
                <w:rFonts w:hint="eastAsia" w:hAnsi="宋体"/>
                <w:color w:val="000000"/>
              </w:rPr>
              <w:t>审查</w:t>
            </w:r>
            <w:r>
              <w:rPr>
                <w:rFonts w:hint="eastAsia" w:hAnsi="宋体"/>
                <w:color w:val="000000"/>
                <w:szCs w:val="21"/>
              </w:rPr>
              <w:t>条件相比，近5年，每增加一个独立完成的单个</w:t>
            </w:r>
            <w:r>
              <w:rPr>
                <w:color w:val="000000"/>
              </w:rPr>
              <w:t>合同里程</w:t>
            </w:r>
            <w:r>
              <w:rPr>
                <w:rFonts w:hint="eastAsia"/>
                <w:color w:val="000000"/>
              </w:rPr>
              <w:t>3</w:t>
            </w:r>
            <w:r>
              <w:rPr>
                <w:color w:val="000000"/>
              </w:rPr>
              <w:t>8km及以上</w:t>
            </w:r>
            <w:r>
              <w:rPr>
                <w:rFonts w:hint="eastAsia" w:hAnsi="宋体"/>
                <w:color w:val="000000"/>
                <w:szCs w:val="21"/>
              </w:rPr>
              <w:t>的一级或以上等级新建或改扩建公路工程施工业绩（包含路基或路面），加</w:t>
            </w:r>
            <w:r>
              <w:rPr>
                <w:rFonts w:hAnsi="宋体"/>
                <w:color w:val="000000"/>
                <w:szCs w:val="21"/>
              </w:rPr>
              <w:t>1</w:t>
            </w:r>
            <w:r>
              <w:rPr>
                <w:rFonts w:hint="eastAsia" w:hAnsi="宋体"/>
                <w:color w:val="000000"/>
                <w:szCs w:val="21"/>
              </w:rPr>
              <w:t>分</w:t>
            </w:r>
            <w:r>
              <w:rPr>
                <w:rFonts w:hAnsi="宋体"/>
                <w:color w:val="000000"/>
                <w:szCs w:val="21"/>
              </w:rPr>
              <w:t>，最</w:t>
            </w:r>
            <w:r>
              <w:rPr>
                <w:rFonts w:hint="eastAsia" w:hAnsi="宋体"/>
                <w:color w:val="000000"/>
                <w:szCs w:val="21"/>
              </w:rPr>
              <w:t>多</w:t>
            </w:r>
            <w:r>
              <w:rPr>
                <w:rFonts w:hAnsi="宋体"/>
                <w:color w:val="000000"/>
                <w:szCs w:val="21"/>
              </w:rPr>
              <w:t>加</w:t>
            </w:r>
            <w:r>
              <w:rPr>
                <w:color w:val="000000"/>
                <w:szCs w:val="21"/>
              </w:rPr>
              <w:t>2</w:t>
            </w:r>
            <w:r>
              <w:rPr>
                <w:rFonts w:hAnsi="宋体"/>
                <w:color w:val="000000"/>
                <w:szCs w:val="21"/>
              </w:rPr>
              <w:t>分；</w:t>
            </w:r>
          </w:p>
          <w:p>
            <w:pPr>
              <w:spacing w:line="440" w:lineRule="atLeast"/>
              <w:rPr>
                <w:rFonts w:hAnsi="宋体"/>
                <w:color w:val="000000"/>
                <w:szCs w:val="21"/>
              </w:rPr>
            </w:pPr>
            <w:r>
              <w:rPr>
                <w:rFonts w:hint="eastAsia" w:hAnsi="宋体"/>
                <w:color w:val="000000"/>
                <w:szCs w:val="21"/>
              </w:rPr>
              <w:t>②与</w:t>
            </w:r>
            <w:r>
              <w:rPr>
                <w:rFonts w:hAnsi="宋体"/>
                <w:color w:val="000000"/>
              </w:rPr>
              <w:t>资格</w:t>
            </w:r>
            <w:r>
              <w:rPr>
                <w:rFonts w:hint="eastAsia" w:hAnsi="宋体"/>
                <w:color w:val="000000"/>
              </w:rPr>
              <w:t>审查</w:t>
            </w:r>
            <w:r>
              <w:rPr>
                <w:rFonts w:hint="eastAsia" w:hAnsi="宋体"/>
                <w:color w:val="000000"/>
                <w:szCs w:val="21"/>
              </w:rPr>
              <w:t>条件（业绩最低要求）相比，近5年，每增加</w:t>
            </w:r>
            <w:r>
              <w:rPr>
                <w:rFonts w:hAnsi="宋体"/>
                <w:color w:val="000000"/>
                <w:szCs w:val="21"/>
              </w:rPr>
              <w:t>1</w:t>
            </w:r>
            <w:r>
              <w:rPr>
                <w:rFonts w:hint="eastAsia" w:hAnsi="宋体"/>
                <w:color w:val="000000"/>
                <w:szCs w:val="21"/>
              </w:rPr>
              <w:t>座独立完成的主跨不小于</w:t>
            </w:r>
            <w:r>
              <w:rPr>
                <w:rFonts w:hAnsi="宋体"/>
                <w:color w:val="000000"/>
                <w:szCs w:val="21"/>
              </w:rPr>
              <w:t>200m</w:t>
            </w:r>
            <w:r>
              <w:rPr>
                <w:rFonts w:hint="eastAsia" w:hAnsi="宋体"/>
                <w:color w:val="000000"/>
                <w:szCs w:val="21"/>
              </w:rPr>
              <w:t>的特大桥施工业绩</w:t>
            </w:r>
            <w:r>
              <w:rPr>
                <w:rFonts w:hAnsi="宋体"/>
                <w:color w:val="000000"/>
                <w:szCs w:val="21"/>
              </w:rPr>
              <w:t>加</w:t>
            </w:r>
            <w:r>
              <w:rPr>
                <w:color w:val="000000"/>
                <w:szCs w:val="21"/>
              </w:rPr>
              <w:t>1</w:t>
            </w:r>
            <w:r>
              <w:rPr>
                <w:rFonts w:hAnsi="宋体"/>
                <w:color w:val="000000"/>
                <w:szCs w:val="21"/>
              </w:rPr>
              <w:t>分，最</w:t>
            </w:r>
            <w:r>
              <w:rPr>
                <w:rFonts w:hint="eastAsia" w:hAnsi="宋体"/>
                <w:color w:val="000000"/>
                <w:szCs w:val="21"/>
              </w:rPr>
              <w:t>多</w:t>
            </w:r>
            <w:r>
              <w:rPr>
                <w:rFonts w:hAnsi="宋体"/>
                <w:color w:val="000000"/>
                <w:szCs w:val="21"/>
              </w:rPr>
              <w:t>加</w:t>
            </w:r>
            <w:r>
              <w:rPr>
                <w:color w:val="000000"/>
                <w:szCs w:val="21"/>
              </w:rPr>
              <w:t>2</w:t>
            </w:r>
            <w:r>
              <w:rPr>
                <w:rFonts w:hAnsi="宋体"/>
                <w:color w:val="000000"/>
                <w:szCs w:val="21"/>
              </w:rPr>
              <w:t>分</w:t>
            </w:r>
            <w:r>
              <w:rPr>
                <w:rFonts w:hint="eastAsia" w:hAnsi="宋体"/>
                <w:color w:val="000000"/>
                <w:szCs w:val="21"/>
              </w:rPr>
              <w:t>。</w:t>
            </w:r>
          </w:p>
          <w:p>
            <w:pPr>
              <w:spacing w:line="440" w:lineRule="atLeast"/>
              <w:rPr>
                <w:color w:val="000000"/>
                <w:szCs w:val="21"/>
              </w:rPr>
            </w:pPr>
            <w:r>
              <w:rPr>
                <w:rFonts w:hint="eastAsia"/>
                <w:color w:val="000000"/>
                <w:szCs w:val="21"/>
              </w:rPr>
              <w:t>③投标人具有建设模式为“建养一体化”公路工程项目业绩的，每有1个加</w:t>
            </w:r>
            <w:r>
              <w:rPr>
                <w:color w:val="000000"/>
                <w:szCs w:val="21"/>
              </w:rPr>
              <w:t>1分</w:t>
            </w:r>
            <w:r>
              <w:rPr>
                <w:rFonts w:hint="eastAsia"/>
                <w:color w:val="000000"/>
                <w:szCs w:val="21"/>
              </w:rPr>
              <w:t>，最多加</w:t>
            </w:r>
            <w:r>
              <w:rPr>
                <w:color w:val="000000"/>
                <w:szCs w:val="21"/>
              </w:rPr>
              <w:t>2</w:t>
            </w:r>
            <w:r>
              <w:rPr>
                <w:rFonts w:hint="eastAsia"/>
                <w:color w:val="000000"/>
                <w:szCs w:val="21"/>
              </w:rPr>
              <w:t>分（仅需提供“建养一体化”项目合同和中标通知书）。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11" w:type="dxa"/>
            <w:vMerge w:val="restart"/>
            <w:vAlign w:val="center"/>
          </w:tcPr>
          <w:p>
            <w:pPr>
              <w:spacing w:line="440" w:lineRule="atLeast"/>
              <w:jc w:val="left"/>
              <w:rPr>
                <w:color w:val="000000"/>
                <w:sz w:val="24"/>
              </w:rPr>
            </w:pPr>
            <w:r>
              <w:rPr>
                <w:color w:val="000000"/>
                <w:sz w:val="24"/>
              </w:rPr>
              <w:t>2.2.4</w:t>
            </w:r>
            <w:r>
              <w:rPr>
                <w:rFonts w:hint="eastAsia"/>
                <w:color w:val="000000"/>
                <w:sz w:val="24"/>
              </w:rPr>
              <w:t>（</w:t>
            </w:r>
            <w:r>
              <w:rPr>
                <w:color w:val="000000"/>
                <w:sz w:val="24"/>
              </w:rPr>
              <w:t>3</w:t>
            </w:r>
            <w:r>
              <w:rPr>
                <w:rFonts w:hint="eastAsia"/>
                <w:color w:val="000000"/>
                <w:sz w:val="24"/>
              </w:rPr>
              <w:t>）</w:t>
            </w:r>
          </w:p>
        </w:tc>
        <w:tc>
          <w:tcPr>
            <w:tcW w:w="1552" w:type="dxa"/>
            <w:gridSpan w:val="2"/>
            <w:vMerge w:val="restart"/>
            <w:vAlign w:val="center"/>
          </w:tcPr>
          <w:p>
            <w:pPr>
              <w:spacing w:line="440" w:lineRule="atLeast"/>
              <w:jc w:val="center"/>
              <w:rPr>
                <w:rFonts w:hAnsi="宋体"/>
                <w:color w:val="000000"/>
                <w:sz w:val="24"/>
              </w:rPr>
            </w:pPr>
            <w:r>
              <w:rPr>
                <w:rFonts w:hint="eastAsia"/>
                <w:color w:val="000000"/>
                <w:kern w:val="0"/>
              </w:rPr>
              <w:t>财务能力</w:t>
            </w:r>
          </w:p>
        </w:tc>
        <w:tc>
          <w:tcPr>
            <w:tcW w:w="991" w:type="dxa"/>
            <w:vMerge w:val="restart"/>
            <w:vAlign w:val="center"/>
          </w:tcPr>
          <w:p>
            <w:pPr>
              <w:spacing w:line="440" w:lineRule="atLeast"/>
              <w:jc w:val="center"/>
              <w:rPr>
                <w:rFonts w:hAnsi="宋体"/>
                <w:color w:val="000000"/>
                <w:sz w:val="24"/>
              </w:rPr>
            </w:pPr>
            <w:r>
              <w:rPr>
                <w:rFonts w:hAnsi="宋体"/>
                <w:color w:val="000000"/>
              </w:rPr>
              <w:t>5</w:t>
            </w:r>
            <w:r>
              <w:rPr>
                <w:rFonts w:hint="eastAsia" w:hAnsi="宋体"/>
                <w:color w:val="000000"/>
              </w:rPr>
              <w:t>分</w:t>
            </w:r>
          </w:p>
        </w:tc>
        <w:tc>
          <w:tcPr>
            <w:tcW w:w="1077" w:type="dxa"/>
            <w:vAlign w:val="center"/>
          </w:tcPr>
          <w:p>
            <w:pPr>
              <w:spacing w:line="440" w:lineRule="atLeast"/>
              <w:jc w:val="center"/>
              <w:rPr>
                <w:color w:val="000000"/>
                <w:szCs w:val="21"/>
              </w:rPr>
            </w:pPr>
            <w:r>
              <w:rPr>
                <w:rFonts w:hAnsi="宋体"/>
                <w:color w:val="000000"/>
                <w:szCs w:val="21"/>
              </w:rPr>
              <w:t>基本分</w:t>
            </w:r>
          </w:p>
        </w:tc>
        <w:tc>
          <w:tcPr>
            <w:tcW w:w="712" w:type="dxa"/>
            <w:vAlign w:val="center"/>
          </w:tcPr>
          <w:p>
            <w:pPr>
              <w:spacing w:line="440" w:lineRule="atLeast"/>
              <w:jc w:val="center"/>
              <w:rPr>
                <w:color w:val="000000"/>
                <w:szCs w:val="21"/>
              </w:rPr>
            </w:pPr>
            <w:r>
              <w:rPr>
                <w:color w:val="000000"/>
                <w:szCs w:val="21"/>
              </w:rPr>
              <w:t>3</w:t>
            </w:r>
          </w:p>
        </w:tc>
        <w:tc>
          <w:tcPr>
            <w:tcW w:w="2653" w:type="dxa"/>
            <w:vAlign w:val="center"/>
          </w:tcPr>
          <w:p>
            <w:pPr>
              <w:spacing w:line="440" w:lineRule="atLeast"/>
              <w:rPr>
                <w:color w:val="000000"/>
                <w:spacing w:val="-16"/>
                <w:szCs w:val="21"/>
              </w:rPr>
            </w:pPr>
            <w:r>
              <w:rPr>
                <w:rFonts w:hAnsi="宋体"/>
                <w:color w:val="000000"/>
                <w:spacing w:val="-16"/>
                <w:szCs w:val="21"/>
              </w:rPr>
              <w:t>满足</w:t>
            </w:r>
            <w:r>
              <w:rPr>
                <w:rFonts w:hAnsi="宋体"/>
                <w:color w:val="000000"/>
                <w:szCs w:val="21"/>
              </w:rPr>
              <w:t>资格</w:t>
            </w:r>
            <w:r>
              <w:rPr>
                <w:rFonts w:hint="eastAsia" w:hAnsi="宋体"/>
                <w:color w:val="000000"/>
                <w:szCs w:val="21"/>
              </w:rPr>
              <w:t>审查条件的</w:t>
            </w:r>
            <w:r>
              <w:rPr>
                <w:rFonts w:hAnsi="宋体"/>
                <w:color w:val="000000"/>
                <w:spacing w:val="-16"/>
                <w:szCs w:val="21"/>
              </w:rPr>
              <w:t>得</w:t>
            </w:r>
            <w:r>
              <w:rPr>
                <w:color w:val="000000"/>
                <w:spacing w:val="-16"/>
                <w:szCs w:val="21"/>
              </w:rPr>
              <w:t>3</w:t>
            </w:r>
            <w:r>
              <w:rPr>
                <w:rFonts w:hAnsi="宋体"/>
                <w:color w:val="000000"/>
                <w:spacing w:val="-16"/>
                <w:szCs w:val="21"/>
              </w:rPr>
              <w:t>分</w:t>
            </w:r>
            <w:r>
              <w:rPr>
                <w:rFonts w:hint="eastAsia" w:hAnsi="宋体"/>
                <w:color w:val="000000"/>
                <w:spacing w:val="-1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11" w:type="dxa"/>
            <w:vMerge w:val="continue"/>
            <w:vAlign w:val="center"/>
          </w:tcPr>
          <w:p>
            <w:pPr>
              <w:spacing w:line="440" w:lineRule="atLeast"/>
              <w:jc w:val="left"/>
              <w:rPr>
                <w:color w:val="000000"/>
                <w:sz w:val="24"/>
              </w:rPr>
            </w:pPr>
          </w:p>
        </w:tc>
        <w:tc>
          <w:tcPr>
            <w:tcW w:w="1552" w:type="dxa"/>
            <w:gridSpan w:val="2"/>
            <w:vMerge w:val="continue"/>
            <w:vAlign w:val="center"/>
          </w:tcPr>
          <w:p>
            <w:pPr>
              <w:spacing w:line="440" w:lineRule="atLeast"/>
              <w:jc w:val="center"/>
              <w:rPr>
                <w:color w:val="000000"/>
                <w:kern w:val="0"/>
                <w:sz w:val="24"/>
              </w:rPr>
            </w:pPr>
          </w:p>
        </w:tc>
        <w:tc>
          <w:tcPr>
            <w:tcW w:w="991" w:type="dxa"/>
            <w:vMerge w:val="continue"/>
            <w:vAlign w:val="center"/>
          </w:tcPr>
          <w:p>
            <w:pPr>
              <w:spacing w:line="440" w:lineRule="atLeast"/>
              <w:jc w:val="center"/>
              <w:rPr>
                <w:rFonts w:hAnsi="宋体"/>
                <w:color w:val="000000"/>
                <w:sz w:val="24"/>
              </w:rPr>
            </w:pPr>
          </w:p>
        </w:tc>
        <w:tc>
          <w:tcPr>
            <w:tcW w:w="1077" w:type="dxa"/>
            <w:vAlign w:val="center"/>
          </w:tcPr>
          <w:p>
            <w:pPr>
              <w:spacing w:line="440" w:lineRule="atLeast"/>
              <w:jc w:val="center"/>
              <w:rPr>
                <w:color w:val="000000"/>
                <w:szCs w:val="21"/>
              </w:rPr>
            </w:pPr>
            <w:r>
              <w:rPr>
                <w:rFonts w:hint="eastAsia" w:hAnsi="宋体"/>
                <w:color w:val="000000"/>
                <w:szCs w:val="21"/>
              </w:rPr>
              <w:t>财务能力</w:t>
            </w:r>
          </w:p>
        </w:tc>
        <w:tc>
          <w:tcPr>
            <w:tcW w:w="712" w:type="dxa"/>
            <w:vAlign w:val="center"/>
          </w:tcPr>
          <w:p>
            <w:pPr>
              <w:spacing w:line="440" w:lineRule="atLeast"/>
              <w:jc w:val="center"/>
              <w:rPr>
                <w:color w:val="000000"/>
                <w:szCs w:val="21"/>
              </w:rPr>
            </w:pPr>
            <w:r>
              <w:rPr>
                <w:color w:val="000000"/>
                <w:szCs w:val="21"/>
              </w:rPr>
              <w:t>2</w:t>
            </w:r>
          </w:p>
        </w:tc>
        <w:tc>
          <w:tcPr>
            <w:tcW w:w="2653" w:type="dxa"/>
            <w:vAlign w:val="center"/>
          </w:tcPr>
          <w:p>
            <w:pPr>
              <w:spacing w:line="440" w:lineRule="atLeast"/>
              <w:rPr>
                <w:rFonts w:hAnsi="宋体"/>
                <w:color w:val="000000"/>
                <w:szCs w:val="21"/>
              </w:rPr>
            </w:pPr>
            <w:r>
              <w:rPr>
                <w:rFonts w:hint="eastAsia" w:hAnsi="宋体"/>
                <w:color w:val="000000"/>
                <w:szCs w:val="21"/>
              </w:rPr>
              <w:t>与</w:t>
            </w:r>
            <w:r>
              <w:rPr>
                <w:rFonts w:hAnsi="宋体"/>
                <w:color w:val="000000"/>
              </w:rPr>
              <w:t>资格</w:t>
            </w:r>
            <w:r>
              <w:rPr>
                <w:rFonts w:hint="eastAsia" w:hAnsi="宋体"/>
                <w:color w:val="000000"/>
              </w:rPr>
              <w:t>审查</w:t>
            </w:r>
            <w:r>
              <w:rPr>
                <w:rFonts w:hint="eastAsia" w:hAnsi="宋体"/>
                <w:color w:val="000000"/>
                <w:szCs w:val="21"/>
              </w:rPr>
              <w:t>条件相比，近三年年平均营业收入，每增加</w:t>
            </w:r>
            <w:r>
              <w:rPr>
                <w:rFonts w:hAnsi="宋体"/>
                <w:color w:val="000000"/>
                <w:szCs w:val="21"/>
              </w:rPr>
              <w:t>10</w:t>
            </w:r>
            <w:r>
              <w:rPr>
                <w:rFonts w:hint="eastAsia" w:hAnsi="宋体"/>
                <w:color w:val="000000"/>
                <w:szCs w:val="21"/>
              </w:rPr>
              <w:t>亿（不足</w:t>
            </w:r>
            <w:r>
              <w:rPr>
                <w:rFonts w:hAnsi="宋体"/>
                <w:color w:val="000000"/>
                <w:szCs w:val="21"/>
              </w:rPr>
              <w:t>10</w:t>
            </w:r>
            <w:r>
              <w:rPr>
                <w:rFonts w:hint="eastAsia" w:hAnsi="宋体"/>
                <w:color w:val="000000"/>
                <w:szCs w:val="21"/>
              </w:rPr>
              <w:t>亿部分不加分）</w:t>
            </w:r>
            <w:r>
              <w:rPr>
                <w:rFonts w:hAnsi="宋体"/>
                <w:color w:val="000000"/>
                <w:szCs w:val="21"/>
              </w:rPr>
              <w:t>加</w:t>
            </w:r>
            <w:r>
              <w:rPr>
                <w:color w:val="000000"/>
                <w:szCs w:val="21"/>
              </w:rPr>
              <w:t>0.5</w:t>
            </w:r>
            <w:r>
              <w:rPr>
                <w:rFonts w:hAnsi="宋体"/>
                <w:color w:val="000000"/>
                <w:szCs w:val="21"/>
              </w:rPr>
              <w:t>分，最</w:t>
            </w:r>
            <w:r>
              <w:rPr>
                <w:rFonts w:hint="eastAsia" w:hAnsi="宋体"/>
                <w:color w:val="000000"/>
                <w:szCs w:val="21"/>
              </w:rPr>
              <w:t>多</w:t>
            </w:r>
            <w:r>
              <w:rPr>
                <w:rFonts w:hAnsi="宋体"/>
                <w:color w:val="000000"/>
                <w:szCs w:val="21"/>
              </w:rPr>
              <w:t>加</w:t>
            </w:r>
            <w:r>
              <w:rPr>
                <w:color w:val="000000"/>
                <w:szCs w:val="21"/>
              </w:rPr>
              <w:t>0.5</w:t>
            </w:r>
            <w:r>
              <w:rPr>
                <w:rFonts w:hAnsi="宋体"/>
                <w:color w:val="000000"/>
                <w:szCs w:val="21"/>
              </w:rPr>
              <w:t>分。</w:t>
            </w:r>
          </w:p>
          <w:p>
            <w:pPr>
              <w:spacing w:line="440" w:lineRule="atLeast"/>
              <w:rPr>
                <w:rFonts w:hAnsi="宋体"/>
                <w:color w:val="000000"/>
                <w:szCs w:val="21"/>
              </w:rPr>
            </w:pPr>
            <w:r>
              <w:rPr>
                <w:rFonts w:hint="eastAsia" w:hAnsi="宋体"/>
                <w:color w:val="000000"/>
                <w:szCs w:val="21"/>
              </w:rPr>
              <w:t>与</w:t>
            </w:r>
            <w:r>
              <w:rPr>
                <w:rFonts w:hAnsi="宋体"/>
                <w:color w:val="000000"/>
              </w:rPr>
              <w:t>资格</w:t>
            </w:r>
            <w:r>
              <w:rPr>
                <w:rFonts w:hint="eastAsia" w:hAnsi="宋体"/>
                <w:color w:val="000000"/>
              </w:rPr>
              <w:t>审查</w:t>
            </w:r>
            <w:r>
              <w:rPr>
                <w:rFonts w:hint="eastAsia" w:hAnsi="宋体"/>
                <w:color w:val="000000"/>
                <w:szCs w:val="21"/>
              </w:rPr>
              <w:t>条件相比，</w:t>
            </w:r>
            <w:r>
              <w:rPr>
                <w:rFonts w:hAnsi="宋体"/>
                <w:color w:val="000000"/>
                <w:szCs w:val="21"/>
              </w:rPr>
              <w:t>2017</w:t>
            </w:r>
            <w:r>
              <w:rPr>
                <w:rFonts w:hint="eastAsia" w:hAnsi="宋体"/>
                <w:color w:val="000000"/>
                <w:szCs w:val="21"/>
              </w:rPr>
              <w:t>年末净资产，每增加</w:t>
            </w:r>
            <w:r>
              <w:rPr>
                <w:rFonts w:hAnsi="宋体"/>
                <w:color w:val="000000"/>
                <w:szCs w:val="21"/>
              </w:rPr>
              <w:t>10</w:t>
            </w:r>
            <w:r>
              <w:rPr>
                <w:rFonts w:hint="eastAsia" w:hAnsi="宋体"/>
                <w:color w:val="000000"/>
                <w:szCs w:val="21"/>
              </w:rPr>
              <w:t>亿（不足</w:t>
            </w:r>
            <w:r>
              <w:rPr>
                <w:rFonts w:hAnsi="宋体"/>
                <w:color w:val="000000"/>
                <w:szCs w:val="21"/>
              </w:rPr>
              <w:t>10</w:t>
            </w:r>
            <w:r>
              <w:rPr>
                <w:rFonts w:hint="eastAsia" w:hAnsi="宋体"/>
                <w:color w:val="000000"/>
                <w:szCs w:val="21"/>
              </w:rPr>
              <w:t>亿部分不加分）</w:t>
            </w:r>
            <w:r>
              <w:rPr>
                <w:rFonts w:hAnsi="宋体"/>
                <w:color w:val="000000"/>
                <w:szCs w:val="21"/>
              </w:rPr>
              <w:t>加</w:t>
            </w:r>
            <w:r>
              <w:rPr>
                <w:color w:val="000000"/>
                <w:szCs w:val="21"/>
              </w:rPr>
              <w:t>0.5</w:t>
            </w:r>
            <w:r>
              <w:rPr>
                <w:rFonts w:hAnsi="宋体"/>
                <w:color w:val="000000"/>
                <w:szCs w:val="21"/>
              </w:rPr>
              <w:t>分，最</w:t>
            </w:r>
            <w:r>
              <w:rPr>
                <w:rFonts w:hint="eastAsia" w:hAnsi="宋体"/>
                <w:color w:val="000000"/>
                <w:szCs w:val="21"/>
              </w:rPr>
              <w:t>多</w:t>
            </w:r>
            <w:r>
              <w:rPr>
                <w:rFonts w:hAnsi="宋体"/>
                <w:color w:val="000000"/>
                <w:szCs w:val="21"/>
              </w:rPr>
              <w:t>加</w:t>
            </w:r>
            <w:r>
              <w:rPr>
                <w:color w:val="000000"/>
                <w:szCs w:val="21"/>
              </w:rPr>
              <w:t>0.5</w:t>
            </w:r>
            <w:r>
              <w:rPr>
                <w:rFonts w:hAnsi="宋体"/>
                <w:color w:val="000000"/>
                <w:szCs w:val="21"/>
              </w:rPr>
              <w:t>分。</w:t>
            </w:r>
          </w:p>
          <w:p>
            <w:pPr>
              <w:spacing w:line="440" w:lineRule="atLeast"/>
              <w:rPr>
                <w:rFonts w:hAnsi="宋体"/>
                <w:color w:val="000000"/>
                <w:szCs w:val="21"/>
              </w:rPr>
            </w:pPr>
            <w:r>
              <w:rPr>
                <w:rFonts w:hAnsi="宋体"/>
                <w:color w:val="000000"/>
                <w:szCs w:val="21"/>
              </w:rPr>
              <w:t>与资格审查条件相比</w:t>
            </w:r>
            <w:r>
              <w:rPr>
                <w:rFonts w:hint="eastAsia" w:hAnsi="宋体"/>
                <w:color w:val="000000"/>
                <w:szCs w:val="21"/>
              </w:rPr>
              <w:t>，</w:t>
            </w:r>
            <w:r>
              <w:rPr>
                <w:rFonts w:hAnsi="宋体"/>
                <w:color w:val="000000"/>
                <w:szCs w:val="21"/>
              </w:rPr>
              <w:t>投标人注册资本每增加</w:t>
            </w:r>
            <w:r>
              <w:rPr>
                <w:rFonts w:hint="eastAsia" w:hAnsi="宋体"/>
                <w:color w:val="000000"/>
                <w:szCs w:val="21"/>
              </w:rPr>
              <w:t>5亿元加0</w:t>
            </w:r>
            <w:r>
              <w:rPr>
                <w:rFonts w:hAnsi="宋体"/>
                <w:color w:val="000000"/>
                <w:szCs w:val="21"/>
              </w:rPr>
              <w:t>.5分</w:t>
            </w:r>
            <w:r>
              <w:rPr>
                <w:rFonts w:hint="eastAsia" w:hAnsi="宋体"/>
                <w:color w:val="000000"/>
                <w:szCs w:val="21"/>
              </w:rPr>
              <w:t>（不足</w:t>
            </w:r>
            <w:r>
              <w:rPr>
                <w:rFonts w:hAnsi="宋体"/>
                <w:color w:val="000000"/>
                <w:szCs w:val="21"/>
              </w:rPr>
              <w:t>5</w:t>
            </w:r>
            <w:r>
              <w:rPr>
                <w:rFonts w:hint="eastAsia" w:hAnsi="宋体"/>
                <w:color w:val="000000"/>
                <w:szCs w:val="21"/>
              </w:rPr>
              <w:t>亿部分不加分），</w:t>
            </w:r>
            <w:r>
              <w:rPr>
                <w:rFonts w:hAnsi="宋体"/>
                <w:color w:val="000000"/>
                <w:szCs w:val="21"/>
              </w:rPr>
              <w:t>最多加</w:t>
            </w:r>
            <w:r>
              <w:rPr>
                <w:rFonts w:hint="eastAsia" w:hAnsi="宋体"/>
                <w:color w:val="000000"/>
                <w:szCs w:val="21"/>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863" w:type="dxa"/>
            <w:gridSpan w:val="3"/>
            <w:vMerge w:val="restart"/>
            <w:vAlign w:val="center"/>
          </w:tcPr>
          <w:p>
            <w:pPr>
              <w:spacing w:line="440" w:lineRule="atLeast"/>
              <w:jc w:val="center"/>
              <w:rPr>
                <w:color w:val="000000"/>
              </w:rPr>
            </w:pPr>
            <w:r>
              <w:rPr>
                <w:color w:val="000000"/>
              </w:rPr>
              <w:t>2.2.4</w:t>
            </w:r>
            <w:r>
              <w:rPr>
                <w:rFonts w:hint="eastAsia"/>
                <w:color w:val="000000"/>
              </w:rPr>
              <w:t>（</w:t>
            </w:r>
            <w:r>
              <w:rPr>
                <w:color w:val="000000"/>
              </w:rPr>
              <w:t>4</w:t>
            </w:r>
            <w:r>
              <w:rPr>
                <w:rFonts w:hint="eastAsia"/>
                <w:color w:val="000000"/>
              </w:rPr>
              <w:t>）</w:t>
            </w:r>
          </w:p>
          <w:p>
            <w:pPr>
              <w:spacing w:line="440" w:lineRule="atLeast"/>
              <w:jc w:val="center"/>
              <w:rPr>
                <w:color w:val="000000"/>
              </w:rPr>
            </w:pPr>
            <w:r>
              <w:rPr>
                <w:rFonts w:hint="eastAsia"/>
                <w:color w:val="000000"/>
                <w:kern w:val="0"/>
              </w:rPr>
              <w:t>项目实施初步方案</w:t>
            </w:r>
          </w:p>
        </w:tc>
        <w:tc>
          <w:tcPr>
            <w:tcW w:w="991" w:type="dxa"/>
            <w:vMerge w:val="restart"/>
            <w:vAlign w:val="center"/>
          </w:tcPr>
          <w:p>
            <w:pPr>
              <w:spacing w:line="440" w:lineRule="atLeast"/>
              <w:jc w:val="center"/>
              <w:rPr>
                <w:color w:val="000000"/>
              </w:rPr>
            </w:pPr>
            <w:r>
              <w:rPr>
                <w:color w:val="000000"/>
              </w:rPr>
              <w:t>20</w:t>
            </w:r>
            <w:r>
              <w:rPr>
                <w:rFonts w:hint="eastAsia"/>
                <w:color w:val="000000"/>
              </w:rPr>
              <w:t>分</w:t>
            </w:r>
          </w:p>
        </w:tc>
        <w:tc>
          <w:tcPr>
            <w:tcW w:w="1077" w:type="dxa"/>
            <w:vAlign w:val="center"/>
          </w:tcPr>
          <w:p>
            <w:pPr>
              <w:spacing w:line="440" w:lineRule="atLeast"/>
              <w:rPr>
                <w:color w:val="000000"/>
              </w:rPr>
            </w:pPr>
            <w:r>
              <w:rPr>
                <w:rFonts w:hint="eastAsia" w:hAnsi="宋体"/>
                <w:color w:val="000000"/>
                <w:kern w:val="0"/>
              </w:rPr>
              <w:t>资金保障方案</w:t>
            </w:r>
          </w:p>
        </w:tc>
        <w:tc>
          <w:tcPr>
            <w:tcW w:w="712" w:type="dxa"/>
            <w:vAlign w:val="center"/>
          </w:tcPr>
          <w:p>
            <w:pPr>
              <w:spacing w:line="440" w:lineRule="atLeast"/>
              <w:jc w:val="center"/>
              <w:rPr>
                <w:color w:val="000000"/>
              </w:rPr>
            </w:pPr>
            <w:r>
              <w:rPr>
                <w:color w:val="000000"/>
              </w:rPr>
              <w:t>5</w:t>
            </w:r>
          </w:p>
        </w:tc>
        <w:tc>
          <w:tcPr>
            <w:tcW w:w="2653" w:type="dxa"/>
            <w:vAlign w:val="center"/>
          </w:tcPr>
          <w:p>
            <w:pPr>
              <w:spacing w:line="440" w:lineRule="atLeast"/>
              <w:rPr>
                <w:color w:val="000000"/>
              </w:rPr>
            </w:pPr>
            <w:r>
              <w:rPr>
                <w:rFonts w:hint="eastAsia" w:hAnsi="宋体"/>
                <w:color w:val="000000"/>
                <w:kern w:val="0"/>
              </w:rPr>
              <w:t>根据针对本项目的资金保障方案（包括拟用于本项目的资金的额度及其保证措施、项目资金的来源及其保证措施、项目资金的风险控制及保证措施、项目资金到位的保证或承诺及实现方法）的合理性、可行性及其保障措施的优劣评分，得</w:t>
            </w:r>
            <w:r>
              <w:rPr>
                <w:rFonts w:hAnsi="宋体"/>
                <w:color w:val="000000"/>
                <w:kern w:val="0"/>
              </w:rPr>
              <w:t>3</w:t>
            </w:r>
            <w:r>
              <w:rPr>
                <w:rFonts w:hint="eastAsia" w:hAnsi="宋体"/>
                <w:color w:val="000000"/>
                <w:kern w:val="0"/>
              </w:rPr>
              <w:t>~</w:t>
            </w:r>
            <w:r>
              <w:rPr>
                <w:rFonts w:hAnsi="宋体"/>
                <w:color w:val="000000"/>
                <w:kern w:val="0"/>
              </w:rPr>
              <w:t>5</w:t>
            </w:r>
            <w:r>
              <w:rPr>
                <w:rFonts w:hint="eastAsia" w:hAnsi="宋体"/>
                <w:color w:val="000000"/>
                <w:kern w:val="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863" w:type="dxa"/>
            <w:gridSpan w:val="3"/>
            <w:vMerge w:val="continue"/>
            <w:vAlign w:val="center"/>
          </w:tcPr>
          <w:p>
            <w:pPr>
              <w:spacing w:line="440" w:lineRule="atLeast"/>
              <w:jc w:val="center"/>
              <w:rPr>
                <w:color w:val="000000"/>
              </w:rPr>
            </w:pPr>
          </w:p>
        </w:tc>
        <w:tc>
          <w:tcPr>
            <w:tcW w:w="991" w:type="dxa"/>
            <w:vMerge w:val="continue"/>
            <w:vAlign w:val="center"/>
          </w:tcPr>
          <w:p>
            <w:pPr>
              <w:spacing w:line="440" w:lineRule="atLeast"/>
              <w:jc w:val="center"/>
              <w:rPr>
                <w:color w:val="000000"/>
              </w:rPr>
            </w:pPr>
          </w:p>
        </w:tc>
        <w:tc>
          <w:tcPr>
            <w:tcW w:w="1077" w:type="dxa"/>
            <w:vAlign w:val="center"/>
          </w:tcPr>
          <w:p>
            <w:pPr>
              <w:spacing w:line="440" w:lineRule="atLeast"/>
              <w:jc w:val="center"/>
              <w:rPr>
                <w:color w:val="000000"/>
              </w:rPr>
            </w:pPr>
            <w:r>
              <w:rPr>
                <w:rFonts w:hint="eastAsia" w:hAnsi="宋体"/>
                <w:color w:val="000000"/>
                <w:kern w:val="0"/>
              </w:rPr>
              <w:t>施工总承包初步方案</w:t>
            </w:r>
          </w:p>
        </w:tc>
        <w:tc>
          <w:tcPr>
            <w:tcW w:w="712" w:type="dxa"/>
            <w:vAlign w:val="center"/>
          </w:tcPr>
          <w:p>
            <w:pPr>
              <w:spacing w:line="440" w:lineRule="atLeast"/>
              <w:jc w:val="center"/>
              <w:rPr>
                <w:color w:val="000000"/>
              </w:rPr>
            </w:pPr>
            <w:r>
              <w:rPr>
                <w:color w:val="000000"/>
              </w:rPr>
              <w:t>10</w:t>
            </w:r>
          </w:p>
        </w:tc>
        <w:tc>
          <w:tcPr>
            <w:tcW w:w="2653" w:type="dxa"/>
            <w:vAlign w:val="center"/>
          </w:tcPr>
          <w:p>
            <w:pPr>
              <w:spacing w:line="440" w:lineRule="atLeast"/>
              <w:rPr>
                <w:color w:val="000000"/>
              </w:rPr>
            </w:pPr>
            <w:r>
              <w:rPr>
                <w:rFonts w:hAnsi="宋体"/>
                <w:color w:val="000000"/>
                <w:kern w:val="0"/>
              </w:rPr>
              <w:t>根据</w:t>
            </w:r>
            <w:r>
              <w:rPr>
                <w:rFonts w:hint="eastAsia" w:hAnsi="宋体"/>
                <w:color w:val="000000"/>
                <w:kern w:val="0"/>
              </w:rPr>
              <w:t>施工总承包初步方案（包括项目施工组织布置及规划、项目管理机构设置、工程施工方案及保证措施等）的可行性，质量、安全、环保、进度等目标及其保证措施的合理性、保障性、有效性评分，得</w:t>
            </w:r>
            <w:r>
              <w:rPr>
                <w:rFonts w:hAnsi="宋体"/>
                <w:color w:val="000000"/>
                <w:kern w:val="0"/>
              </w:rPr>
              <w:t>6~10</w:t>
            </w:r>
            <w:r>
              <w:rPr>
                <w:rFonts w:hint="eastAsia" w:hAnsi="宋体"/>
                <w:color w:val="000000"/>
                <w:kern w:val="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863" w:type="dxa"/>
            <w:gridSpan w:val="3"/>
            <w:vMerge w:val="continue"/>
            <w:vAlign w:val="center"/>
          </w:tcPr>
          <w:p>
            <w:pPr>
              <w:spacing w:line="440" w:lineRule="atLeast"/>
              <w:jc w:val="center"/>
              <w:rPr>
                <w:color w:val="000000"/>
              </w:rPr>
            </w:pPr>
          </w:p>
        </w:tc>
        <w:tc>
          <w:tcPr>
            <w:tcW w:w="991" w:type="dxa"/>
            <w:vMerge w:val="continue"/>
            <w:vAlign w:val="center"/>
          </w:tcPr>
          <w:p>
            <w:pPr>
              <w:spacing w:line="440" w:lineRule="atLeast"/>
              <w:jc w:val="center"/>
              <w:rPr>
                <w:color w:val="000000"/>
              </w:rPr>
            </w:pPr>
          </w:p>
        </w:tc>
        <w:tc>
          <w:tcPr>
            <w:tcW w:w="1077" w:type="dxa"/>
            <w:vAlign w:val="center"/>
          </w:tcPr>
          <w:p>
            <w:pPr>
              <w:spacing w:line="440" w:lineRule="atLeast"/>
              <w:jc w:val="center"/>
              <w:rPr>
                <w:color w:val="000000"/>
              </w:rPr>
            </w:pPr>
            <w:r>
              <w:rPr>
                <w:rFonts w:hint="eastAsia"/>
                <w:color w:val="000000"/>
              </w:rPr>
              <w:t>养护方案</w:t>
            </w:r>
          </w:p>
        </w:tc>
        <w:tc>
          <w:tcPr>
            <w:tcW w:w="712" w:type="dxa"/>
            <w:vAlign w:val="center"/>
          </w:tcPr>
          <w:p>
            <w:pPr>
              <w:spacing w:line="440" w:lineRule="atLeast"/>
              <w:jc w:val="center"/>
              <w:rPr>
                <w:color w:val="000000"/>
              </w:rPr>
            </w:pPr>
            <w:r>
              <w:rPr>
                <w:color w:val="000000"/>
              </w:rPr>
              <w:t>5</w:t>
            </w:r>
          </w:p>
        </w:tc>
        <w:tc>
          <w:tcPr>
            <w:tcW w:w="2653" w:type="dxa"/>
            <w:vAlign w:val="center"/>
          </w:tcPr>
          <w:p>
            <w:pPr>
              <w:spacing w:line="440" w:lineRule="atLeast"/>
              <w:rPr>
                <w:color w:val="000000"/>
              </w:rPr>
            </w:pPr>
            <w:r>
              <w:rPr>
                <w:rFonts w:hAnsi="宋体"/>
                <w:color w:val="000000"/>
                <w:kern w:val="0"/>
              </w:rPr>
              <w:t>根据</w:t>
            </w:r>
            <w:r>
              <w:rPr>
                <w:rFonts w:hint="eastAsia" w:hAnsi="宋体"/>
                <w:color w:val="000000"/>
              </w:rPr>
              <w:t>养护方案（包括养护人员及设备配置、养护目标及保证措施、养护方式及标准、养护移交的标准等）</w:t>
            </w:r>
            <w:r>
              <w:rPr>
                <w:rFonts w:hint="eastAsia" w:hAnsi="宋体"/>
                <w:color w:val="000000"/>
                <w:kern w:val="0"/>
              </w:rPr>
              <w:t>的可行性、合理性、保障性、有效性评分，得</w:t>
            </w:r>
            <w:r>
              <w:rPr>
                <w:rFonts w:hAnsi="宋体"/>
                <w:color w:val="000000"/>
                <w:kern w:val="0"/>
              </w:rPr>
              <w:t>3~5</w:t>
            </w:r>
            <w:r>
              <w:rPr>
                <w:rFonts w:hint="eastAsia" w:hAnsi="宋体"/>
                <w:color w:val="000000"/>
                <w:kern w:val="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863" w:type="dxa"/>
            <w:gridSpan w:val="3"/>
            <w:vAlign w:val="center"/>
          </w:tcPr>
          <w:p>
            <w:pPr>
              <w:spacing w:line="440" w:lineRule="exact"/>
              <w:jc w:val="center"/>
              <w:rPr>
                <w:color w:val="000000"/>
                <w:szCs w:val="21"/>
              </w:rPr>
            </w:pPr>
            <w:r>
              <w:rPr>
                <w:rFonts w:hint="eastAsia"/>
                <w:color w:val="000000"/>
                <w:szCs w:val="21"/>
              </w:rPr>
              <w:t>2</w:t>
            </w:r>
            <w:r>
              <w:rPr>
                <w:color w:val="000000"/>
                <w:szCs w:val="21"/>
              </w:rPr>
              <w:t>.2.4</w:t>
            </w:r>
            <w:r>
              <w:rPr>
                <w:rFonts w:hint="eastAsia"/>
                <w:color w:val="000000"/>
                <w:szCs w:val="21"/>
              </w:rPr>
              <w:t>（5）</w:t>
            </w:r>
          </w:p>
          <w:p>
            <w:pPr>
              <w:spacing w:line="440" w:lineRule="exact"/>
              <w:jc w:val="center"/>
              <w:rPr>
                <w:color w:val="000000"/>
                <w:szCs w:val="21"/>
              </w:rPr>
            </w:pPr>
            <w:r>
              <w:rPr>
                <w:color w:val="000000"/>
                <w:szCs w:val="21"/>
              </w:rPr>
              <w:t>投标价</w:t>
            </w:r>
          </w:p>
        </w:tc>
        <w:tc>
          <w:tcPr>
            <w:tcW w:w="991" w:type="dxa"/>
            <w:vAlign w:val="center"/>
          </w:tcPr>
          <w:p>
            <w:pPr>
              <w:spacing w:line="440" w:lineRule="exact"/>
              <w:jc w:val="center"/>
              <w:rPr>
                <w:color w:val="000000"/>
                <w:szCs w:val="21"/>
              </w:rPr>
            </w:pPr>
            <w:r>
              <w:rPr>
                <w:color w:val="000000"/>
                <w:szCs w:val="21"/>
              </w:rPr>
              <w:t>50</w:t>
            </w:r>
            <w:r>
              <w:rPr>
                <w:rFonts w:hint="eastAsia"/>
                <w:color w:val="000000"/>
                <w:szCs w:val="21"/>
              </w:rPr>
              <w:t>分</w:t>
            </w:r>
          </w:p>
        </w:tc>
        <w:tc>
          <w:tcPr>
            <w:tcW w:w="4442" w:type="dxa"/>
            <w:gridSpan w:val="3"/>
            <w:vAlign w:val="center"/>
          </w:tcPr>
          <w:p>
            <w:pPr>
              <w:spacing w:line="400" w:lineRule="atLeast"/>
              <w:rPr>
                <w:color w:val="000000"/>
                <w:szCs w:val="21"/>
              </w:rPr>
            </w:pPr>
            <w:r>
              <w:rPr>
                <w:rFonts w:hint="eastAsia"/>
                <w:color w:val="000000"/>
                <w:szCs w:val="21"/>
              </w:rPr>
              <w:t>评标价得分计算公式示例：</w:t>
            </w:r>
          </w:p>
          <w:p>
            <w:pPr>
              <w:spacing w:line="400" w:lineRule="atLeast"/>
              <w:rPr>
                <w:color w:val="000000"/>
                <w:szCs w:val="21"/>
              </w:rPr>
            </w:pPr>
            <w:r>
              <w:rPr>
                <w:color w:val="000000"/>
                <w:szCs w:val="21"/>
              </w:rPr>
              <w:t>(1)</w:t>
            </w:r>
            <w:r>
              <w:rPr>
                <w:rFonts w:hint="eastAsia"/>
                <w:color w:val="000000"/>
                <w:szCs w:val="21"/>
              </w:rPr>
              <w:t>如果投标人的评标价</w:t>
            </w:r>
            <w:r>
              <w:rPr>
                <w:color w:val="000000"/>
                <w:szCs w:val="21"/>
              </w:rPr>
              <w:t>&gt;</w:t>
            </w:r>
            <w:r>
              <w:rPr>
                <w:rFonts w:hint="eastAsia"/>
                <w:color w:val="000000"/>
                <w:szCs w:val="21"/>
              </w:rPr>
              <w:t>评标基准价，则评标价得分＝</w:t>
            </w:r>
            <w:r>
              <w:rPr>
                <w:color w:val="000000"/>
                <w:szCs w:val="21"/>
              </w:rPr>
              <w:t>50</w:t>
            </w:r>
            <w:r>
              <w:rPr>
                <w:rFonts w:hint="eastAsia"/>
                <w:color w:val="000000"/>
                <w:szCs w:val="21"/>
              </w:rPr>
              <w:t>－偏差率</w:t>
            </w:r>
            <w:r>
              <w:rPr>
                <w:color w:val="000000"/>
                <w:szCs w:val="21"/>
              </w:rPr>
              <w:t>×100×E</w:t>
            </w:r>
            <w:r>
              <w:rPr>
                <w:color w:val="000000"/>
                <w:szCs w:val="21"/>
                <w:vertAlign w:val="subscript"/>
              </w:rPr>
              <w:t>1</w:t>
            </w:r>
            <w:r>
              <w:rPr>
                <w:rFonts w:hint="eastAsia"/>
                <w:color w:val="000000"/>
                <w:szCs w:val="21"/>
              </w:rPr>
              <w:t>；</w:t>
            </w:r>
          </w:p>
          <w:p>
            <w:pPr>
              <w:spacing w:line="400" w:lineRule="atLeast"/>
              <w:rPr>
                <w:color w:val="000000"/>
                <w:szCs w:val="21"/>
              </w:rPr>
            </w:pPr>
            <w:r>
              <w:rPr>
                <w:color w:val="000000"/>
                <w:szCs w:val="21"/>
              </w:rPr>
              <w:t>(2)</w:t>
            </w:r>
            <w:r>
              <w:rPr>
                <w:rFonts w:hint="eastAsia"/>
                <w:color w:val="000000"/>
                <w:szCs w:val="21"/>
              </w:rPr>
              <w:t>如果投标人的评标价</w:t>
            </w:r>
            <w:r>
              <w:rPr>
                <w:rFonts w:ascii="宋体" w:hAnsi="宋体"/>
                <w:color w:val="000000"/>
                <w:szCs w:val="21"/>
              </w:rPr>
              <w:t>≤</w:t>
            </w:r>
            <w:r>
              <w:rPr>
                <w:rFonts w:hint="eastAsia"/>
                <w:color w:val="000000"/>
                <w:szCs w:val="21"/>
              </w:rPr>
              <w:t>评标基准价，则评标价得分＝</w:t>
            </w:r>
            <w:r>
              <w:rPr>
                <w:color w:val="000000"/>
                <w:szCs w:val="21"/>
              </w:rPr>
              <w:t>50</w:t>
            </w:r>
            <w:r>
              <w:rPr>
                <w:rFonts w:hint="eastAsia"/>
                <w:color w:val="000000"/>
                <w:szCs w:val="21"/>
              </w:rPr>
              <w:t>＋偏差率</w:t>
            </w:r>
            <w:r>
              <w:rPr>
                <w:color w:val="000000"/>
                <w:szCs w:val="21"/>
              </w:rPr>
              <w:t>×100×E</w:t>
            </w:r>
            <w:r>
              <w:rPr>
                <w:color w:val="000000"/>
                <w:szCs w:val="21"/>
                <w:vertAlign w:val="subscript"/>
              </w:rPr>
              <w:t>2</w:t>
            </w:r>
            <w:r>
              <w:rPr>
                <w:rFonts w:hint="eastAsia"/>
                <w:color w:val="000000"/>
                <w:szCs w:val="21"/>
              </w:rPr>
              <w:t>。</w:t>
            </w:r>
          </w:p>
          <w:p>
            <w:pPr>
              <w:spacing w:line="400" w:lineRule="atLeast"/>
              <w:ind w:firstLine="420" w:firstLineChars="200"/>
              <w:rPr>
                <w:color w:val="000000"/>
                <w:szCs w:val="21"/>
              </w:rPr>
            </w:pPr>
            <w:r>
              <w:rPr>
                <w:rFonts w:hint="eastAsia"/>
                <w:color w:val="000000"/>
                <w:szCs w:val="21"/>
              </w:rPr>
              <w:t>其中：</w:t>
            </w:r>
            <w:r>
              <w:rPr>
                <w:color w:val="000000"/>
                <w:szCs w:val="21"/>
              </w:rPr>
              <w:t>E</w:t>
            </w:r>
            <w:r>
              <w:rPr>
                <w:color w:val="000000"/>
                <w:szCs w:val="21"/>
                <w:vertAlign w:val="subscript"/>
              </w:rPr>
              <w:t>1</w:t>
            </w:r>
            <w:r>
              <w:rPr>
                <w:rFonts w:hint="eastAsia"/>
                <w:color w:val="000000"/>
                <w:szCs w:val="21"/>
              </w:rPr>
              <w:t>是评标价每高于评标基准价一个百分点的扣分值，</w:t>
            </w:r>
            <w:r>
              <w:rPr>
                <w:color w:val="000000"/>
                <w:szCs w:val="21"/>
              </w:rPr>
              <w:t>E</w:t>
            </w:r>
            <w:r>
              <w:rPr>
                <w:color w:val="000000"/>
                <w:szCs w:val="21"/>
                <w:vertAlign w:val="subscript"/>
              </w:rPr>
              <w:t>1</w:t>
            </w:r>
            <w:r>
              <w:rPr>
                <w:color w:val="000000"/>
                <w:szCs w:val="21"/>
              </w:rPr>
              <w:t>=1</w:t>
            </w:r>
            <w:r>
              <w:rPr>
                <w:rFonts w:hint="eastAsia"/>
                <w:color w:val="000000"/>
                <w:szCs w:val="21"/>
              </w:rPr>
              <w:t>；</w:t>
            </w:r>
            <w:r>
              <w:rPr>
                <w:color w:val="000000"/>
                <w:szCs w:val="21"/>
              </w:rPr>
              <w:t>E</w:t>
            </w:r>
            <w:r>
              <w:rPr>
                <w:color w:val="000000"/>
                <w:szCs w:val="21"/>
                <w:vertAlign w:val="subscript"/>
              </w:rPr>
              <w:t>2</w:t>
            </w:r>
            <w:r>
              <w:rPr>
                <w:rFonts w:hint="eastAsia"/>
                <w:color w:val="000000"/>
                <w:szCs w:val="21"/>
              </w:rPr>
              <w:t>是评标价每低于评标基准价一个百分点的扣分值，</w:t>
            </w:r>
            <w:r>
              <w:rPr>
                <w:color w:val="000000"/>
                <w:szCs w:val="21"/>
              </w:rPr>
              <w:t>E</w:t>
            </w:r>
            <w:r>
              <w:rPr>
                <w:color w:val="000000"/>
                <w:szCs w:val="21"/>
                <w:vertAlign w:val="subscript"/>
              </w:rPr>
              <w:t>2</w:t>
            </w:r>
            <w:r>
              <w:rPr>
                <w:color w:val="000000"/>
                <w:szCs w:val="21"/>
              </w:rPr>
              <w:t>=0.8</w:t>
            </w:r>
            <w:r>
              <w:rPr>
                <w:rFonts w:hint="eastAsia"/>
                <w:color w:val="000000"/>
                <w:szCs w:val="21"/>
              </w:rPr>
              <w:t>。</w:t>
            </w:r>
          </w:p>
          <w:p>
            <w:pPr>
              <w:spacing w:line="440" w:lineRule="exact"/>
              <w:rPr>
                <w:color w:val="000000"/>
                <w:szCs w:val="21"/>
              </w:rPr>
            </w:pPr>
            <w:r>
              <w:rPr>
                <w:rFonts w:hint="eastAsia"/>
                <w:color w:val="000000"/>
                <w:szCs w:val="21"/>
              </w:rPr>
              <w:t>报价得分</w:t>
            </w:r>
            <w:r>
              <w:rPr>
                <w:rFonts w:ascii="宋体" w:hAnsi="宋体"/>
                <w:color w:val="000000"/>
                <w:szCs w:val="21"/>
              </w:rPr>
              <w:t>≥</w:t>
            </w:r>
            <w:r>
              <w:rPr>
                <w:color w:val="000000"/>
                <w:szCs w:val="21"/>
              </w:rPr>
              <w:t>0</w:t>
            </w:r>
            <w:r>
              <w:rPr>
                <w:rFonts w:hint="eastAsia"/>
                <w:color w:val="00000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96" w:type="dxa"/>
            <w:gridSpan w:val="7"/>
            <w:vAlign w:val="center"/>
          </w:tcPr>
          <w:p>
            <w:pPr>
              <w:spacing w:line="400" w:lineRule="atLeast"/>
              <w:rPr>
                <w:color w:val="000000"/>
                <w:szCs w:val="21"/>
              </w:rPr>
            </w:pPr>
          </w:p>
        </w:tc>
      </w:tr>
    </w:tbl>
    <w:p>
      <w:pPr>
        <w:widowControl/>
        <w:jc w:val="left"/>
        <w:rPr>
          <w:rFonts w:ascii="隶书" w:eastAsia="隶书"/>
          <w:color w:val="000000"/>
          <w:sz w:val="24"/>
          <w:szCs w:val="20"/>
        </w:rPr>
      </w:pPr>
    </w:p>
    <w:p>
      <w:pPr>
        <w:rPr>
          <w:rFonts w:eastAsia="黑体"/>
          <w:color w:val="000000"/>
          <w:sz w:val="28"/>
        </w:rPr>
      </w:pPr>
      <w:r>
        <w:rPr>
          <w:rFonts w:eastAsia="黑体"/>
          <w:color w:val="000000"/>
          <w:sz w:val="28"/>
        </w:rPr>
        <w:t xml:space="preserve">1. </w:t>
      </w:r>
      <w:r>
        <w:rPr>
          <w:rFonts w:hint="eastAsia" w:eastAsia="黑体"/>
          <w:color w:val="000000"/>
          <w:sz w:val="28"/>
        </w:rPr>
        <w:t>评标方法</w:t>
      </w:r>
    </w:p>
    <w:p>
      <w:pPr>
        <w:spacing w:line="400" w:lineRule="exact"/>
        <w:ind w:firstLine="480" w:firstLineChars="200"/>
        <w:rPr>
          <w:color w:val="000000"/>
        </w:rPr>
      </w:pPr>
      <w:r>
        <w:rPr>
          <w:rFonts w:hint="eastAsia"/>
          <w:color w:val="000000"/>
          <w:sz w:val="24"/>
        </w:rPr>
        <w:t>本次评标采用综合评估法。评标委员会对满足招标文件实质性要求的投标文件，按照本章第</w:t>
      </w:r>
      <w:r>
        <w:rPr>
          <w:color w:val="000000"/>
          <w:sz w:val="24"/>
        </w:rPr>
        <w:t>2.2</w:t>
      </w:r>
      <w:r>
        <w:rPr>
          <w:rFonts w:hint="eastAsia"/>
          <w:color w:val="000000"/>
          <w:sz w:val="24"/>
        </w:rPr>
        <w:t>款规定的评分标准进行打分，并按得分由高到低顺序推荐中标候选人，或根据招标人授权直接确定中标人，但投标报价低于其成本的除外。综合评分相等时，以投标报价（浮动系数）低的优先；投标报价（浮动系数）也相等的，由招标人或其授权的评标委员会自行确定。</w:t>
      </w:r>
    </w:p>
    <w:p>
      <w:pPr>
        <w:rPr>
          <w:rFonts w:eastAsia="黑体"/>
          <w:color w:val="000000"/>
          <w:sz w:val="28"/>
          <w:szCs w:val="28"/>
        </w:rPr>
      </w:pPr>
      <w:r>
        <w:rPr>
          <w:rFonts w:eastAsia="黑体"/>
          <w:color w:val="000000"/>
          <w:sz w:val="28"/>
        </w:rPr>
        <w:t xml:space="preserve">2. </w:t>
      </w:r>
      <w:r>
        <w:rPr>
          <w:rFonts w:hint="eastAsia" w:eastAsia="黑体"/>
          <w:color w:val="000000"/>
          <w:sz w:val="28"/>
        </w:rPr>
        <w:t>评审标准</w:t>
      </w:r>
    </w:p>
    <w:p>
      <w:pPr>
        <w:rPr>
          <w:rFonts w:eastAsia="黑体"/>
          <w:color w:val="000000"/>
          <w:sz w:val="28"/>
        </w:rPr>
      </w:pPr>
      <w:r>
        <w:rPr>
          <w:rFonts w:eastAsia="黑体"/>
          <w:color w:val="000000"/>
          <w:sz w:val="28"/>
        </w:rPr>
        <w:t xml:space="preserve">2.1 </w:t>
      </w:r>
      <w:r>
        <w:rPr>
          <w:rFonts w:hint="eastAsia" w:eastAsia="黑体"/>
          <w:color w:val="000000"/>
          <w:sz w:val="28"/>
        </w:rPr>
        <w:t>初步评审标准</w:t>
      </w:r>
    </w:p>
    <w:p>
      <w:pPr>
        <w:spacing w:line="400" w:lineRule="exact"/>
        <w:ind w:firstLine="480" w:firstLineChars="200"/>
        <w:rPr>
          <w:color w:val="000000"/>
          <w:sz w:val="24"/>
        </w:rPr>
      </w:pPr>
      <w:r>
        <w:rPr>
          <w:color w:val="000000"/>
          <w:sz w:val="24"/>
        </w:rPr>
        <w:t xml:space="preserve">2.1.1 </w:t>
      </w:r>
      <w:r>
        <w:rPr>
          <w:rFonts w:hint="eastAsia"/>
          <w:color w:val="000000"/>
          <w:sz w:val="24"/>
        </w:rPr>
        <w:t>资格评审标准：见评标办法前附表。</w:t>
      </w:r>
    </w:p>
    <w:p>
      <w:pPr>
        <w:spacing w:line="400" w:lineRule="exact"/>
        <w:ind w:firstLine="480" w:firstLineChars="200"/>
        <w:rPr>
          <w:color w:val="000000"/>
          <w:sz w:val="24"/>
        </w:rPr>
      </w:pPr>
      <w:r>
        <w:rPr>
          <w:color w:val="000000"/>
          <w:sz w:val="24"/>
        </w:rPr>
        <w:t xml:space="preserve">2.1.2 </w:t>
      </w:r>
      <w:r>
        <w:rPr>
          <w:rFonts w:hint="eastAsia"/>
          <w:color w:val="000000"/>
          <w:sz w:val="24"/>
        </w:rPr>
        <w:t>形式评审标准：见评标办法前附表。</w:t>
      </w:r>
    </w:p>
    <w:p>
      <w:pPr>
        <w:spacing w:line="400" w:lineRule="exact"/>
        <w:ind w:firstLine="480" w:firstLineChars="200"/>
        <w:rPr>
          <w:color w:val="000000"/>
        </w:rPr>
      </w:pPr>
      <w:r>
        <w:rPr>
          <w:color w:val="000000"/>
          <w:sz w:val="24"/>
        </w:rPr>
        <w:t xml:space="preserve">2.1.3 </w:t>
      </w:r>
      <w:r>
        <w:rPr>
          <w:rFonts w:hint="eastAsia"/>
          <w:color w:val="000000"/>
          <w:sz w:val="24"/>
        </w:rPr>
        <w:t>响应性评审标准：见评标办法前附表。</w:t>
      </w:r>
    </w:p>
    <w:p>
      <w:pPr>
        <w:rPr>
          <w:rFonts w:eastAsia="黑体"/>
          <w:color w:val="000000"/>
          <w:sz w:val="28"/>
        </w:rPr>
      </w:pPr>
      <w:r>
        <w:rPr>
          <w:rFonts w:eastAsia="黑体"/>
          <w:color w:val="000000"/>
          <w:sz w:val="28"/>
        </w:rPr>
        <w:t xml:space="preserve">2.2 </w:t>
      </w:r>
      <w:r>
        <w:rPr>
          <w:rFonts w:hint="eastAsia" w:eastAsia="黑体"/>
          <w:color w:val="000000"/>
          <w:sz w:val="28"/>
        </w:rPr>
        <w:t>分值构成与评分标准</w:t>
      </w:r>
    </w:p>
    <w:p>
      <w:pPr>
        <w:spacing w:line="400" w:lineRule="exact"/>
        <w:ind w:firstLine="240" w:firstLineChars="100"/>
        <w:rPr>
          <w:color w:val="000000"/>
          <w:sz w:val="24"/>
        </w:rPr>
      </w:pPr>
      <w:r>
        <w:rPr>
          <w:color w:val="000000"/>
          <w:sz w:val="24"/>
        </w:rPr>
        <w:t xml:space="preserve">2.2.1 </w:t>
      </w:r>
      <w:r>
        <w:rPr>
          <w:rFonts w:hint="eastAsia"/>
          <w:color w:val="000000"/>
          <w:sz w:val="24"/>
        </w:rPr>
        <w:t>分值构成</w:t>
      </w:r>
    </w:p>
    <w:p>
      <w:pPr>
        <w:spacing w:line="400" w:lineRule="exact"/>
        <w:ind w:firstLine="240" w:firstLineChars="100"/>
        <w:rPr>
          <w:color w:val="000000"/>
          <w:sz w:val="24"/>
        </w:rPr>
      </w:pPr>
      <w:r>
        <w:rPr>
          <w:rFonts w:hint="eastAsia"/>
          <w:color w:val="000000"/>
          <w:sz w:val="24"/>
        </w:rPr>
        <w:t>（</w:t>
      </w:r>
      <w:r>
        <w:rPr>
          <w:color w:val="000000"/>
          <w:sz w:val="24"/>
        </w:rPr>
        <w:t>1</w:t>
      </w:r>
      <w:r>
        <w:rPr>
          <w:rFonts w:hint="eastAsia"/>
          <w:color w:val="000000"/>
          <w:sz w:val="24"/>
        </w:rPr>
        <w:t>）拟投入的项目经理和项目总工资历：见评标办法前附表；</w:t>
      </w:r>
    </w:p>
    <w:p>
      <w:pPr>
        <w:spacing w:line="400" w:lineRule="exact"/>
        <w:ind w:firstLine="240" w:firstLineChars="100"/>
        <w:rPr>
          <w:color w:val="000000"/>
          <w:sz w:val="24"/>
        </w:rPr>
      </w:pPr>
      <w:r>
        <w:rPr>
          <w:rFonts w:hint="eastAsia"/>
          <w:color w:val="000000"/>
          <w:sz w:val="24"/>
        </w:rPr>
        <w:t>（</w:t>
      </w:r>
      <w:r>
        <w:rPr>
          <w:color w:val="000000"/>
          <w:sz w:val="24"/>
        </w:rPr>
        <w:t>2</w:t>
      </w:r>
      <w:r>
        <w:rPr>
          <w:rFonts w:hint="eastAsia"/>
          <w:color w:val="000000"/>
          <w:sz w:val="24"/>
        </w:rPr>
        <w:t>）类似施工业绩：见评标办法前附表；</w:t>
      </w:r>
    </w:p>
    <w:p>
      <w:pPr>
        <w:spacing w:line="400" w:lineRule="exact"/>
        <w:ind w:firstLine="240" w:firstLineChars="100"/>
        <w:rPr>
          <w:color w:val="000000"/>
          <w:sz w:val="24"/>
        </w:rPr>
      </w:pPr>
      <w:r>
        <w:rPr>
          <w:rFonts w:hint="eastAsia"/>
          <w:color w:val="000000"/>
          <w:sz w:val="24"/>
        </w:rPr>
        <w:t>（</w:t>
      </w:r>
      <w:r>
        <w:rPr>
          <w:color w:val="000000"/>
          <w:sz w:val="24"/>
        </w:rPr>
        <w:t>3</w:t>
      </w:r>
      <w:r>
        <w:rPr>
          <w:rFonts w:hint="eastAsia"/>
          <w:color w:val="000000"/>
          <w:sz w:val="24"/>
        </w:rPr>
        <w:t>）财务能力：见评标办法前附表；</w:t>
      </w:r>
    </w:p>
    <w:p>
      <w:pPr>
        <w:spacing w:line="400" w:lineRule="exact"/>
        <w:ind w:firstLine="240" w:firstLineChars="100"/>
        <w:rPr>
          <w:color w:val="000000"/>
          <w:sz w:val="24"/>
        </w:rPr>
      </w:pPr>
      <w:r>
        <w:rPr>
          <w:rFonts w:hint="eastAsia"/>
          <w:color w:val="000000"/>
          <w:sz w:val="24"/>
        </w:rPr>
        <w:t>（</w:t>
      </w:r>
      <w:r>
        <w:rPr>
          <w:color w:val="000000"/>
          <w:sz w:val="24"/>
        </w:rPr>
        <w:t>4</w:t>
      </w:r>
      <w:r>
        <w:rPr>
          <w:rFonts w:hint="eastAsia"/>
          <w:color w:val="000000"/>
          <w:sz w:val="24"/>
        </w:rPr>
        <w:t>）项目实施方案：见评标办法前附表；</w:t>
      </w:r>
    </w:p>
    <w:p>
      <w:pPr>
        <w:spacing w:line="400" w:lineRule="exact"/>
        <w:ind w:firstLine="240" w:firstLineChars="100"/>
        <w:rPr>
          <w:color w:val="000000"/>
          <w:sz w:val="24"/>
        </w:rPr>
      </w:pPr>
      <w:r>
        <w:rPr>
          <w:rFonts w:hint="eastAsia"/>
          <w:color w:val="000000"/>
          <w:sz w:val="24"/>
        </w:rPr>
        <w:t>（</w:t>
      </w:r>
      <w:r>
        <w:rPr>
          <w:color w:val="000000"/>
          <w:sz w:val="24"/>
        </w:rPr>
        <w:t>5</w:t>
      </w:r>
      <w:r>
        <w:rPr>
          <w:rFonts w:hint="eastAsia"/>
          <w:color w:val="000000"/>
          <w:sz w:val="24"/>
        </w:rPr>
        <w:t>）投标报价：见评标办法前附表；</w:t>
      </w:r>
    </w:p>
    <w:p>
      <w:pPr>
        <w:spacing w:line="400" w:lineRule="exact"/>
        <w:ind w:firstLine="240" w:firstLineChars="100"/>
        <w:rPr>
          <w:color w:val="000000"/>
          <w:sz w:val="24"/>
        </w:rPr>
      </w:pPr>
      <w:r>
        <w:rPr>
          <w:color w:val="000000"/>
          <w:sz w:val="24"/>
        </w:rPr>
        <w:t xml:space="preserve">2.2.2 </w:t>
      </w:r>
      <w:r>
        <w:rPr>
          <w:rFonts w:hint="eastAsia"/>
          <w:color w:val="000000"/>
          <w:sz w:val="24"/>
        </w:rPr>
        <w:t>评标基准价计算</w:t>
      </w:r>
    </w:p>
    <w:p>
      <w:pPr>
        <w:spacing w:line="400" w:lineRule="exact"/>
        <w:ind w:firstLine="240" w:firstLineChars="100"/>
        <w:rPr>
          <w:color w:val="000000"/>
          <w:sz w:val="24"/>
        </w:rPr>
      </w:pPr>
      <w:r>
        <w:rPr>
          <w:rFonts w:hint="eastAsia"/>
          <w:color w:val="000000"/>
          <w:sz w:val="24"/>
        </w:rPr>
        <w:t>评标基准价计算方法：见评标办法前附表。</w:t>
      </w:r>
    </w:p>
    <w:p>
      <w:pPr>
        <w:spacing w:line="400" w:lineRule="exact"/>
        <w:ind w:firstLine="240" w:firstLineChars="100"/>
        <w:rPr>
          <w:color w:val="000000"/>
          <w:sz w:val="24"/>
        </w:rPr>
      </w:pPr>
      <w:r>
        <w:rPr>
          <w:color w:val="000000"/>
          <w:sz w:val="24"/>
        </w:rPr>
        <w:t xml:space="preserve">2.2.3 </w:t>
      </w:r>
      <w:r>
        <w:rPr>
          <w:rFonts w:hint="eastAsia"/>
          <w:color w:val="000000"/>
          <w:sz w:val="24"/>
        </w:rPr>
        <w:t>投标报价的偏差率计算</w:t>
      </w:r>
    </w:p>
    <w:p>
      <w:pPr>
        <w:spacing w:line="400" w:lineRule="exact"/>
        <w:ind w:firstLine="240" w:firstLineChars="100"/>
        <w:rPr>
          <w:color w:val="000000"/>
          <w:sz w:val="24"/>
        </w:rPr>
      </w:pPr>
      <w:r>
        <w:rPr>
          <w:rFonts w:hint="eastAsia"/>
          <w:color w:val="000000"/>
          <w:sz w:val="24"/>
        </w:rPr>
        <w:t>投标报价的偏差率计算公式：见评标办法前附表。</w:t>
      </w:r>
    </w:p>
    <w:p>
      <w:pPr>
        <w:spacing w:line="400" w:lineRule="exact"/>
        <w:ind w:firstLine="240" w:firstLineChars="100"/>
        <w:rPr>
          <w:color w:val="000000"/>
          <w:sz w:val="24"/>
        </w:rPr>
      </w:pPr>
      <w:r>
        <w:rPr>
          <w:color w:val="000000"/>
          <w:sz w:val="24"/>
        </w:rPr>
        <w:t xml:space="preserve">2.2.4 </w:t>
      </w:r>
      <w:r>
        <w:rPr>
          <w:rFonts w:hint="eastAsia"/>
          <w:color w:val="000000"/>
          <w:sz w:val="24"/>
        </w:rPr>
        <w:t>评分标准</w:t>
      </w:r>
    </w:p>
    <w:p>
      <w:pPr>
        <w:spacing w:line="400" w:lineRule="exact"/>
        <w:ind w:firstLine="240" w:firstLineChars="100"/>
        <w:rPr>
          <w:color w:val="000000"/>
          <w:sz w:val="24"/>
        </w:rPr>
      </w:pPr>
      <w:r>
        <w:rPr>
          <w:rFonts w:hint="eastAsia"/>
          <w:color w:val="000000"/>
          <w:sz w:val="24"/>
        </w:rPr>
        <w:t>（</w:t>
      </w:r>
      <w:r>
        <w:rPr>
          <w:color w:val="000000"/>
          <w:sz w:val="24"/>
        </w:rPr>
        <w:t>1</w:t>
      </w:r>
      <w:r>
        <w:rPr>
          <w:rFonts w:hint="eastAsia"/>
          <w:color w:val="000000"/>
          <w:sz w:val="24"/>
        </w:rPr>
        <w:t>）拟投入的项目经理和项目总工资历评分标准：见评标办法前附表；</w:t>
      </w:r>
    </w:p>
    <w:p>
      <w:pPr>
        <w:spacing w:line="400" w:lineRule="exact"/>
        <w:ind w:firstLine="240" w:firstLineChars="100"/>
        <w:rPr>
          <w:color w:val="000000"/>
          <w:sz w:val="24"/>
        </w:rPr>
      </w:pPr>
      <w:r>
        <w:rPr>
          <w:rFonts w:hint="eastAsia"/>
          <w:color w:val="000000"/>
          <w:sz w:val="24"/>
        </w:rPr>
        <w:t>（</w:t>
      </w:r>
      <w:r>
        <w:rPr>
          <w:color w:val="000000"/>
          <w:sz w:val="24"/>
        </w:rPr>
        <w:t>2</w:t>
      </w:r>
      <w:r>
        <w:rPr>
          <w:rFonts w:hint="eastAsia"/>
          <w:color w:val="000000"/>
          <w:sz w:val="24"/>
        </w:rPr>
        <w:t>）类似施工业绩评分标准：见评标办法前附表；</w:t>
      </w:r>
    </w:p>
    <w:p>
      <w:pPr>
        <w:spacing w:line="400" w:lineRule="exact"/>
        <w:ind w:firstLine="240" w:firstLineChars="100"/>
        <w:rPr>
          <w:color w:val="000000"/>
          <w:sz w:val="24"/>
        </w:rPr>
      </w:pPr>
      <w:r>
        <w:rPr>
          <w:rFonts w:hint="eastAsia"/>
          <w:color w:val="000000"/>
          <w:sz w:val="24"/>
        </w:rPr>
        <w:t>（</w:t>
      </w:r>
      <w:r>
        <w:rPr>
          <w:color w:val="000000"/>
          <w:sz w:val="24"/>
        </w:rPr>
        <w:t>3</w:t>
      </w:r>
      <w:r>
        <w:rPr>
          <w:rFonts w:hint="eastAsia"/>
          <w:color w:val="000000"/>
          <w:sz w:val="24"/>
        </w:rPr>
        <w:t>）财务能力评分标准：见评标办法前附表；</w:t>
      </w:r>
    </w:p>
    <w:p>
      <w:pPr>
        <w:spacing w:line="400" w:lineRule="exact"/>
        <w:ind w:firstLine="240" w:firstLineChars="100"/>
        <w:rPr>
          <w:color w:val="000000"/>
          <w:sz w:val="24"/>
        </w:rPr>
      </w:pPr>
      <w:r>
        <w:rPr>
          <w:rFonts w:hint="eastAsia"/>
          <w:color w:val="000000"/>
          <w:sz w:val="24"/>
        </w:rPr>
        <w:t>（</w:t>
      </w:r>
      <w:r>
        <w:rPr>
          <w:color w:val="000000"/>
          <w:sz w:val="24"/>
        </w:rPr>
        <w:t>4</w:t>
      </w:r>
      <w:r>
        <w:rPr>
          <w:rFonts w:hint="eastAsia"/>
          <w:color w:val="000000"/>
          <w:sz w:val="24"/>
        </w:rPr>
        <w:t>）项目实施初步方案评分标准：见评标办法前附表；</w:t>
      </w:r>
    </w:p>
    <w:p>
      <w:pPr>
        <w:spacing w:line="400" w:lineRule="exact"/>
        <w:ind w:firstLine="240" w:firstLineChars="100"/>
        <w:rPr>
          <w:color w:val="000000"/>
          <w:sz w:val="24"/>
        </w:rPr>
      </w:pPr>
      <w:r>
        <w:rPr>
          <w:rFonts w:hint="eastAsia"/>
          <w:color w:val="000000"/>
          <w:sz w:val="24"/>
        </w:rPr>
        <w:t>（</w:t>
      </w:r>
      <w:r>
        <w:rPr>
          <w:color w:val="000000"/>
          <w:sz w:val="24"/>
        </w:rPr>
        <w:t>5</w:t>
      </w:r>
      <w:r>
        <w:rPr>
          <w:rFonts w:hint="eastAsia"/>
          <w:color w:val="000000"/>
          <w:sz w:val="24"/>
        </w:rPr>
        <w:t>）投标报价评分标准：见评标办法前附表。</w:t>
      </w:r>
    </w:p>
    <w:p>
      <w:pPr>
        <w:rPr>
          <w:rFonts w:eastAsia="黑体"/>
          <w:color w:val="000000"/>
          <w:sz w:val="28"/>
        </w:rPr>
      </w:pPr>
      <w:r>
        <w:rPr>
          <w:rFonts w:eastAsia="黑体"/>
          <w:color w:val="000000"/>
          <w:sz w:val="28"/>
        </w:rPr>
        <w:t xml:space="preserve">3. </w:t>
      </w:r>
      <w:r>
        <w:rPr>
          <w:rFonts w:hint="eastAsia" w:eastAsia="黑体"/>
          <w:color w:val="000000"/>
          <w:sz w:val="28"/>
        </w:rPr>
        <w:t>评标程序</w:t>
      </w:r>
    </w:p>
    <w:p>
      <w:pPr>
        <w:rPr>
          <w:rFonts w:eastAsia="黑体"/>
          <w:color w:val="000000"/>
          <w:sz w:val="28"/>
        </w:rPr>
      </w:pPr>
      <w:r>
        <w:rPr>
          <w:rFonts w:eastAsia="黑体"/>
          <w:color w:val="000000"/>
          <w:sz w:val="28"/>
        </w:rPr>
        <w:t xml:space="preserve">3.1 </w:t>
      </w:r>
      <w:r>
        <w:rPr>
          <w:rFonts w:hint="eastAsia" w:eastAsia="黑体"/>
          <w:color w:val="000000"/>
          <w:sz w:val="28"/>
        </w:rPr>
        <w:t>初步评审</w:t>
      </w:r>
    </w:p>
    <w:p>
      <w:pPr>
        <w:spacing w:line="440" w:lineRule="exact"/>
        <w:ind w:firstLine="480" w:firstLineChars="200"/>
        <w:rPr>
          <w:color w:val="000000"/>
          <w:sz w:val="24"/>
        </w:rPr>
      </w:pPr>
      <w:r>
        <w:rPr>
          <w:color w:val="000000"/>
          <w:sz w:val="24"/>
        </w:rPr>
        <w:t xml:space="preserve">3.1.1 </w:t>
      </w:r>
      <w:r>
        <w:rPr>
          <w:rFonts w:hint="eastAsia"/>
          <w:color w:val="000000"/>
          <w:sz w:val="24"/>
        </w:rPr>
        <w:t>评标委员会可以要求投标人提交第二章“投标人须知”第</w:t>
      </w:r>
      <w:r>
        <w:rPr>
          <w:color w:val="000000"/>
          <w:sz w:val="24"/>
        </w:rPr>
        <w:t>3.5.1</w:t>
      </w:r>
      <w:r>
        <w:rPr>
          <w:rFonts w:hint="eastAsia"/>
          <w:color w:val="000000"/>
          <w:sz w:val="24"/>
        </w:rPr>
        <w:t>项至第</w:t>
      </w:r>
      <w:r>
        <w:rPr>
          <w:color w:val="000000"/>
          <w:sz w:val="24"/>
        </w:rPr>
        <w:t>3.5.4</w:t>
      </w:r>
      <w:r>
        <w:rPr>
          <w:rFonts w:hint="eastAsia"/>
          <w:color w:val="000000"/>
          <w:sz w:val="24"/>
        </w:rPr>
        <w:t>项规定的有关证明和证件的原件，以便核验。评标委员会依据本章第</w:t>
      </w:r>
      <w:r>
        <w:rPr>
          <w:color w:val="000000"/>
          <w:sz w:val="24"/>
        </w:rPr>
        <w:t>2.1</w:t>
      </w:r>
      <w:r>
        <w:rPr>
          <w:rFonts w:hint="eastAsia"/>
          <w:color w:val="000000"/>
          <w:sz w:val="24"/>
        </w:rPr>
        <w:t>款规定的标准对投标文件进行初步评审。有一项不符合评审标准的，评标委员会应当否决其投标。</w:t>
      </w:r>
    </w:p>
    <w:p>
      <w:pPr>
        <w:spacing w:line="440" w:lineRule="exact"/>
        <w:ind w:firstLine="480" w:firstLineChars="200"/>
        <w:rPr>
          <w:color w:val="000000"/>
          <w:sz w:val="24"/>
        </w:rPr>
      </w:pPr>
      <w:r>
        <w:rPr>
          <w:color w:val="000000"/>
          <w:sz w:val="24"/>
        </w:rPr>
        <w:t xml:space="preserve">3.1.2 </w:t>
      </w:r>
      <w:r>
        <w:rPr>
          <w:rFonts w:hint="eastAsia"/>
          <w:color w:val="000000"/>
          <w:sz w:val="24"/>
        </w:rPr>
        <w:t>投标人有以下情形之一的，评标委员会应当否决其投标：</w:t>
      </w:r>
    </w:p>
    <w:p>
      <w:pPr>
        <w:spacing w:line="440" w:lineRule="exact"/>
        <w:ind w:firstLine="480" w:firstLineChars="200"/>
        <w:rPr>
          <w:color w:val="000000"/>
          <w:sz w:val="24"/>
        </w:rPr>
      </w:pPr>
      <w:r>
        <w:rPr>
          <w:color w:val="000000"/>
          <w:sz w:val="24"/>
        </w:rPr>
        <w:t>(1)</w:t>
      </w:r>
      <w:r>
        <w:rPr>
          <w:rFonts w:hint="eastAsia"/>
          <w:color w:val="000000"/>
          <w:sz w:val="24"/>
        </w:rPr>
        <w:t>第二章“投标人须知”第</w:t>
      </w:r>
      <w:r>
        <w:rPr>
          <w:color w:val="000000"/>
          <w:sz w:val="24"/>
        </w:rPr>
        <w:t>1.4.2</w:t>
      </w:r>
      <w:r>
        <w:rPr>
          <w:rFonts w:hint="eastAsia"/>
          <w:color w:val="000000"/>
          <w:sz w:val="24"/>
        </w:rPr>
        <w:t>项、第</w:t>
      </w:r>
      <w:r>
        <w:rPr>
          <w:color w:val="000000"/>
          <w:sz w:val="24"/>
        </w:rPr>
        <w:t>1.4.3</w:t>
      </w:r>
      <w:r>
        <w:rPr>
          <w:rFonts w:hint="eastAsia"/>
          <w:color w:val="000000"/>
          <w:sz w:val="24"/>
        </w:rPr>
        <w:t>项规定的任何一种情形的；</w:t>
      </w:r>
    </w:p>
    <w:p>
      <w:pPr>
        <w:spacing w:line="440" w:lineRule="exact"/>
        <w:ind w:firstLine="480" w:firstLineChars="200"/>
        <w:rPr>
          <w:color w:val="000000"/>
          <w:sz w:val="24"/>
        </w:rPr>
      </w:pPr>
      <w:r>
        <w:rPr>
          <w:color w:val="000000"/>
          <w:sz w:val="24"/>
        </w:rPr>
        <w:t>(2)</w:t>
      </w:r>
      <w:r>
        <w:rPr>
          <w:rFonts w:hint="eastAsia"/>
          <w:color w:val="000000"/>
          <w:sz w:val="24"/>
        </w:rPr>
        <w:t>串通投标、弄虚作假、行贿等违法行为的；</w:t>
      </w:r>
    </w:p>
    <w:p>
      <w:pPr>
        <w:spacing w:line="440" w:lineRule="exact"/>
        <w:ind w:firstLine="480" w:firstLineChars="200"/>
        <w:rPr>
          <w:color w:val="000000"/>
          <w:sz w:val="24"/>
        </w:rPr>
      </w:pPr>
      <w:r>
        <w:rPr>
          <w:rFonts w:hint="eastAsia"/>
          <w:color w:val="000000"/>
          <w:sz w:val="24"/>
        </w:rPr>
        <w:t>①</w:t>
      </w:r>
      <w:r>
        <w:rPr>
          <w:color w:val="000000"/>
          <w:sz w:val="24"/>
        </w:rPr>
        <w:t xml:space="preserve"> </w:t>
      </w:r>
      <w:r>
        <w:rPr>
          <w:rFonts w:hint="eastAsia"/>
          <w:color w:val="000000"/>
          <w:sz w:val="24"/>
        </w:rPr>
        <w:t>有下列情形之一的，属于投标人相互串通投标：</w:t>
      </w:r>
    </w:p>
    <w:p>
      <w:pPr>
        <w:spacing w:line="440" w:lineRule="exact"/>
        <w:ind w:firstLine="480" w:firstLineChars="200"/>
        <w:rPr>
          <w:color w:val="000000"/>
          <w:sz w:val="24"/>
        </w:rPr>
      </w:pPr>
      <w:r>
        <w:rPr>
          <w:color w:val="000000"/>
          <w:sz w:val="24"/>
        </w:rPr>
        <w:t>a.</w:t>
      </w:r>
      <w:r>
        <w:rPr>
          <w:rFonts w:hint="eastAsia"/>
          <w:color w:val="000000"/>
          <w:sz w:val="24"/>
        </w:rPr>
        <w:t>投标人之间协商投标报价等投标文件的实质性内容；</w:t>
      </w:r>
    </w:p>
    <w:p>
      <w:pPr>
        <w:spacing w:line="440" w:lineRule="exact"/>
        <w:ind w:firstLine="480" w:firstLineChars="200"/>
        <w:rPr>
          <w:color w:val="000000"/>
          <w:sz w:val="24"/>
        </w:rPr>
      </w:pPr>
      <w:r>
        <w:rPr>
          <w:color w:val="000000"/>
          <w:sz w:val="24"/>
        </w:rPr>
        <w:t>b.</w:t>
      </w:r>
      <w:r>
        <w:rPr>
          <w:rFonts w:hint="eastAsia"/>
          <w:color w:val="000000"/>
          <w:sz w:val="24"/>
        </w:rPr>
        <w:t>投标人之间约定中标人；</w:t>
      </w:r>
    </w:p>
    <w:p>
      <w:pPr>
        <w:spacing w:line="440" w:lineRule="exact"/>
        <w:ind w:firstLine="480" w:firstLineChars="200"/>
        <w:rPr>
          <w:color w:val="000000"/>
          <w:sz w:val="24"/>
        </w:rPr>
      </w:pPr>
      <w:r>
        <w:rPr>
          <w:color w:val="000000"/>
          <w:sz w:val="24"/>
        </w:rPr>
        <w:t>c.</w:t>
      </w:r>
      <w:r>
        <w:rPr>
          <w:rFonts w:hint="eastAsia"/>
          <w:color w:val="000000"/>
          <w:sz w:val="24"/>
        </w:rPr>
        <w:t>投标人之间约定部分投标人放弃投标或者中标；</w:t>
      </w:r>
    </w:p>
    <w:p>
      <w:pPr>
        <w:spacing w:line="440" w:lineRule="exact"/>
        <w:ind w:firstLine="480" w:firstLineChars="200"/>
        <w:rPr>
          <w:color w:val="000000"/>
          <w:sz w:val="24"/>
        </w:rPr>
      </w:pPr>
      <w:r>
        <w:rPr>
          <w:color w:val="000000"/>
          <w:sz w:val="24"/>
        </w:rPr>
        <w:t>d.</w:t>
      </w:r>
      <w:r>
        <w:rPr>
          <w:rFonts w:hint="eastAsia"/>
          <w:color w:val="000000"/>
          <w:sz w:val="24"/>
        </w:rPr>
        <w:t>属于同一集团、协会、商会等组织成员的投标人按照该组织要求协同投标；</w:t>
      </w:r>
    </w:p>
    <w:p>
      <w:pPr>
        <w:spacing w:line="440" w:lineRule="exact"/>
        <w:ind w:firstLine="480" w:firstLineChars="200"/>
        <w:rPr>
          <w:color w:val="000000"/>
          <w:sz w:val="24"/>
        </w:rPr>
      </w:pPr>
      <w:r>
        <w:rPr>
          <w:color w:val="000000"/>
          <w:sz w:val="24"/>
        </w:rPr>
        <w:t>e.</w:t>
      </w:r>
      <w:r>
        <w:rPr>
          <w:rFonts w:hint="eastAsia"/>
          <w:color w:val="000000"/>
          <w:sz w:val="24"/>
        </w:rPr>
        <w:t>投标人之间为谋取中标或者排斥特定投标人而采取的其他联合行动。</w:t>
      </w:r>
    </w:p>
    <w:p>
      <w:pPr>
        <w:spacing w:line="440" w:lineRule="exact"/>
        <w:ind w:firstLine="480" w:firstLineChars="200"/>
        <w:rPr>
          <w:color w:val="000000"/>
          <w:sz w:val="24"/>
        </w:rPr>
      </w:pPr>
      <w:r>
        <w:rPr>
          <w:rFonts w:hint="eastAsia"/>
          <w:color w:val="000000"/>
          <w:sz w:val="24"/>
        </w:rPr>
        <w:t>②有下列情形之一的，视为投标人相互串通投标：</w:t>
      </w:r>
    </w:p>
    <w:p>
      <w:pPr>
        <w:spacing w:line="440" w:lineRule="exact"/>
        <w:ind w:firstLine="480" w:firstLineChars="200"/>
        <w:rPr>
          <w:color w:val="000000"/>
          <w:sz w:val="24"/>
        </w:rPr>
      </w:pPr>
      <w:r>
        <w:rPr>
          <w:color w:val="000000"/>
          <w:sz w:val="24"/>
        </w:rPr>
        <w:t>a.</w:t>
      </w:r>
      <w:r>
        <w:rPr>
          <w:rFonts w:hint="eastAsia"/>
          <w:color w:val="000000"/>
          <w:sz w:val="24"/>
        </w:rPr>
        <w:t>不同投标人的投标文件由同一单位或者个人编制；</w:t>
      </w:r>
    </w:p>
    <w:p>
      <w:pPr>
        <w:spacing w:line="440" w:lineRule="exact"/>
        <w:ind w:firstLine="480" w:firstLineChars="200"/>
        <w:rPr>
          <w:color w:val="000000"/>
          <w:sz w:val="24"/>
        </w:rPr>
      </w:pPr>
      <w:r>
        <w:rPr>
          <w:color w:val="000000"/>
          <w:sz w:val="24"/>
        </w:rPr>
        <w:t>b.</w:t>
      </w:r>
      <w:r>
        <w:rPr>
          <w:rFonts w:hint="eastAsia"/>
          <w:color w:val="000000"/>
          <w:sz w:val="24"/>
        </w:rPr>
        <w:t>不同投标人委托同一单位或者个人办理投标事宜；</w:t>
      </w:r>
    </w:p>
    <w:p>
      <w:pPr>
        <w:spacing w:line="440" w:lineRule="exact"/>
        <w:ind w:firstLine="480" w:firstLineChars="200"/>
        <w:rPr>
          <w:color w:val="000000"/>
          <w:sz w:val="24"/>
        </w:rPr>
      </w:pPr>
      <w:r>
        <w:rPr>
          <w:color w:val="000000"/>
          <w:sz w:val="24"/>
        </w:rPr>
        <w:t>c.</w:t>
      </w:r>
      <w:r>
        <w:rPr>
          <w:rFonts w:hint="eastAsia"/>
          <w:color w:val="000000"/>
          <w:sz w:val="24"/>
        </w:rPr>
        <w:t>不同投标人的投标文件载明的项目管理成员为同一人；</w:t>
      </w:r>
    </w:p>
    <w:p>
      <w:pPr>
        <w:spacing w:line="440" w:lineRule="exact"/>
        <w:ind w:firstLine="480" w:firstLineChars="200"/>
        <w:rPr>
          <w:color w:val="000000"/>
          <w:sz w:val="24"/>
        </w:rPr>
      </w:pPr>
      <w:r>
        <w:rPr>
          <w:color w:val="000000"/>
          <w:sz w:val="24"/>
        </w:rPr>
        <w:t>d.</w:t>
      </w:r>
      <w:r>
        <w:rPr>
          <w:rFonts w:hint="eastAsia"/>
          <w:color w:val="000000"/>
          <w:sz w:val="24"/>
        </w:rPr>
        <w:t>不同投标人的投标文件异常一致或者投标报价呈规律性差异；</w:t>
      </w:r>
    </w:p>
    <w:p>
      <w:pPr>
        <w:spacing w:line="440" w:lineRule="exact"/>
        <w:ind w:firstLine="480" w:firstLineChars="200"/>
        <w:rPr>
          <w:color w:val="000000"/>
          <w:sz w:val="24"/>
        </w:rPr>
      </w:pPr>
      <w:r>
        <w:rPr>
          <w:color w:val="000000"/>
          <w:sz w:val="24"/>
        </w:rPr>
        <w:t>e.</w:t>
      </w:r>
      <w:r>
        <w:rPr>
          <w:rFonts w:hint="eastAsia"/>
          <w:color w:val="000000"/>
          <w:sz w:val="24"/>
        </w:rPr>
        <w:t>不同投标人的投标文件相互混装；</w:t>
      </w:r>
    </w:p>
    <w:p>
      <w:pPr>
        <w:spacing w:line="440" w:lineRule="exact"/>
        <w:ind w:firstLine="480" w:firstLineChars="200"/>
        <w:rPr>
          <w:color w:val="000000"/>
          <w:sz w:val="24"/>
        </w:rPr>
      </w:pPr>
      <w:r>
        <w:rPr>
          <w:color w:val="000000"/>
          <w:sz w:val="24"/>
        </w:rPr>
        <w:t>f.</w:t>
      </w:r>
      <w:r>
        <w:rPr>
          <w:rFonts w:hint="eastAsia"/>
          <w:color w:val="000000"/>
          <w:sz w:val="24"/>
        </w:rPr>
        <w:t>不同投标人的投标保证金从同一单位或者个人的账户转出。</w:t>
      </w:r>
    </w:p>
    <w:p>
      <w:pPr>
        <w:spacing w:line="440" w:lineRule="exact"/>
        <w:ind w:firstLine="480" w:firstLineChars="200"/>
        <w:rPr>
          <w:color w:val="000000"/>
          <w:sz w:val="24"/>
        </w:rPr>
      </w:pPr>
      <w:r>
        <w:rPr>
          <w:rFonts w:hint="eastAsia"/>
          <w:color w:val="000000"/>
          <w:sz w:val="24"/>
        </w:rPr>
        <w:t>③有下列情形之一的，属于招标人与投标人串通投标：</w:t>
      </w:r>
    </w:p>
    <w:p>
      <w:pPr>
        <w:spacing w:line="440" w:lineRule="exact"/>
        <w:ind w:firstLine="480" w:firstLineChars="200"/>
        <w:rPr>
          <w:color w:val="000000"/>
          <w:sz w:val="24"/>
        </w:rPr>
      </w:pPr>
      <w:r>
        <w:rPr>
          <w:color w:val="000000"/>
          <w:sz w:val="24"/>
        </w:rPr>
        <w:t>a.</w:t>
      </w:r>
      <w:r>
        <w:rPr>
          <w:rFonts w:hint="eastAsia"/>
          <w:color w:val="000000"/>
          <w:sz w:val="24"/>
        </w:rPr>
        <w:t>招标人在开标前开启投标文件并将有关信息泄露给其他投标人；</w:t>
      </w:r>
    </w:p>
    <w:p>
      <w:pPr>
        <w:spacing w:line="440" w:lineRule="exact"/>
        <w:ind w:firstLine="480" w:firstLineChars="200"/>
        <w:rPr>
          <w:color w:val="000000"/>
          <w:sz w:val="24"/>
        </w:rPr>
      </w:pPr>
      <w:r>
        <w:rPr>
          <w:color w:val="000000"/>
          <w:sz w:val="24"/>
        </w:rPr>
        <w:t>b.</w:t>
      </w:r>
      <w:r>
        <w:rPr>
          <w:rFonts w:hint="eastAsia"/>
          <w:color w:val="000000"/>
          <w:sz w:val="24"/>
        </w:rPr>
        <w:t>招标人直接或者间接向投标人泄露标底、评标委员会成员等信息；</w:t>
      </w:r>
    </w:p>
    <w:p>
      <w:pPr>
        <w:spacing w:line="440" w:lineRule="exact"/>
        <w:ind w:firstLine="480" w:firstLineChars="200"/>
        <w:rPr>
          <w:color w:val="000000"/>
          <w:sz w:val="24"/>
        </w:rPr>
      </w:pPr>
      <w:r>
        <w:rPr>
          <w:color w:val="000000"/>
          <w:sz w:val="24"/>
        </w:rPr>
        <w:t>c.</w:t>
      </w:r>
      <w:r>
        <w:rPr>
          <w:rFonts w:hint="eastAsia"/>
          <w:color w:val="000000"/>
          <w:sz w:val="24"/>
        </w:rPr>
        <w:t>招标人明示或者暗示投标人压低或者抬高投标报价；</w:t>
      </w:r>
    </w:p>
    <w:p>
      <w:pPr>
        <w:spacing w:line="440" w:lineRule="exact"/>
        <w:ind w:firstLine="480" w:firstLineChars="200"/>
        <w:rPr>
          <w:color w:val="000000"/>
          <w:sz w:val="24"/>
        </w:rPr>
      </w:pPr>
      <w:r>
        <w:rPr>
          <w:color w:val="000000"/>
          <w:sz w:val="24"/>
        </w:rPr>
        <w:t>d.</w:t>
      </w:r>
      <w:r>
        <w:rPr>
          <w:rFonts w:hint="eastAsia"/>
          <w:color w:val="000000"/>
          <w:sz w:val="24"/>
        </w:rPr>
        <w:t>招标人授意投标人撤换、修改投标文件；</w:t>
      </w:r>
    </w:p>
    <w:p>
      <w:pPr>
        <w:spacing w:line="440" w:lineRule="exact"/>
        <w:ind w:firstLine="480" w:firstLineChars="200"/>
        <w:rPr>
          <w:color w:val="000000"/>
          <w:sz w:val="24"/>
        </w:rPr>
      </w:pPr>
      <w:r>
        <w:rPr>
          <w:color w:val="000000"/>
          <w:sz w:val="24"/>
        </w:rPr>
        <w:t>e.</w:t>
      </w:r>
      <w:r>
        <w:rPr>
          <w:rFonts w:hint="eastAsia"/>
          <w:color w:val="000000"/>
          <w:sz w:val="24"/>
        </w:rPr>
        <w:t>招标人明示或者暗示投标人为特定投标人中标提供方便；</w:t>
      </w:r>
    </w:p>
    <w:p>
      <w:pPr>
        <w:spacing w:line="440" w:lineRule="exact"/>
        <w:ind w:firstLine="480" w:firstLineChars="200"/>
        <w:rPr>
          <w:color w:val="000000"/>
          <w:sz w:val="24"/>
        </w:rPr>
      </w:pPr>
      <w:r>
        <w:rPr>
          <w:color w:val="000000"/>
          <w:sz w:val="24"/>
        </w:rPr>
        <w:t>f.</w:t>
      </w:r>
      <w:r>
        <w:rPr>
          <w:rFonts w:hint="eastAsia"/>
          <w:color w:val="000000"/>
          <w:sz w:val="24"/>
        </w:rPr>
        <w:t>招标人与投标人为谋求特定投标人中标而采取的其他串通行为。</w:t>
      </w:r>
    </w:p>
    <w:p>
      <w:pPr>
        <w:spacing w:line="440" w:lineRule="exact"/>
        <w:ind w:firstLine="480" w:firstLineChars="200"/>
        <w:rPr>
          <w:color w:val="000000"/>
          <w:sz w:val="24"/>
        </w:rPr>
      </w:pPr>
      <w:r>
        <w:rPr>
          <w:rFonts w:hint="eastAsia"/>
          <w:color w:val="000000"/>
          <w:sz w:val="24"/>
        </w:rPr>
        <w:t>④投标人有下列情形之一的，属于弄虚作假的行为：</w:t>
      </w:r>
    </w:p>
    <w:p>
      <w:pPr>
        <w:spacing w:line="440" w:lineRule="exact"/>
        <w:ind w:firstLine="480" w:firstLineChars="200"/>
        <w:rPr>
          <w:color w:val="000000"/>
          <w:sz w:val="24"/>
        </w:rPr>
      </w:pPr>
      <w:r>
        <w:rPr>
          <w:color w:val="000000"/>
          <w:sz w:val="24"/>
        </w:rPr>
        <w:t>a.</w:t>
      </w:r>
      <w:r>
        <w:rPr>
          <w:rFonts w:hint="eastAsia"/>
          <w:color w:val="000000"/>
          <w:sz w:val="24"/>
        </w:rPr>
        <w:t>使用通过受让或者租借等方式获取的资格、资质证书投标；</w:t>
      </w:r>
    </w:p>
    <w:p>
      <w:pPr>
        <w:spacing w:line="440" w:lineRule="exact"/>
        <w:ind w:firstLine="480" w:firstLineChars="200"/>
        <w:rPr>
          <w:color w:val="000000"/>
          <w:sz w:val="24"/>
        </w:rPr>
      </w:pPr>
      <w:r>
        <w:rPr>
          <w:color w:val="000000"/>
          <w:sz w:val="24"/>
        </w:rPr>
        <w:t>b.</w:t>
      </w:r>
      <w:r>
        <w:rPr>
          <w:rFonts w:hint="eastAsia"/>
          <w:color w:val="000000"/>
          <w:sz w:val="24"/>
        </w:rPr>
        <w:t>使用伪造、变造的许可证件；</w:t>
      </w:r>
    </w:p>
    <w:p>
      <w:pPr>
        <w:spacing w:line="440" w:lineRule="exact"/>
        <w:ind w:firstLine="480" w:firstLineChars="200"/>
        <w:rPr>
          <w:color w:val="000000"/>
          <w:sz w:val="24"/>
        </w:rPr>
      </w:pPr>
      <w:r>
        <w:rPr>
          <w:color w:val="000000"/>
          <w:sz w:val="24"/>
        </w:rPr>
        <w:t>c.</w:t>
      </w:r>
      <w:r>
        <w:rPr>
          <w:rFonts w:hint="eastAsia"/>
          <w:color w:val="000000"/>
          <w:sz w:val="24"/>
        </w:rPr>
        <w:t>提供虚假的财务状况或者业绩；</w:t>
      </w:r>
    </w:p>
    <w:p>
      <w:pPr>
        <w:spacing w:line="440" w:lineRule="exact"/>
        <w:ind w:firstLine="480" w:firstLineChars="200"/>
        <w:rPr>
          <w:color w:val="000000"/>
          <w:sz w:val="24"/>
        </w:rPr>
      </w:pPr>
      <w:r>
        <w:rPr>
          <w:color w:val="000000"/>
          <w:sz w:val="24"/>
        </w:rPr>
        <w:t>d.</w:t>
      </w:r>
      <w:r>
        <w:rPr>
          <w:rFonts w:hint="eastAsia"/>
          <w:color w:val="000000"/>
          <w:sz w:val="24"/>
        </w:rPr>
        <w:t>提供虚假的项目负责人或者主要技术人员简历、劳动关系证明；</w:t>
      </w:r>
    </w:p>
    <w:p>
      <w:pPr>
        <w:spacing w:line="440" w:lineRule="exact"/>
        <w:ind w:firstLine="480" w:firstLineChars="200"/>
        <w:rPr>
          <w:color w:val="000000"/>
          <w:sz w:val="24"/>
        </w:rPr>
      </w:pPr>
      <w:r>
        <w:rPr>
          <w:color w:val="000000"/>
          <w:sz w:val="24"/>
        </w:rPr>
        <w:t>e.</w:t>
      </w:r>
      <w:r>
        <w:rPr>
          <w:rFonts w:hint="eastAsia"/>
          <w:color w:val="000000"/>
          <w:sz w:val="24"/>
        </w:rPr>
        <w:t>提供虚假的信用状况；</w:t>
      </w:r>
    </w:p>
    <w:p>
      <w:pPr>
        <w:spacing w:line="440" w:lineRule="exact"/>
        <w:ind w:firstLine="480" w:firstLineChars="200"/>
        <w:rPr>
          <w:color w:val="000000"/>
          <w:sz w:val="24"/>
        </w:rPr>
      </w:pPr>
      <w:r>
        <w:rPr>
          <w:color w:val="000000"/>
          <w:sz w:val="24"/>
        </w:rPr>
        <w:t>f.</w:t>
      </w:r>
      <w:r>
        <w:rPr>
          <w:rFonts w:hint="eastAsia"/>
          <w:color w:val="000000"/>
          <w:sz w:val="24"/>
        </w:rPr>
        <w:t>其他弄虚作假的行为。</w:t>
      </w:r>
    </w:p>
    <w:p>
      <w:pPr>
        <w:spacing w:line="440" w:lineRule="exact"/>
        <w:ind w:firstLine="480" w:firstLineChars="200"/>
        <w:rPr>
          <w:color w:val="000000"/>
          <w:sz w:val="24"/>
        </w:rPr>
      </w:pPr>
      <w:r>
        <w:rPr>
          <w:color w:val="000000"/>
          <w:sz w:val="24"/>
        </w:rPr>
        <w:t>(3)</w:t>
      </w:r>
      <w:r>
        <w:rPr>
          <w:rFonts w:hint="eastAsia"/>
          <w:color w:val="000000"/>
          <w:sz w:val="24"/>
        </w:rPr>
        <w:t>不按评标委员会要求澄清、说明或补正的。</w:t>
      </w:r>
    </w:p>
    <w:p>
      <w:pPr>
        <w:spacing w:line="440" w:lineRule="exact"/>
        <w:ind w:firstLine="480" w:firstLineChars="200"/>
        <w:rPr>
          <w:color w:val="000000"/>
          <w:sz w:val="24"/>
        </w:rPr>
      </w:pPr>
      <w:r>
        <w:rPr>
          <w:color w:val="000000"/>
          <w:sz w:val="24"/>
        </w:rPr>
        <w:t>3.1.3</w:t>
      </w:r>
      <w:r>
        <w:rPr>
          <w:rFonts w:hint="eastAsia"/>
          <w:color w:val="000000"/>
          <w:sz w:val="24"/>
        </w:rPr>
        <w:t>投标报价有算术错误的，评标委员会按以下原则对投标报价进行修正，修正的价格经投标人书面确认后具有约束力。投标人不接受修正价格的，评标委员会应当否决其投标。</w:t>
      </w:r>
    </w:p>
    <w:p>
      <w:pPr>
        <w:spacing w:line="440" w:lineRule="exact"/>
        <w:ind w:firstLine="480" w:firstLineChars="200"/>
        <w:rPr>
          <w:color w:val="000000"/>
          <w:sz w:val="24"/>
        </w:rPr>
      </w:pPr>
      <w:r>
        <w:rPr>
          <w:rFonts w:hint="eastAsia"/>
          <w:color w:val="000000"/>
          <w:sz w:val="24"/>
        </w:rPr>
        <w:t>（</w:t>
      </w:r>
      <w:r>
        <w:rPr>
          <w:color w:val="000000"/>
          <w:sz w:val="24"/>
        </w:rPr>
        <w:t>1</w:t>
      </w:r>
      <w:r>
        <w:rPr>
          <w:rFonts w:hint="eastAsia"/>
          <w:color w:val="000000"/>
          <w:sz w:val="24"/>
        </w:rPr>
        <w:t>）投标文件中的大写金额与小写金额不一致的，以大写金额为准；</w:t>
      </w:r>
    </w:p>
    <w:p>
      <w:pPr>
        <w:spacing w:line="440" w:lineRule="exact"/>
        <w:ind w:firstLine="480" w:firstLineChars="200"/>
        <w:rPr>
          <w:color w:val="000000"/>
          <w:sz w:val="24"/>
        </w:rPr>
      </w:pPr>
      <w:r>
        <w:rPr>
          <w:rFonts w:hint="eastAsia"/>
          <w:color w:val="000000"/>
          <w:sz w:val="24"/>
        </w:rPr>
        <w:t>（</w:t>
      </w:r>
      <w:r>
        <w:rPr>
          <w:color w:val="000000"/>
          <w:sz w:val="24"/>
        </w:rPr>
        <w:t>2</w:t>
      </w:r>
      <w:r>
        <w:rPr>
          <w:rFonts w:hint="eastAsia"/>
          <w:color w:val="000000"/>
          <w:sz w:val="24"/>
        </w:rPr>
        <w:t>）总价金额与依据单价计算出的结果不一致的，以单价金额为准修正总价，但单价金额小数点有明显错误的除外。</w:t>
      </w:r>
    </w:p>
    <w:p>
      <w:pPr>
        <w:rPr>
          <w:rFonts w:eastAsia="黑体"/>
          <w:color w:val="000000"/>
          <w:sz w:val="28"/>
        </w:rPr>
      </w:pPr>
      <w:r>
        <w:rPr>
          <w:rFonts w:eastAsia="黑体"/>
          <w:color w:val="000000"/>
          <w:sz w:val="28"/>
        </w:rPr>
        <w:t xml:space="preserve">3.2 </w:t>
      </w:r>
      <w:r>
        <w:rPr>
          <w:rFonts w:hint="eastAsia" w:eastAsia="黑体"/>
          <w:color w:val="000000"/>
          <w:sz w:val="28"/>
        </w:rPr>
        <w:t>详细评审</w:t>
      </w:r>
    </w:p>
    <w:p>
      <w:pPr>
        <w:spacing w:line="440" w:lineRule="exact"/>
        <w:ind w:firstLine="480" w:firstLineChars="200"/>
        <w:rPr>
          <w:color w:val="000000"/>
          <w:sz w:val="24"/>
        </w:rPr>
      </w:pPr>
      <w:r>
        <w:rPr>
          <w:color w:val="000000"/>
          <w:sz w:val="24"/>
        </w:rPr>
        <w:t>3.2.1</w:t>
      </w:r>
      <w:r>
        <w:rPr>
          <w:rFonts w:hint="eastAsia"/>
          <w:color w:val="000000"/>
          <w:sz w:val="24"/>
        </w:rPr>
        <w:t>评标委员会按本章第</w:t>
      </w:r>
      <w:r>
        <w:rPr>
          <w:color w:val="000000"/>
          <w:sz w:val="24"/>
        </w:rPr>
        <w:t>2.2</w:t>
      </w:r>
      <w:r>
        <w:rPr>
          <w:rFonts w:hint="eastAsia"/>
          <w:color w:val="000000"/>
          <w:sz w:val="24"/>
        </w:rPr>
        <w:t>款规定的量化因素和分值进行打分，并以评标委员会各成员的打分平均值确定，该平均值以去掉一个最高分和一个最低分后计算出综合评估得分。</w:t>
      </w:r>
    </w:p>
    <w:p>
      <w:pPr>
        <w:spacing w:line="440" w:lineRule="exact"/>
        <w:ind w:firstLine="480" w:firstLineChars="200"/>
        <w:rPr>
          <w:color w:val="000000"/>
          <w:sz w:val="24"/>
        </w:rPr>
      </w:pPr>
      <w:r>
        <w:rPr>
          <w:rFonts w:hint="eastAsia"/>
          <w:color w:val="000000"/>
          <w:sz w:val="24"/>
        </w:rPr>
        <w:t>（</w:t>
      </w:r>
      <w:r>
        <w:rPr>
          <w:color w:val="000000"/>
          <w:sz w:val="24"/>
        </w:rPr>
        <w:t>1</w:t>
      </w:r>
      <w:r>
        <w:rPr>
          <w:rFonts w:hint="eastAsia"/>
          <w:color w:val="000000"/>
          <w:sz w:val="24"/>
        </w:rPr>
        <w:t>）按本章第</w:t>
      </w:r>
      <w:r>
        <w:rPr>
          <w:color w:val="000000"/>
          <w:sz w:val="24"/>
        </w:rPr>
        <w:t>2.2.4</w:t>
      </w:r>
      <w:r>
        <w:rPr>
          <w:rFonts w:hint="eastAsia"/>
          <w:color w:val="000000"/>
          <w:sz w:val="24"/>
        </w:rPr>
        <w:t>（</w:t>
      </w:r>
      <w:r>
        <w:rPr>
          <w:color w:val="000000"/>
          <w:sz w:val="24"/>
        </w:rPr>
        <w:t>1</w:t>
      </w:r>
      <w:r>
        <w:rPr>
          <w:rFonts w:hint="eastAsia"/>
          <w:color w:val="000000"/>
          <w:sz w:val="24"/>
        </w:rPr>
        <w:t>）目规定的评审因素和分值对拟投入的项目经理和项目总工资历计算出得分</w:t>
      </w:r>
      <w:r>
        <w:rPr>
          <w:color w:val="000000"/>
          <w:sz w:val="24"/>
        </w:rPr>
        <w:t>A</w:t>
      </w:r>
      <w:r>
        <w:rPr>
          <w:rFonts w:hint="eastAsia"/>
          <w:color w:val="000000"/>
          <w:sz w:val="24"/>
        </w:rPr>
        <w:t>；</w:t>
      </w:r>
    </w:p>
    <w:p>
      <w:pPr>
        <w:spacing w:line="440" w:lineRule="exact"/>
        <w:ind w:firstLine="480" w:firstLineChars="200"/>
        <w:rPr>
          <w:color w:val="000000"/>
          <w:sz w:val="24"/>
        </w:rPr>
      </w:pPr>
      <w:r>
        <w:rPr>
          <w:rFonts w:hint="eastAsia"/>
          <w:color w:val="000000"/>
          <w:sz w:val="24"/>
        </w:rPr>
        <w:t>（</w:t>
      </w:r>
      <w:r>
        <w:rPr>
          <w:color w:val="000000"/>
          <w:sz w:val="24"/>
        </w:rPr>
        <w:t>2</w:t>
      </w:r>
      <w:r>
        <w:rPr>
          <w:rFonts w:hint="eastAsia"/>
          <w:color w:val="000000"/>
          <w:sz w:val="24"/>
        </w:rPr>
        <w:t>）按本章第</w:t>
      </w:r>
      <w:r>
        <w:rPr>
          <w:color w:val="000000"/>
          <w:sz w:val="24"/>
        </w:rPr>
        <w:t>2.2.4</w:t>
      </w:r>
      <w:r>
        <w:rPr>
          <w:rFonts w:hint="eastAsia"/>
          <w:color w:val="000000"/>
          <w:sz w:val="24"/>
        </w:rPr>
        <w:t>（</w:t>
      </w:r>
      <w:r>
        <w:rPr>
          <w:color w:val="000000"/>
          <w:sz w:val="24"/>
        </w:rPr>
        <w:t>2</w:t>
      </w:r>
      <w:r>
        <w:rPr>
          <w:rFonts w:hint="eastAsia"/>
          <w:color w:val="000000"/>
          <w:sz w:val="24"/>
        </w:rPr>
        <w:t>）目规定的评审因素和分值对类似施工业绩计算出得分</w:t>
      </w:r>
      <w:r>
        <w:rPr>
          <w:color w:val="000000"/>
          <w:sz w:val="24"/>
        </w:rPr>
        <w:t>B</w:t>
      </w:r>
      <w:r>
        <w:rPr>
          <w:rFonts w:hint="eastAsia"/>
          <w:color w:val="000000"/>
          <w:sz w:val="24"/>
        </w:rPr>
        <w:t>；</w:t>
      </w:r>
    </w:p>
    <w:p>
      <w:pPr>
        <w:spacing w:line="440" w:lineRule="exact"/>
        <w:ind w:firstLine="480" w:firstLineChars="200"/>
        <w:rPr>
          <w:color w:val="000000"/>
          <w:sz w:val="24"/>
        </w:rPr>
      </w:pPr>
      <w:r>
        <w:rPr>
          <w:rFonts w:hint="eastAsia"/>
          <w:color w:val="000000"/>
          <w:sz w:val="24"/>
        </w:rPr>
        <w:t>（</w:t>
      </w:r>
      <w:r>
        <w:rPr>
          <w:color w:val="000000"/>
          <w:sz w:val="24"/>
        </w:rPr>
        <w:t>3</w:t>
      </w:r>
      <w:r>
        <w:rPr>
          <w:rFonts w:hint="eastAsia"/>
          <w:color w:val="000000"/>
          <w:sz w:val="24"/>
        </w:rPr>
        <w:t>）按本章第</w:t>
      </w:r>
      <w:r>
        <w:rPr>
          <w:color w:val="000000"/>
          <w:sz w:val="24"/>
        </w:rPr>
        <w:t>2.2.4</w:t>
      </w:r>
      <w:r>
        <w:rPr>
          <w:rFonts w:hint="eastAsia"/>
          <w:color w:val="000000"/>
          <w:sz w:val="24"/>
        </w:rPr>
        <w:t>（</w:t>
      </w:r>
      <w:r>
        <w:rPr>
          <w:color w:val="000000"/>
          <w:sz w:val="24"/>
        </w:rPr>
        <w:t>3</w:t>
      </w:r>
      <w:r>
        <w:rPr>
          <w:rFonts w:hint="eastAsia"/>
          <w:color w:val="000000"/>
          <w:sz w:val="24"/>
        </w:rPr>
        <w:t>）目规定的评审因素和分值对财务能力计算出得分</w:t>
      </w:r>
      <w:r>
        <w:rPr>
          <w:color w:val="000000"/>
          <w:sz w:val="24"/>
        </w:rPr>
        <w:t>C</w:t>
      </w:r>
      <w:r>
        <w:rPr>
          <w:rFonts w:hint="eastAsia"/>
          <w:color w:val="000000"/>
          <w:sz w:val="24"/>
        </w:rPr>
        <w:t>；</w:t>
      </w:r>
    </w:p>
    <w:p>
      <w:pPr>
        <w:spacing w:line="440" w:lineRule="exact"/>
        <w:ind w:firstLine="480" w:firstLineChars="200"/>
        <w:rPr>
          <w:color w:val="000000"/>
          <w:sz w:val="24"/>
        </w:rPr>
      </w:pPr>
      <w:r>
        <w:rPr>
          <w:rFonts w:hint="eastAsia"/>
          <w:color w:val="000000"/>
          <w:sz w:val="24"/>
        </w:rPr>
        <w:t>（</w:t>
      </w:r>
      <w:r>
        <w:rPr>
          <w:color w:val="000000"/>
          <w:sz w:val="24"/>
        </w:rPr>
        <w:t>4</w:t>
      </w:r>
      <w:r>
        <w:rPr>
          <w:rFonts w:hint="eastAsia"/>
          <w:color w:val="000000"/>
          <w:sz w:val="24"/>
        </w:rPr>
        <w:t>）按本章第</w:t>
      </w:r>
      <w:r>
        <w:rPr>
          <w:color w:val="000000"/>
          <w:sz w:val="24"/>
        </w:rPr>
        <w:t>2.2.4</w:t>
      </w:r>
      <w:r>
        <w:rPr>
          <w:rFonts w:hint="eastAsia"/>
          <w:color w:val="000000"/>
          <w:sz w:val="24"/>
        </w:rPr>
        <w:t>（</w:t>
      </w:r>
      <w:r>
        <w:rPr>
          <w:color w:val="000000"/>
          <w:sz w:val="24"/>
        </w:rPr>
        <w:t>4</w:t>
      </w:r>
      <w:r>
        <w:rPr>
          <w:rFonts w:hint="eastAsia"/>
          <w:color w:val="000000"/>
          <w:sz w:val="24"/>
        </w:rPr>
        <w:t>）目规定的评审因素和分值对项目实施方案计算出得分</w:t>
      </w:r>
      <w:r>
        <w:rPr>
          <w:color w:val="000000"/>
          <w:sz w:val="24"/>
        </w:rPr>
        <w:t>D</w:t>
      </w:r>
      <w:r>
        <w:rPr>
          <w:rFonts w:hint="eastAsia"/>
          <w:color w:val="000000"/>
          <w:sz w:val="24"/>
        </w:rPr>
        <w:t>。</w:t>
      </w:r>
    </w:p>
    <w:p>
      <w:pPr>
        <w:spacing w:line="440" w:lineRule="exact"/>
        <w:ind w:firstLine="480" w:firstLineChars="200"/>
        <w:rPr>
          <w:color w:val="000000"/>
          <w:sz w:val="24"/>
        </w:rPr>
      </w:pPr>
      <w:r>
        <w:rPr>
          <w:rFonts w:hint="eastAsia"/>
          <w:color w:val="000000"/>
          <w:sz w:val="24"/>
        </w:rPr>
        <w:t>（</w:t>
      </w:r>
      <w:r>
        <w:rPr>
          <w:color w:val="000000"/>
          <w:sz w:val="24"/>
        </w:rPr>
        <w:t>5</w:t>
      </w:r>
      <w:r>
        <w:rPr>
          <w:rFonts w:hint="eastAsia"/>
          <w:color w:val="000000"/>
          <w:sz w:val="24"/>
        </w:rPr>
        <w:t>）按本章第</w:t>
      </w:r>
      <w:r>
        <w:rPr>
          <w:color w:val="000000"/>
          <w:sz w:val="24"/>
        </w:rPr>
        <w:t>2.2.4</w:t>
      </w:r>
      <w:r>
        <w:rPr>
          <w:rFonts w:hint="eastAsia"/>
          <w:color w:val="000000"/>
          <w:sz w:val="24"/>
        </w:rPr>
        <w:t>（</w:t>
      </w:r>
      <w:r>
        <w:rPr>
          <w:color w:val="000000"/>
          <w:sz w:val="24"/>
        </w:rPr>
        <w:t>4</w:t>
      </w:r>
      <w:r>
        <w:rPr>
          <w:rFonts w:hint="eastAsia"/>
          <w:color w:val="000000"/>
          <w:sz w:val="24"/>
        </w:rPr>
        <w:t>）目规定的评审因素和分值对投标报价计算出得分</w:t>
      </w:r>
      <w:r>
        <w:rPr>
          <w:color w:val="000000"/>
          <w:sz w:val="24"/>
        </w:rPr>
        <w:t>E</w:t>
      </w:r>
      <w:r>
        <w:rPr>
          <w:rFonts w:hint="eastAsia"/>
          <w:color w:val="000000"/>
          <w:sz w:val="24"/>
        </w:rPr>
        <w:t>。</w:t>
      </w:r>
    </w:p>
    <w:p>
      <w:pPr>
        <w:spacing w:line="440" w:lineRule="exact"/>
        <w:ind w:firstLine="480" w:firstLineChars="200"/>
        <w:rPr>
          <w:color w:val="000000"/>
          <w:sz w:val="24"/>
        </w:rPr>
      </w:pPr>
      <w:r>
        <w:rPr>
          <w:color w:val="000000"/>
          <w:sz w:val="24"/>
        </w:rPr>
        <w:t xml:space="preserve">3.2.2 </w:t>
      </w:r>
      <w:r>
        <w:rPr>
          <w:rFonts w:hint="eastAsia"/>
          <w:color w:val="000000"/>
          <w:sz w:val="24"/>
        </w:rPr>
        <w:t>评分分值计算保留小数点后两位，小数点后第三位“四舍五入”。</w:t>
      </w:r>
    </w:p>
    <w:p>
      <w:pPr>
        <w:spacing w:line="440" w:lineRule="exact"/>
        <w:ind w:firstLine="480" w:firstLineChars="200"/>
        <w:rPr>
          <w:color w:val="000000"/>
          <w:sz w:val="24"/>
        </w:rPr>
      </w:pPr>
      <w:r>
        <w:rPr>
          <w:color w:val="000000"/>
          <w:sz w:val="24"/>
        </w:rPr>
        <w:t xml:space="preserve">3.2.3 </w:t>
      </w:r>
      <w:r>
        <w:rPr>
          <w:rFonts w:hint="eastAsia"/>
          <w:color w:val="000000"/>
          <w:sz w:val="24"/>
        </w:rPr>
        <w:t>投标人得分</w:t>
      </w:r>
      <w:r>
        <w:rPr>
          <w:color w:val="000000"/>
          <w:sz w:val="24"/>
        </w:rPr>
        <w:t>=A+B+C+D+E</w:t>
      </w:r>
      <w:r>
        <w:rPr>
          <w:rFonts w:hint="eastAsia"/>
          <w:color w:val="000000"/>
          <w:sz w:val="24"/>
        </w:rPr>
        <w:t>。</w:t>
      </w:r>
    </w:p>
    <w:p>
      <w:pPr>
        <w:spacing w:line="440" w:lineRule="exact"/>
        <w:ind w:firstLine="480" w:firstLineChars="200"/>
        <w:rPr>
          <w:color w:val="000000"/>
        </w:rPr>
      </w:pPr>
      <w:r>
        <w:rPr>
          <w:color w:val="000000"/>
          <w:sz w:val="24"/>
        </w:rPr>
        <w:t xml:space="preserve">3.2.4 </w:t>
      </w:r>
      <w:r>
        <w:rPr>
          <w:rFonts w:hint="eastAsia"/>
          <w:color w:val="000000"/>
          <w:sz w:val="24"/>
        </w:rPr>
        <w:t>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应当认定该投标人以低于成本报价竞标，其投标将被否决。</w:t>
      </w:r>
    </w:p>
    <w:p>
      <w:pPr>
        <w:rPr>
          <w:rFonts w:eastAsia="黑体"/>
          <w:color w:val="000000"/>
          <w:sz w:val="28"/>
        </w:rPr>
      </w:pPr>
      <w:r>
        <w:rPr>
          <w:rFonts w:eastAsia="黑体"/>
          <w:color w:val="000000"/>
          <w:sz w:val="28"/>
        </w:rPr>
        <w:t xml:space="preserve">3.3 </w:t>
      </w:r>
      <w:r>
        <w:rPr>
          <w:rFonts w:hint="eastAsia" w:eastAsia="黑体"/>
          <w:color w:val="000000"/>
          <w:sz w:val="28"/>
        </w:rPr>
        <w:t>投标文件的澄清和补正</w:t>
      </w:r>
    </w:p>
    <w:p>
      <w:pPr>
        <w:spacing w:line="440" w:lineRule="exact"/>
        <w:ind w:firstLine="480" w:firstLineChars="200"/>
        <w:rPr>
          <w:color w:val="000000"/>
          <w:sz w:val="24"/>
        </w:rPr>
      </w:pPr>
      <w:r>
        <w:rPr>
          <w:color w:val="000000"/>
          <w:sz w:val="24"/>
        </w:rPr>
        <w:t>3.3.1</w:t>
      </w:r>
      <w:r>
        <w:rPr>
          <w:rFonts w:hint="eastAsia"/>
          <w:color w:val="000000"/>
          <w:sz w:val="24"/>
        </w:rPr>
        <w:t>在评标过程中，评标委员会可以书面形式要求投标人对所提交投标文件中不明确的内容进行书面澄清或说明，或者对细微偏差进行补正。评标委员会不接受投标人主动提出的澄清、说明或补正。</w:t>
      </w:r>
    </w:p>
    <w:p>
      <w:pPr>
        <w:spacing w:line="440" w:lineRule="exact"/>
        <w:ind w:firstLine="480" w:firstLineChars="200"/>
        <w:rPr>
          <w:color w:val="000000"/>
          <w:sz w:val="24"/>
        </w:rPr>
      </w:pPr>
      <w:r>
        <w:rPr>
          <w:color w:val="000000"/>
          <w:sz w:val="24"/>
        </w:rPr>
        <w:t xml:space="preserve">3.3.2 </w:t>
      </w:r>
      <w:r>
        <w:rPr>
          <w:rFonts w:hint="eastAsia"/>
          <w:color w:val="000000"/>
          <w:sz w:val="24"/>
        </w:rPr>
        <w:t>澄清、说明和补正不得改变投标文件的实质性内容。投标人的书面澄清、说明和补正属于投标文件的组成部分。</w:t>
      </w:r>
    </w:p>
    <w:p>
      <w:pPr>
        <w:spacing w:line="440" w:lineRule="exact"/>
        <w:ind w:firstLine="480" w:firstLineChars="200"/>
        <w:rPr>
          <w:color w:val="000000"/>
        </w:rPr>
      </w:pPr>
      <w:r>
        <w:rPr>
          <w:color w:val="000000"/>
          <w:sz w:val="24"/>
        </w:rPr>
        <w:t xml:space="preserve">3.3.3 </w:t>
      </w:r>
      <w:r>
        <w:rPr>
          <w:rFonts w:hint="eastAsia"/>
          <w:color w:val="000000"/>
          <w:sz w:val="24"/>
        </w:rPr>
        <w:t>评标委员会对投标人提交的澄清、说明或补正有疑问的，可以要求投标人进一步澄清、说明或补正，直至满足评标委员会的要求。</w:t>
      </w:r>
    </w:p>
    <w:p>
      <w:pPr>
        <w:rPr>
          <w:rFonts w:eastAsia="黑体"/>
          <w:color w:val="000000"/>
          <w:sz w:val="28"/>
        </w:rPr>
      </w:pPr>
      <w:r>
        <w:rPr>
          <w:rFonts w:eastAsia="黑体"/>
          <w:color w:val="000000"/>
          <w:sz w:val="28"/>
        </w:rPr>
        <w:t xml:space="preserve">3.4 </w:t>
      </w:r>
      <w:r>
        <w:rPr>
          <w:rFonts w:hint="eastAsia" w:eastAsia="黑体"/>
          <w:color w:val="000000"/>
          <w:sz w:val="28"/>
        </w:rPr>
        <w:t>评标结果</w:t>
      </w:r>
    </w:p>
    <w:p>
      <w:pPr>
        <w:spacing w:line="440" w:lineRule="exact"/>
        <w:ind w:firstLine="480" w:firstLineChars="200"/>
        <w:rPr>
          <w:color w:val="000000"/>
          <w:sz w:val="24"/>
        </w:rPr>
      </w:pPr>
      <w:r>
        <w:rPr>
          <w:color w:val="000000"/>
          <w:sz w:val="24"/>
        </w:rPr>
        <w:t>3.4.1</w:t>
      </w:r>
      <w:r>
        <w:rPr>
          <w:rFonts w:hint="eastAsia"/>
          <w:color w:val="000000"/>
          <w:sz w:val="24"/>
        </w:rPr>
        <w:t>除第二章“投标人须知”前附表授权直接确定中标人外，评标委员会按照得分由高到低的顺序推荐中标候选人。</w:t>
      </w:r>
    </w:p>
    <w:p>
      <w:pPr>
        <w:spacing w:line="440" w:lineRule="exact"/>
        <w:ind w:firstLine="480" w:firstLineChars="200"/>
        <w:rPr>
          <w:color w:val="000000"/>
          <w:sz w:val="24"/>
        </w:rPr>
      </w:pPr>
      <w:r>
        <w:rPr>
          <w:color w:val="000000"/>
          <w:sz w:val="24"/>
        </w:rPr>
        <w:t xml:space="preserve">3.4.2 </w:t>
      </w:r>
      <w:r>
        <w:rPr>
          <w:rFonts w:hint="eastAsia"/>
          <w:color w:val="000000"/>
          <w:sz w:val="24"/>
        </w:rPr>
        <w:t>评标委员会完成评标后，应当向招标人提交书面评标报告。</w:t>
      </w:r>
    </w:p>
    <w:p>
      <w:pPr>
        <w:spacing w:line="440" w:lineRule="exact"/>
        <w:ind w:firstLine="480" w:firstLineChars="200"/>
        <w:rPr>
          <w:color w:val="000000"/>
          <w:sz w:val="24"/>
        </w:rPr>
      </w:pPr>
      <w:r>
        <w:rPr>
          <w:color w:val="000000"/>
          <w:sz w:val="24"/>
        </w:rPr>
        <w:t>3.4.3</w:t>
      </w:r>
      <w:r>
        <w:rPr>
          <w:rFonts w:hint="eastAsia"/>
          <w:color w:val="000000"/>
          <w:sz w:val="24"/>
        </w:rPr>
        <w:t>评标报告应当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spacing w:line="440" w:lineRule="exact"/>
        <w:ind w:firstLine="480" w:firstLineChars="200"/>
        <w:rPr>
          <w:color w:val="000000"/>
          <w:sz w:val="24"/>
        </w:rPr>
      </w:pPr>
      <w:r>
        <w:rPr>
          <w:color w:val="000000"/>
          <w:sz w:val="24"/>
        </w:rPr>
        <w:t>3.4.4</w:t>
      </w:r>
      <w:r>
        <w:rPr>
          <w:rFonts w:hint="eastAsia"/>
          <w:color w:val="000000"/>
          <w:sz w:val="24"/>
        </w:rPr>
        <w:t>对于评标监督人员或者招标人代表干预正常评标活动，以及对招标投标活动的其他不正当言行，评标委员会应当在评标报告中如实记录。</w:t>
      </w:r>
    </w:p>
    <w:p>
      <w:pPr>
        <w:rPr>
          <w:rFonts w:ascii="隶书" w:eastAsia="隶书"/>
          <w:color w:val="000000"/>
        </w:rPr>
      </w:pPr>
      <w:r>
        <w:rPr>
          <w:rFonts w:eastAsia="黑体"/>
          <w:color w:val="000000"/>
          <w:sz w:val="28"/>
        </w:rPr>
        <w:t xml:space="preserve">3.5 </w:t>
      </w:r>
      <w:r>
        <w:rPr>
          <w:rFonts w:hint="eastAsia" w:eastAsia="黑体"/>
          <w:color w:val="000000"/>
          <w:sz w:val="28"/>
        </w:rPr>
        <w:t>履约能力审查</w:t>
      </w:r>
    </w:p>
    <w:p>
      <w:pPr>
        <w:rPr>
          <w:color w:val="000000" w:themeColor="text1"/>
          <w14:textFill>
            <w14:solidFill>
              <w14:schemeClr w14:val="tx1"/>
            </w14:solidFill>
          </w14:textFill>
        </w:rPr>
      </w:pPr>
      <w:r>
        <w:rPr>
          <w:rFonts w:hint="eastAsia"/>
          <w:color w:val="000000"/>
          <w:sz w:val="24"/>
        </w:rPr>
        <w:t>中标候选人的经营、财务状况发生较大变化或者存在违法行为，招标人认为可能影响其履约能力的，将在发出中标通知书前报请行政监督部门后，召集原评标委员会按照招标文件规定的标准和方法审查确认。</w:t>
      </w:r>
    </w:p>
    <w:p>
      <w:pPr>
        <w:widowControl/>
        <w:jc w:val="lef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隶书">
    <w:panose1 w:val="0201050906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B7643C"/>
    <w:rsid w:val="145A6C3D"/>
    <w:rsid w:val="1C9528B9"/>
    <w:rsid w:val="30977E2E"/>
    <w:rsid w:val="312E09C5"/>
    <w:rsid w:val="35D60ABD"/>
    <w:rsid w:val="6080704E"/>
    <w:rsid w:val="6D535020"/>
    <w:rsid w:val="6DB7643C"/>
    <w:rsid w:val="74455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2018-07-18T06:59:00Z</dcterms:created>
  <dc:creator>Owner</dc:creator>
  <cp:lastModifiedBy>Owner</cp:lastModifiedBy>
  <dcterms:modified xsi:type="dcterms:W3CDTF">2018-07-18T07:46:51Z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