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26C" w:rsidRDefault="0001126C" w:rsidP="0001126C">
      <w:pPr>
        <w:spacing w:line="560" w:lineRule="exact"/>
        <w:jc w:val="center"/>
        <w:rPr>
          <w:rFonts w:ascii="方正小标宋简体" w:eastAsia="方正小标宋简体" w:hint="eastAsia"/>
          <w:sz w:val="44"/>
          <w:szCs w:val="44"/>
        </w:rPr>
      </w:pPr>
      <w:bookmarkStart w:id="0" w:name="_GoBack"/>
      <w:r>
        <w:rPr>
          <w:rFonts w:ascii="方正小标宋简体" w:eastAsia="方正小标宋简体" w:hint="eastAsia"/>
          <w:sz w:val="44"/>
          <w:szCs w:val="44"/>
        </w:rPr>
        <w:t>宜昌市税务局关于进一步支持和服务宜昌民营企业发展十七条创新措施</w:t>
      </w:r>
    </w:p>
    <w:bookmarkEnd w:id="0"/>
    <w:p w:rsidR="0001126C" w:rsidRDefault="0001126C" w:rsidP="0001126C">
      <w:pPr>
        <w:spacing w:line="560" w:lineRule="exact"/>
        <w:ind w:firstLineChars="177" w:firstLine="566"/>
        <w:rPr>
          <w:rFonts w:ascii="仿宋_GB2312" w:eastAsia="仿宋_GB2312" w:hint="eastAsia"/>
          <w:sz w:val="32"/>
          <w:szCs w:val="32"/>
        </w:rPr>
      </w:pPr>
      <w:r>
        <w:rPr>
          <w:rFonts w:ascii="仿宋_GB2312" w:eastAsia="仿宋_GB2312" w:hint="eastAsia"/>
          <w:sz w:val="32"/>
          <w:szCs w:val="32"/>
        </w:rPr>
        <w:t xml:space="preserve"> </w:t>
      </w:r>
    </w:p>
    <w:p w:rsidR="0001126C" w:rsidRDefault="0001126C" w:rsidP="0001126C">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为深入贯彻习近平总书记在民营企业座谈会上的重要讲话精神，全面落实税务总局、省局、市委市政府关于支持民营经济发展的工作部署，市税务局主动作为、勇于担当，切实履行税务部门职责，发挥税收服务地方经济发展的职能作用，现就进一步支持和服务民营经济发展提出如下措施：</w:t>
      </w:r>
    </w:p>
    <w:p w:rsidR="0001126C" w:rsidRDefault="0001126C" w:rsidP="0001126C">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一、推行税收政策确定性服务，引导民营企业充分享受政策红利</w:t>
      </w:r>
    </w:p>
    <w:p w:rsidR="0001126C" w:rsidRDefault="0001126C" w:rsidP="0001126C">
      <w:pPr>
        <w:spacing w:line="560" w:lineRule="exact"/>
        <w:ind w:firstLineChars="200" w:firstLine="640"/>
        <w:rPr>
          <w:rFonts w:ascii="仿宋_GB2312" w:eastAsia="仿宋_GB2312" w:hint="eastAsia"/>
          <w:sz w:val="32"/>
          <w:szCs w:val="32"/>
        </w:rPr>
      </w:pPr>
      <w:r>
        <w:rPr>
          <w:rFonts w:ascii="楷体_GB2312" w:eastAsia="楷体_GB2312" w:hint="eastAsia"/>
          <w:sz w:val="32"/>
          <w:szCs w:val="32"/>
        </w:rPr>
        <w:t>（一）全面落实减税降</w:t>
      </w:r>
      <w:proofErr w:type="gramStart"/>
      <w:r>
        <w:rPr>
          <w:rFonts w:ascii="楷体_GB2312" w:eastAsia="楷体_GB2312" w:hint="eastAsia"/>
          <w:sz w:val="32"/>
          <w:szCs w:val="32"/>
        </w:rPr>
        <w:t>费税收</w:t>
      </w:r>
      <w:proofErr w:type="gramEnd"/>
      <w:r>
        <w:rPr>
          <w:rFonts w:ascii="楷体_GB2312" w:eastAsia="楷体_GB2312" w:hint="eastAsia"/>
          <w:sz w:val="32"/>
          <w:szCs w:val="32"/>
        </w:rPr>
        <w:t>优惠政策。</w:t>
      </w:r>
      <w:r>
        <w:rPr>
          <w:rFonts w:ascii="仿宋_GB2312" w:eastAsia="仿宋_GB2312" w:hint="eastAsia"/>
          <w:sz w:val="32"/>
          <w:szCs w:val="32"/>
        </w:rPr>
        <w:t>全面依法高效落实国家及省已出台和即将出台的提高增值税起征点、扩大小型微利企业和投资初创科技企业优惠范围、增值税小规模纳税人按50%税额幅度减征资源税等6个地方税种和教育费附加等2个附加等各项普惠性减税政策。积极落实好省关于制造业企业城镇土地使用税、货运车辆车船税等各项税费优惠政策。对民营企业享受税收优惠政策一律平等对待，确保各项减税降</w:t>
      </w:r>
      <w:proofErr w:type="gramStart"/>
      <w:r>
        <w:rPr>
          <w:rFonts w:ascii="仿宋_GB2312" w:eastAsia="仿宋_GB2312" w:hint="eastAsia"/>
          <w:sz w:val="32"/>
          <w:szCs w:val="32"/>
        </w:rPr>
        <w:t>费政策</w:t>
      </w:r>
      <w:proofErr w:type="gramEnd"/>
      <w:r>
        <w:rPr>
          <w:rFonts w:ascii="仿宋_GB2312" w:eastAsia="仿宋_GB2312" w:hint="eastAsia"/>
          <w:sz w:val="32"/>
          <w:szCs w:val="32"/>
        </w:rPr>
        <w:t>不折不扣地落实到位，确保纳税人和缴费人 “应享尽享”。</w:t>
      </w:r>
    </w:p>
    <w:p w:rsidR="0001126C" w:rsidRDefault="0001126C" w:rsidP="0001126C">
      <w:pPr>
        <w:spacing w:line="560" w:lineRule="exact"/>
        <w:ind w:firstLineChars="200" w:firstLine="640"/>
        <w:rPr>
          <w:rFonts w:ascii="仿宋_GB2312" w:eastAsia="仿宋_GB2312" w:hint="eastAsia"/>
          <w:sz w:val="32"/>
          <w:szCs w:val="32"/>
        </w:rPr>
      </w:pPr>
      <w:r>
        <w:rPr>
          <w:rFonts w:ascii="楷体_GB2312" w:eastAsia="楷体_GB2312" w:hint="eastAsia"/>
          <w:sz w:val="32"/>
          <w:szCs w:val="32"/>
        </w:rPr>
        <w:t>（二）创新开展各类个性化税收政策宣传。</w:t>
      </w:r>
      <w:r>
        <w:rPr>
          <w:rFonts w:ascii="仿宋_GB2312" w:eastAsia="仿宋_GB2312" w:hint="eastAsia"/>
          <w:sz w:val="32"/>
          <w:szCs w:val="32"/>
        </w:rPr>
        <w:t>充分利用税务网站、</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纳税人学堂、税务专家工作室等载体，组建并充实政策宣传小分队、税收中介志愿者团队、办税大厅导税团队等宣传队伍，创新推广网络直播、分类培训等方式，为民营企业提供多元化、互动性、体验式的政策宣传和</w:t>
      </w:r>
      <w:r>
        <w:rPr>
          <w:rFonts w:ascii="仿宋_GB2312" w:eastAsia="仿宋_GB2312" w:hint="eastAsia"/>
          <w:sz w:val="32"/>
          <w:szCs w:val="32"/>
        </w:rPr>
        <w:lastRenderedPageBreak/>
        <w:t>辅导，满足民营企业个性化的政策服务需求，让纳税人对各类减税降费政策“应知尽知”、“应会尽会”。</w:t>
      </w:r>
    </w:p>
    <w:p w:rsidR="0001126C" w:rsidRDefault="0001126C" w:rsidP="0001126C">
      <w:pPr>
        <w:spacing w:line="560" w:lineRule="exact"/>
        <w:ind w:firstLineChars="200" w:firstLine="640"/>
        <w:rPr>
          <w:rFonts w:ascii="仿宋_GB2312" w:eastAsia="仿宋_GB2312" w:hint="eastAsia"/>
          <w:sz w:val="32"/>
          <w:szCs w:val="32"/>
        </w:rPr>
      </w:pPr>
      <w:r>
        <w:rPr>
          <w:rFonts w:ascii="楷体_GB2312" w:eastAsia="楷体_GB2312" w:hint="eastAsia"/>
          <w:sz w:val="32"/>
          <w:szCs w:val="32"/>
        </w:rPr>
        <w:t>（三）引导民营企业科学适用税收政策。</w:t>
      </w:r>
      <w:r>
        <w:rPr>
          <w:rFonts w:ascii="仿宋_GB2312" w:eastAsia="仿宋_GB2312" w:hint="eastAsia"/>
          <w:sz w:val="32"/>
          <w:szCs w:val="32"/>
        </w:rPr>
        <w:t>利用“面宣面签”、日常预警等方式，强化对民营企业适用税收政策全过程风险提醒，减少其因税收政策适用不准确而引发的涉税风险。加强对民营企业适用税收政策的科学指导，对企业未来可能发生的重大经济行为或商事安排，主管税务机关根据需求为其提供最优纳税方案指引，引导纳税人科学、高效、准确适用税收政策。</w:t>
      </w:r>
    </w:p>
    <w:p w:rsidR="0001126C" w:rsidRDefault="0001126C" w:rsidP="0001126C">
      <w:pPr>
        <w:spacing w:line="560" w:lineRule="exact"/>
        <w:ind w:firstLineChars="200" w:firstLine="640"/>
        <w:rPr>
          <w:rFonts w:ascii="仿宋_GB2312" w:eastAsia="仿宋_GB2312" w:hint="eastAsia"/>
          <w:sz w:val="32"/>
          <w:szCs w:val="32"/>
        </w:rPr>
      </w:pPr>
      <w:r>
        <w:rPr>
          <w:rFonts w:ascii="楷体_GB2312" w:eastAsia="楷体_GB2312" w:hint="eastAsia"/>
          <w:sz w:val="32"/>
          <w:szCs w:val="32"/>
        </w:rPr>
        <w:t>（四）建立税收政策争议定准机制。</w:t>
      </w:r>
      <w:r>
        <w:rPr>
          <w:rFonts w:ascii="仿宋_GB2312" w:eastAsia="仿宋_GB2312" w:hint="eastAsia"/>
          <w:sz w:val="32"/>
          <w:szCs w:val="32"/>
        </w:rPr>
        <w:t>针对税收政策执行过程中可能产生的政策适用争议，主管税务机关要建立税收政策争议定准机制，对民营企业提出的政策争议问题，按照“归口管理、统一受件、内部流转、沟通呈报、限时办结”的要求，及时给予明确答复。</w:t>
      </w:r>
    </w:p>
    <w:p w:rsidR="0001126C" w:rsidRDefault="0001126C" w:rsidP="0001126C">
      <w:pPr>
        <w:spacing w:line="560" w:lineRule="exact"/>
        <w:ind w:firstLineChars="200" w:firstLine="640"/>
        <w:rPr>
          <w:rFonts w:ascii="仿宋_GB2312" w:eastAsia="仿宋_GB2312" w:hint="eastAsia"/>
          <w:sz w:val="32"/>
          <w:szCs w:val="32"/>
        </w:rPr>
      </w:pPr>
      <w:r>
        <w:rPr>
          <w:rFonts w:ascii="楷体_GB2312" w:eastAsia="楷体_GB2312" w:hint="eastAsia"/>
          <w:sz w:val="32"/>
          <w:szCs w:val="32"/>
        </w:rPr>
        <w:t>（五）运用契约管理推动民营企业税收遵从激励。</w:t>
      </w:r>
      <w:r>
        <w:rPr>
          <w:rFonts w:ascii="仿宋_GB2312" w:eastAsia="仿宋_GB2312" w:hint="eastAsia"/>
          <w:sz w:val="32"/>
          <w:szCs w:val="32"/>
        </w:rPr>
        <w:t>按照诚信推定的法治原理，通过与部分典型民营企业纳税人签订税收遵从协议，将信用激励有机融入管理，建立平等、尊重、互信的征纳关系，带动和促进广大纳税人税法遵从。</w:t>
      </w:r>
    </w:p>
    <w:p w:rsidR="0001126C" w:rsidRDefault="0001126C" w:rsidP="0001126C">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二、强化权益保障性服务，切实公平保护民营企业合法税收权利</w:t>
      </w:r>
    </w:p>
    <w:p w:rsidR="0001126C" w:rsidRDefault="0001126C" w:rsidP="0001126C">
      <w:pPr>
        <w:spacing w:line="560" w:lineRule="exact"/>
        <w:ind w:firstLineChars="200" w:firstLine="640"/>
        <w:rPr>
          <w:rFonts w:ascii="仿宋_GB2312" w:eastAsia="仿宋_GB2312" w:hint="eastAsia"/>
          <w:sz w:val="32"/>
          <w:szCs w:val="32"/>
        </w:rPr>
      </w:pPr>
      <w:r>
        <w:rPr>
          <w:rFonts w:ascii="楷体_GB2312" w:eastAsia="楷体_GB2312" w:hint="eastAsia"/>
          <w:sz w:val="32"/>
          <w:szCs w:val="32"/>
        </w:rPr>
        <w:t>（六）正确对待民营企业发展中的税收不规范行为。</w:t>
      </w:r>
      <w:r>
        <w:rPr>
          <w:rFonts w:ascii="仿宋_GB2312" w:eastAsia="仿宋_GB2312" w:hint="eastAsia"/>
          <w:sz w:val="32"/>
          <w:szCs w:val="32"/>
        </w:rPr>
        <w:t>坚持以发展的眼光看待民营企业历史上的税收不规范问题，按照法不溯及既往、从旧兼从轻、</w:t>
      </w:r>
      <w:proofErr w:type="gramStart"/>
      <w:r>
        <w:rPr>
          <w:rFonts w:ascii="仿宋_GB2312" w:eastAsia="仿宋_GB2312" w:hint="eastAsia"/>
          <w:sz w:val="32"/>
          <w:szCs w:val="32"/>
        </w:rPr>
        <w:t>疑</w:t>
      </w:r>
      <w:proofErr w:type="gramEnd"/>
      <w:r>
        <w:rPr>
          <w:rFonts w:ascii="仿宋_GB2312" w:eastAsia="仿宋_GB2312" w:hint="eastAsia"/>
          <w:sz w:val="32"/>
          <w:szCs w:val="32"/>
        </w:rPr>
        <w:t>罪</w:t>
      </w:r>
      <w:proofErr w:type="gramStart"/>
      <w:r>
        <w:rPr>
          <w:rFonts w:ascii="仿宋_GB2312" w:eastAsia="仿宋_GB2312" w:hint="eastAsia"/>
          <w:sz w:val="32"/>
          <w:szCs w:val="32"/>
        </w:rPr>
        <w:t>从无等原则</w:t>
      </w:r>
      <w:proofErr w:type="gramEnd"/>
      <w:r>
        <w:rPr>
          <w:rFonts w:ascii="仿宋_GB2312" w:eastAsia="仿宋_GB2312" w:hint="eastAsia"/>
          <w:sz w:val="32"/>
          <w:szCs w:val="32"/>
        </w:rPr>
        <w:t>妥善处置历</w:t>
      </w:r>
      <w:r>
        <w:rPr>
          <w:rFonts w:ascii="仿宋_GB2312" w:eastAsia="仿宋_GB2312" w:hint="eastAsia"/>
          <w:sz w:val="32"/>
          <w:szCs w:val="32"/>
        </w:rPr>
        <w:lastRenderedPageBreak/>
        <w:t>史遗留问题，不盲目翻旧账，为民营企业发展提供稳定的发展环境，增强民营企业发展信心。</w:t>
      </w:r>
    </w:p>
    <w:p w:rsidR="0001126C" w:rsidRDefault="0001126C" w:rsidP="0001126C">
      <w:pPr>
        <w:spacing w:line="560" w:lineRule="exact"/>
        <w:ind w:firstLineChars="200" w:firstLine="640"/>
        <w:rPr>
          <w:rFonts w:ascii="仿宋_GB2312" w:eastAsia="仿宋_GB2312" w:hint="eastAsia"/>
          <w:sz w:val="32"/>
          <w:szCs w:val="32"/>
        </w:rPr>
      </w:pPr>
      <w:r>
        <w:rPr>
          <w:rFonts w:ascii="楷体_GB2312" w:eastAsia="楷体_GB2312" w:hint="eastAsia"/>
          <w:sz w:val="32"/>
          <w:szCs w:val="32"/>
        </w:rPr>
        <w:t>（七）建立民营企业税收容错纠错机制。</w:t>
      </w:r>
      <w:r>
        <w:rPr>
          <w:rFonts w:ascii="仿宋_GB2312" w:eastAsia="仿宋_GB2312" w:hint="eastAsia"/>
          <w:sz w:val="32"/>
          <w:szCs w:val="32"/>
        </w:rPr>
        <w:t>在日常税收监管中注重区分民营企业的主观故意违法行为和非主观故意过失行为，对其非主观故意的税收违规行为在符合条件的情况下进行容错纠错，指导纳税人及时纠错改正，并在纳税信用评定、发票供应等税收管理措施方面不作负面评价，同时在行政处罚中依法从轻或免予处罚。</w:t>
      </w:r>
    </w:p>
    <w:p w:rsidR="0001126C" w:rsidRDefault="0001126C" w:rsidP="0001126C">
      <w:pPr>
        <w:spacing w:line="600" w:lineRule="exact"/>
        <w:ind w:firstLineChars="200" w:firstLine="640"/>
        <w:rPr>
          <w:rFonts w:ascii="仿宋_GB2312" w:eastAsia="仿宋_GB2312" w:hint="eastAsia"/>
          <w:sz w:val="32"/>
          <w:szCs w:val="32"/>
        </w:rPr>
      </w:pPr>
      <w:r>
        <w:rPr>
          <w:rFonts w:ascii="楷体_GB2312" w:eastAsia="楷体_GB2312" w:hint="eastAsia"/>
          <w:sz w:val="32"/>
          <w:szCs w:val="32"/>
        </w:rPr>
        <w:t>（八）在税收执法中强化谦抑善意原则。</w:t>
      </w:r>
      <w:r>
        <w:rPr>
          <w:rFonts w:ascii="仿宋_GB2312" w:eastAsia="仿宋_GB2312" w:hint="eastAsia"/>
          <w:sz w:val="32"/>
          <w:szCs w:val="32"/>
        </w:rPr>
        <w:t>在税收执法中注重政治效果、法治效果、社会效果的统一，当有多种执法方式可以实现税收执法目的时，应选择对纳税人影响最小的执法方式实施。创新适用柔性、文明的执法方式，通过运用说理式执法、行政和解、税收指导等柔性执法手段，在执法中体现人性关怀、刚柔并济和正面激励。进一步规范进户检查，尽量减少对民营企业的执法打扰，做好纳税评估与税务稽查案源统筹协调，切实避免纳税评估和税务稽查任务重复下达、多头进户、重复进户等问题。坚决做到“无风险不检查、无审批不进户、无违法不停票”。</w:t>
      </w:r>
    </w:p>
    <w:p w:rsidR="0001126C" w:rsidRDefault="0001126C" w:rsidP="0001126C">
      <w:pPr>
        <w:spacing w:line="560" w:lineRule="exact"/>
        <w:ind w:firstLineChars="200" w:firstLine="640"/>
        <w:jc w:val="left"/>
        <w:rPr>
          <w:rFonts w:ascii="仿宋_GB2312" w:eastAsia="仿宋_GB2312" w:hint="eastAsia"/>
          <w:sz w:val="32"/>
          <w:szCs w:val="32"/>
        </w:rPr>
      </w:pPr>
      <w:r>
        <w:rPr>
          <w:rFonts w:ascii="楷体_GB2312" w:eastAsia="楷体_GB2312" w:hint="eastAsia"/>
          <w:sz w:val="32"/>
          <w:szCs w:val="32"/>
        </w:rPr>
        <w:t>（九）畅通民营企业权利救济渠道。</w:t>
      </w:r>
      <w:r>
        <w:rPr>
          <w:rFonts w:ascii="仿宋_GB2312" w:eastAsia="仿宋_GB2312" w:hint="eastAsia"/>
          <w:sz w:val="32"/>
          <w:szCs w:val="32"/>
        </w:rPr>
        <w:t>建立纳税人涉税争议前置处理和矛盾预防化解机制。对民营企业反映的执法问题、涉税争议等及时科学引导纳税人通过行政复议、行政调解等程序解决。对民营企业因困难未缴清税款等原因，致使其提请的涉税行政复议不符合受理条件的，各级税务机关也应主动对执法行为自查甄别，对执法行为确有错误的，应及</w:t>
      </w:r>
      <w:r>
        <w:rPr>
          <w:rFonts w:ascii="仿宋_GB2312" w:eastAsia="仿宋_GB2312" w:hint="eastAsia"/>
          <w:sz w:val="32"/>
          <w:szCs w:val="32"/>
        </w:rPr>
        <w:lastRenderedPageBreak/>
        <w:t>时予以纠正。强化民营企业权利保护，对内建立纳税人权利保护督察机制，对外支持社会中介组织建立纳税人权益保护协会，及时化解涉税矛盾争议，对侵害民营企业权利的行为及时纠正。</w:t>
      </w:r>
    </w:p>
    <w:p w:rsidR="0001126C" w:rsidRDefault="0001126C" w:rsidP="0001126C">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三、优化办税便利性服务，打造有利民营企业发展的税收营商环境</w:t>
      </w:r>
    </w:p>
    <w:p w:rsidR="0001126C" w:rsidRDefault="0001126C" w:rsidP="0001126C">
      <w:pPr>
        <w:spacing w:line="560" w:lineRule="exact"/>
        <w:ind w:firstLineChars="200" w:firstLine="640"/>
        <w:rPr>
          <w:rFonts w:ascii="仿宋_GB2312" w:eastAsia="仿宋_GB2312" w:hint="eastAsia"/>
          <w:sz w:val="32"/>
          <w:szCs w:val="32"/>
        </w:rPr>
      </w:pPr>
      <w:r>
        <w:rPr>
          <w:rFonts w:ascii="楷体_GB2312" w:eastAsia="楷体_GB2312" w:hint="eastAsia"/>
          <w:sz w:val="32"/>
          <w:szCs w:val="32"/>
        </w:rPr>
        <w:t>（十）建立多元化办税渠道。</w:t>
      </w:r>
      <w:r>
        <w:rPr>
          <w:rFonts w:ascii="仿宋_GB2312" w:eastAsia="仿宋_GB2312" w:hint="eastAsia"/>
          <w:sz w:val="32"/>
          <w:szCs w:val="32"/>
        </w:rPr>
        <w:t>扎实推进实体办税“一窗办”，完善“一人通导”导税咨询服务；大力推行“网上办”，推广电子税务局，让纳税人“多跑网路少跑马路”；持续创新“就近办”，在社区、银行、街道便民中心搭建24小时自助办税厅，方便纳税人就近办；全面推广“一次办”， 拓展“最多跑一次”清单，着力打造“预约办”，搭建网上、</w:t>
      </w:r>
      <w:proofErr w:type="gramStart"/>
      <w:r>
        <w:rPr>
          <w:rFonts w:ascii="仿宋_GB2312" w:eastAsia="仿宋_GB2312" w:hint="eastAsia"/>
          <w:sz w:val="32"/>
          <w:szCs w:val="32"/>
        </w:rPr>
        <w:t>微信预约</w:t>
      </w:r>
      <w:proofErr w:type="gramEnd"/>
      <w:r>
        <w:rPr>
          <w:rFonts w:ascii="仿宋_GB2312" w:eastAsia="仿宋_GB2312" w:hint="eastAsia"/>
          <w:sz w:val="32"/>
          <w:szCs w:val="32"/>
        </w:rPr>
        <w:t>办税功能，推广错峰预约服务。</w:t>
      </w:r>
    </w:p>
    <w:p w:rsidR="0001126C" w:rsidRDefault="0001126C" w:rsidP="0001126C">
      <w:pPr>
        <w:spacing w:line="560" w:lineRule="exact"/>
        <w:ind w:firstLineChars="200" w:firstLine="640"/>
        <w:rPr>
          <w:rFonts w:ascii="仿宋_GB2312" w:eastAsia="仿宋_GB2312" w:hint="eastAsia"/>
          <w:sz w:val="32"/>
          <w:szCs w:val="32"/>
        </w:rPr>
      </w:pPr>
      <w:r>
        <w:rPr>
          <w:rFonts w:ascii="楷体_GB2312" w:eastAsia="楷体_GB2312" w:hint="eastAsia"/>
          <w:sz w:val="32"/>
          <w:szCs w:val="32"/>
        </w:rPr>
        <w:t>（十一）进一步简化办税流程。</w:t>
      </w:r>
      <w:r>
        <w:rPr>
          <w:rFonts w:ascii="仿宋_GB2312" w:eastAsia="仿宋_GB2312" w:hint="eastAsia"/>
          <w:sz w:val="32"/>
          <w:szCs w:val="32"/>
        </w:rPr>
        <w:t>全面梳理表证单书，推广“一表集成”，实行表证单书要素化管理，集成相关信息系统数据，自动生成纳税（缴费）申报表，有效减少纳税人申报准备和填报时间。统筹税费申报事项，对不同税费要求重复采集的数据项进行精简归并，探索推行增值税、消费税及附征税费的多税费综合申报表。清理纳税人向税务机关报送的资料，相关证照、批准文书等信息能通过政府信息共享获取的，只需要纳税人提供材料名称、文号、编码等信息供查询验证，不再提交材料原件或复印件。</w:t>
      </w:r>
    </w:p>
    <w:p w:rsidR="0001126C" w:rsidRDefault="0001126C" w:rsidP="0001126C">
      <w:pPr>
        <w:spacing w:line="560" w:lineRule="exact"/>
        <w:ind w:firstLineChars="200" w:firstLine="640"/>
        <w:rPr>
          <w:rFonts w:ascii="仿宋_GB2312" w:eastAsia="仿宋_GB2312" w:hAnsi="仿宋" w:hint="eastAsia"/>
          <w:sz w:val="32"/>
          <w:szCs w:val="32"/>
        </w:rPr>
      </w:pPr>
      <w:r>
        <w:rPr>
          <w:rFonts w:ascii="楷体_GB2312" w:eastAsia="楷体_GB2312" w:hint="eastAsia"/>
          <w:sz w:val="32"/>
          <w:szCs w:val="32"/>
        </w:rPr>
        <w:t>（十二）持续压缩办税时间。</w:t>
      </w:r>
      <w:r>
        <w:rPr>
          <w:rFonts w:ascii="仿宋_GB2312" w:eastAsia="仿宋_GB2312" w:hAnsi="仿宋" w:hint="eastAsia"/>
          <w:sz w:val="32"/>
          <w:szCs w:val="32"/>
        </w:rPr>
        <w:t>统筹推进“多证合一”改革，加强与工商部门的沟通协调，大幅压缩新设企业办理涉</w:t>
      </w:r>
      <w:r>
        <w:rPr>
          <w:rFonts w:ascii="仿宋_GB2312" w:eastAsia="仿宋_GB2312" w:hAnsi="仿宋" w:hint="eastAsia"/>
          <w:sz w:val="32"/>
          <w:szCs w:val="32"/>
        </w:rPr>
        <w:lastRenderedPageBreak/>
        <w:t>税事宜的时间，将新开办企业初次申领发票等环节办理时限压缩至5个工作日以内，2019年6月底压缩至3个工作日。将审核办理出口退税的平均时间压缩至10个工作日以内。</w:t>
      </w:r>
      <w:r>
        <w:rPr>
          <w:rFonts w:ascii="仿宋_GB2312" w:eastAsia="仿宋_GB2312" w:hint="eastAsia"/>
          <w:sz w:val="32"/>
          <w:szCs w:val="32"/>
        </w:rPr>
        <w:t>优化不动产登记并联核查流程，逐步压缩至3个工作日办结。推进符合条件的新办纳税人首次申领最高开票限额不超过10万元增值税专用发票即时办结，10万元以上限额专用发票申领压缩至1个工作日内办结，进一步拓展即办事项范围。</w:t>
      </w:r>
    </w:p>
    <w:p w:rsidR="0001126C" w:rsidRDefault="0001126C" w:rsidP="0001126C">
      <w:pPr>
        <w:spacing w:line="560" w:lineRule="exact"/>
        <w:ind w:firstLineChars="200" w:firstLine="640"/>
        <w:rPr>
          <w:rFonts w:ascii="仿宋_GB2312" w:eastAsia="仿宋_GB2312" w:hint="eastAsia"/>
          <w:sz w:val="32"/>
          <w:szCs w:val="32"/>
        </w:rPr>
      </w:pPr>
      <w:r>
        <w:rPr>
          <w:rFonts w:ascii="楷体_GB2312" w:eastAsia="楷体_GB2312" w:hint="eastAsia"/>
          <w:sz w:val="32"/>
          <w:szCs w:val="32"/>
        </w:rPr>
        <w:t>（十三）简化跨区迁移和税务注销程序。</w:t>
      </w:r>
      <w:r>
        <w:rPr>
          <w:rFonts w:ascii="仿宋_GB2312" w:eastAsia="仿宋_GB2312" w:hint="eastAsia"/>
          <w:sz w:val="32"/>
          <w:szCs w:val="32"/>
        </w:rPr>
        <w:t>对符合条件民营企业纳税人实行跨区迁移及时办结，不进行税收清算，促进企业市内迁移便利化。推行税务注销分类处理，对符合条件的民营企业纳税人实行简易注销清税证明免办及注销“承诺制”</w:t>
      </w:r>
      <w:proofErr w:type="gramStart"/>
      <w:r>
        <w:rPr>
          <w:rFonts w:ascii="仿宋_GB2312" w:eastAsia="仿宋_GB2312" w:hint="eastAsia"/>
          <w:sz w:val="32"/>
          <w:szCs w:val="32"/>
        </w:rPr>
        <w:t>容缺即</w:t>
      </w:r>
      <w:proofErr w:type="gramEnd"/>
      <w:r>
        <w:rPr>
          <w:rFonts w:ascii="仿宋_GB2312" w:eastAsia="仿宋_GB2312" w:hint="eastAsia"/>
          <w:sz w:val="32"/>
          <w:szCs w:val="32"/>
        </w:rPr>
        <w:t>办服务，压缩一般税务注销时限至15个工作日办结，切实破解企业“迁移难”“注销难”问题。</w:t>
      </w:r>
    </w:p>
    <w:p w:rsidR="0001126C" w:rsidRDefault="0001126C" w:rsidP="0001126C">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四、积极开展</w:t>
      </w:r>
      <w:proofErr w:type="gramStart"/>
      <w:r>
        <w:rPr>
          <w:rFonts w:ascii="黑体" w:eastAsia="黑体" w:hAnsi="黑体" w:hint="eastAsia"/>
          <w:sz w:val="32"/>
          <w:szCs w:val="32"/>
        </w:rPr>
        <w:t>纾</w:t>
      </w:r>
      <w:proofErr w:type="gramEnd"/>
      <w:r>
        <w:rPr>
          <w:rFonts w:ascii="黑体" w:eastAsia="黑体" w:hAnsi="黑体" w:hint="eastAsia"/>
          <w:sz w:val="32"/>
          <w:szCs w:val="32"/>
        </w:rPr>
        <w:t>难解困式服务，以税收路径助力民营企业缓解困难</w:t>
      </w:r>
    </w:p>
    <w:p w:rsidR="0001126C" w:rsidRDefault="0001126C" w:rsidP="0001126C">
      <w:pPr>
        <w:spacing w:line="560" w:lineRule="exact"/>
        <w:ind w:firstLineChars="200" w:firstLine="640"/>
        <w:rPr>
          <w:rFonts w:ascii="楷体_GB2312" w:eastAsia="楷体_GB2312" w:hint="eastAsia"/>
          <w:sz w:val="32"/>
          <w:szCs w:val="32"/>
        </w:rPr>
      </w:pPr>
      <w:r>
        <w:rPr>
          <w:rFonts w:ascii="楷体_GB2312" w:eastAsia="楷体_GB2312" w:hint="eastAsia"/>
          <w:sz w:val="32"/>
          <w:szCs w:val="32"/>
        </w:rPr>
        <w:t>（十四）缓解民营企业资金困难。</w:t>
      </w:r>
      <w:r>
        <w:rPr>
          <w:rFonts w:ascii="仿宋_GB2312" w:eastAsia="仿宋_GB2312" w:hint="eastAsia"/>
          <w:sz w:val="32"/>
          <w:szCs w:val="32"/>
        </w:rPr>
        <w:t>各级税务机关对生产经营困难、纳税信用良好的民营企业，确因资金困难不能按期缴纳税款的，通过建立绿色通道，主动帮助困难企业依法办理或申请办理延期申报、延期缴纳税款，有效缓解企业资金压力。</w:t>
      </w:r>
    </w:p>
    <w:p w:rsidR="0001126C" w:rsidRDefault="0001126C" w:rsidP="0001126C">
      <w:pPr>
        <w:spacing w:line="560" w:lineRule="exact"/>
        <w:ind w:firstLineChars="200" w:firstLine="640"/>
        <w:rPr>
          <w:rFonts w:ascii="仿宋_GB2312" w:eastAsia="仿宋_GB2312" w:hint="eastAsia"/>
          <w:sz w:val="32"/>
          <w:szCs w:val="32"/>
        </w:rPr>
      </w:pPr>
      <w:r>
        <w:rPr>
          <w:rFonts w:ascii="楷体_GB2312" w:eastAsia="楷体_GB2312" w:hint="eastAsia"/>
          <w:sz w:val="32"/>
          <w:szCs w:val="32"/>
        </w:rPr>
        <w:t>（十五）缓解民营企业融资困难。</w:t>
      </w:r>
      <w:r>
        <w:rPr>
          <w:rFonts w:ascii="仿宋_GB2312" w:eastAsia="仿宋_GB2312" w:hint="eastAsia"/>
          <w:sz w:val="32"/>
          <w:szCs w:val="32"/>
        </w:rPr>
        <w:t>各级税务机关要拓展银税互动“线下+线上”平台，扩大“银税互动”的覆盖面，深化税务、银行信息互通，引入更多的银行业金融机构与纳</w:t>
      </w:r>
      <w:r>
        <w:rPr>
          <w:rFonts w:ascii="仿宋_GB2312" w:eastAsia="仿宋_GB2312" w:hint="eastAsia"/>
          <w:sz w:val="32"/>
          <w:szCs w:val="32"/>
        </w:rPr>
        <w:lastRenderedPageBreak/>
        <w:t>税信用良好的民营企业签订“纳税信用贷”“出口退税货”等新型涉税信贷产品，缓解民营企业融资压力。</w:t>
      </w:r>
    </w:p>
    <w:p w:rsidR="0001126C" w:rsidRDefault="0001126C" w:rsidP="0001126C">
      <w:pPr>
        <w:spacing w:line="560" w:lineRule="exact"/>
        <w:ind w:firstLineChars="200" w:firstLine="640"/>
        <w:rPr>
          <w:rFonts w:ascii="仿宋_GB2312" w:eastAsia="仿宋_GB2312" w:hint="eastAsia"/>
          <w:sz w:val="32"/>
          <w:szCs w:val="32"/>
        </w:rPr>
      </w:pPr>
      <w:r>
        <w:rPr>
          <w:rFonts w:ascii="楷体_GB2312" w:eastAsia="楷体_GB2312" w:hint="eastAsia"/>
          <w:sz w:val="32"/>
          <w:szCs w:val="32"/>
        </w:rPr>
        <w:t>（十六）缓解民营企业用工困难。</w:t>
      </w:r>
      <w:r>
        <w:rPr>
          <w:rFonts w:ascii="仿宋_GB2312" w:eastAsia="仿宋_GB2312" w:hint="eastAsia"/>
          <w:sz w:val="32"/>
          <w:szCs w:val="32"/>
        </w:rPr>
        <w:t>在确保改革</w:t>
      </w:r>
      <w:proofErr w:type="gramStart"/>
      <w:r>
        <w:rPr>
          <w:rFonts w:ascii="仿宋_GB2312" w:eastAsia="仿宋_GB2312" w:hint="eastAsia"/>
          <w:sz w:val="32"/>
          <w:szCs w:val="32"/>
        </w:rPr>
        <w:t>期间社保费征收</w:t>
      </w:r>
      <w:proofErr w:type="gramEnd"/>
      <w:r>
        <w:rPr>
          <w:rFonts w:ascii="仿宋_GB2312" w:eastAsia="仿宋_GB2312" w:hint="eastAsia"/>
          <w:sz w:val="32"/>
          <w:szCs w:val="32"/>
        </w:rPr>
        <w:t>政策稳定、总体上不增加民营企业用工社保负担的基础上，利用税务部门掌握的企业经营及用工信息，配合</w:t>
      </w:r>
      <w:proofErr w:type="gramStart"/>
      <w:r>
        <w:rPr>
          <w:rFonts w:ascii="仿宋_GB2312" w:eastAsia="仿宋_GB2312" w:hint="eastAsia"/>
          <w:sz w:val="32"/>
          <w:szCs w:val="32"/>
        </w:rPr>
        <w:t>人社部门</w:t>
      </w:r>
      <w:proofErr w:type="gramEnd"/>
      <w:r>
        <w:rPr>
          <w:rFonts w:ascii="仿宋_GB2312" w:eastAsia="仿宋_GB2312" w:hint="eastAsia"/>
          <w:sz w:val="32"/>
          <w:szCs w:val="32"/>
        </w:rPr>
        <w:t>为民营企业招工用工提供参谋服务，为解决企业用工</w:t>
      </w:r>
      <w:proofErr w:type="gramStart"/>
      <w:r>
        <w:rPr>
          <w:rFonts w:ascii="仿宋_GB2312" w:eastAsia="仿宋_GB2312" w:hint="eastAsia"/>
          <w:sz w:val="32"/>
          <w:szCs w:val="32"/>
        </w:rPr>
        <w:t>困难助添一臂之力</w:t>
      </w:r>
      <w:proofErr w:type="gramEnd"/>
      <w:r>
        <w:rPr>
          <w:rFonts w:ascii="仿宋_GB2312" w:eastAsia="仿宋_GB2312" w:hint="eastAsia"/>
          <w:sz w:val="32"/>
          <w:szCs w:val="32"/>
        </w:rPr>
        <w:t>。</w:t>
      </w:r>
    </w:p>
    <w:p w:rsidR="0001126C" w:rsidRDefault="0001126C" w:rsidP="0001126C">
      <w:pPr>
        <w:spacing w:line="560" w:lineRule="exact"/>
        <w:ind w:firstLineChars="200" w:firstLine="640"/>
        <w:rPr>
          <w:rFonts w:ascii="仿宋_GB2312" w:eastAsia="仿宋_GB2312" w:hint="eastAsia"/>
          <w:sz w:val="32"/>
          <w:szCs w:val="32"/>
        </w:rPr>
      </w:pPr>
      <w:r>
        <w:rPr>
          <w:rFonts w:ascii="楷体_GB2312" w:eastAsia="楷体_GB2312" w:hint="eastAsia"/>
          <w:sz w:val="32"/>
          <w:szCs w:val="32"/>
        </w:rPr>
        <w:t>（十七）保障民营企业正常经营的发票需求。</w:t>
      </w:r>
      <w:r>
        <w:rPr>
          <w:rFonts w:ascii="仿宋_GB2312" w:eastAsia="仿宋_GB2312" w:hint="eastAsia"/>
          <w:sz w:val="32"/>
          <w:szCs w:val="32"/>
        </w:rPr>
        <w:t>根据民营企业实际经营情况，合理确定增值税发票领用数量和最高开票限额，切实保障民营企业正常生产经营所需发票，严禁在发票领用中对民营企业设置不合理限制。对民营企业增值税异常扣税凭证要依法依规进行认定和处理，除税收法律规定的情形外，不得停供发票。</w:t>
      </w:r>
    </w:p>
    <w:p w:rsidR="00AC7D0E" w:rsidRPr="0001126C" w:rsidRDefault="00AC7D0E"/>
    <w:sectPr w:rsidR="00AC7D0E" w:rsidRPr="000112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26C"/>
    <w:rsid w:val="0001126C"/>
    <w:rsid w:val="00AC7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26C"/>
    <w:pPr>
      <w:overflowPunct w:val="0"/>
      <w:autoSpaceDE w:val="0"/>
      <w:autoSpaceDN w:val="0"/>
      <w:adjustRightInd w:val="0"/>
      <w:jc w:val="both"/>
      <w:textAlignment w:val="baseline"/>
    </w:pPr>
    <w:rPr>
      <w:rFonts w:ascii="Times New Roman" w:eastAsia="宋体"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26C"/>
    <w:pPr>
      <w:overflowPunct w:val="0"/>
      <w:autoSpaceDE w:val="0"/>
      <w:autoSpaceDN w:val="0"/>
      <w:adjustRightInd w:val="0"/>
      <w:jc w:val="both"/>
      <w:textAlignment w:val="baseline"/>
    </w:pPr>
    <w:rPr>
      <w:rFonts w:ascii="Times New Roman" w:eastAsia="宋体"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8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459</Words>
  <Characters>2620</Characters>
  <Application>Microsoft Office Word</Application>
  <DocSecurity>0</DocSecurity>
  <Lines>21</Lines>
  <Paragraphs>6</Paragraphs>
  <ScaleCrop>false</ScaleCrop>
  <Company>Lenovo</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张巍</dc:creator>
  <cp:lastModifiedBy>张巍</cp:lastModifiedBy>
  <cp:revision>1</cp:revision>
  <dcterms:created xsi:type="dcterms:W3CDTF">2019-03-21T07:59:00Z</dcterms:created>
  <dcterms:modified xsi:type="dcterms:W3CDTF">2019-03-21T07:59:00Z</dcterms:modified>
</cp:coreProperties>
</file>