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湖北富斯通新材料科技有限公司海绵、百洁布生产项目环境影响报告书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5F4E06"/>
    <w:rsid w:val="006D2D1A"/>
    <w:rsid w:val="00795B2B"/>
    <w:rsid w:val="009E278A"/>
    <w:rsid w:val="00AF4BE6"/>
    <w:rsid w:val="00D6338F"/>
    <w:rsid w:val="00E240C0"/>
    <w:rsid w:val="00E87C2A"/>
    <w:rsid w:val="00EC1027"/>
    <w:rsid w:val="3C3C4EAE"/>
    <w:rsid w:val="44EB321A"/>
    <w:rsid w:val="612B286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76</Words>
  <Characters>439</Characters>
  <Lines>3</Lines>
  <Paragraphs>1</Paragraphs>
  <TotalTime>0</TotalTime>
  <ScaleCrop>false</ScaleCrop>
  <LinksUpToDate>false</LinksUpToDate>
  <CharactersWithSpaces>514</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温瞳Memory1398587842</cp:lastModifiedBy>
  <dcterms:modified xsi:type="dcterms:W3CDTF">2019-08-13T06:38:08Z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