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宜昌市国资委：</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2020年租用社会车辆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宜昌</w:t>
      </w:r>
      <w:r>
        <w:rPr>
          <w:rFonts w:hint="default" w:ascii="Times New Roman" w:hAnsi="Times New Roman" w:eastAsia="仿宋_GB2312" w:cs="Times New Roman"/>
          <w:bCs/>
          <w:sz w:val="32"/>
          <w:szCs w:val="32"/>
        </w:rPr>
        <w:t>市国资委按照《政府采购法》关于提供虚假材料的规定给予处罚。</w:t>
      </w: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bookmarkStart w:id="0" w:name="_GoBack"/>
      <w:bookmarkEnd w:id="0"/>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4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2019-12-23T07:03:51Z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