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宜昌市林业和园林局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白洋白鹭保护小区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消防供水及防火三期（城郊部分）项目配套供水设备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采购项目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询价响应文件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供应商名称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（盖章）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报价一览表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tbl>
      <w:tblPr>
        <w:tblStyle w:val="4"/>
        <w:tblW w:w="8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716"/>
        <w:gridCol w:w="3046"/>
        <w:gridCol w:w="719"/>
        <w:gridCol w:w="617"/>
        <w:gridCol w:w="17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规格及要求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三相，扬程150米，不锈钢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自吸泵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单相，自吸10米，扬程30米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地埋、铜芯，4000瓦，3相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电控箱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不锈钢，80*60*25公分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单向止水阀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全铜，2寸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国标，径32毫米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PE管接头、开关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蓄水箱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304不锈钢,3吨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蓄水箱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304不锈钢,10吨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室外水龙头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柱式不锈钢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户外水盆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天然石材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遥控开关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三相，遥控距离3000米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总价（大写）：                         小写：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报价包括：  1、含税开票    2、包调试安装     3、包后期3年维护。</w:t>
            </w:r>
          </w:p>
        </w:tc>
      </w:tr>
    </w:tbl>
    <w:p/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供应商名称（盖章）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法定代表人或委托人（签字或盖章）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年      月     日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营业执照复印件（盖章）</w:t>
      </w:r>
    </w:p>
    <w:p>
      <w:pP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58420</wp:posOffset>
            </wp:positionV>
            <wp:extent cx="6294120" cy="8903335"/>
            <wp:effectExtent l="0" t="0" r="11430" b="1206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8903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承诺书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承诺书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致宜昌市林业和园林局：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54" w:firstLineChars="198"/>
        <w:jc w:val="lef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我单位如果中标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宜昌市林业和园林局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白洋白鹭保护小区消防供水及防火三期（城郊部分）项目配套供水设备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采购项目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将保证做到：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1.保证提供的设备是全新的、符合国家相关技术标准或行业标准、国内相关部门手续完备、具有制造商质量保证书（或合格证明）的设备；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2.所提供的设备符合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询价文件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的技术要求；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所有设备提供三年保修</w:t>
      </w: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4.保证每件设备和器材配件齐全、包装完整、完好未拆封；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5.保证严格按照国家相关规范进行安装和调试，并保证所有投标产品质量符合国家相关法律、法规和规定的要求。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供应商名称（盖章）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法定代表人或委托人（签字或盖章）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   年      月     日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419"/>
    <w:multiLevelType w:val="singleLevel"/>
    <w:tmpl w:val="035C04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10824"/>
    <w:rsid w:val="06A35357"/>
    <w:rsid w:val="29A10824"/>
    <w:rsid w:val="34C554F3"/>
    <w:rsid w:val="7F9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400" w:lineRule="exact"/>
      <w:jc w:val="center"/>
      <w:outlineLvl w:val="0"/>
    </w:pPr>
    <w:rPr>
      <w:rFonts w:ascii="Arial" w:hAnsi="Arial" w:eastAsia="方正小标宋_GBK" w:cs="Times New Roman"/>
      <w:b w:val="0"/>
      <w:kern w:val="44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11111111111"/>
    <w:basedOn w:val="1"/>
    <w:uiPriority w:val="0"/>
    <w:pPr>
      <w:spacing w:line="400" w:lineRule="exact"/>
      <w:jc w:val="center"/>
      <w:outlineLvl w:val="0"/>
    </w:pPr>
    <w:rPr>
      <w:rFonts w:hint="eastAsia" w:ascii="方正小标宋_GBK" w:hAnsi="方正小标宋_GBK" w:eastAsia="方正小标宋_GBK" w:cs="方正小标宋_GBK"/>
      <w:sz w:val="28"/>
      <w:szCs w:val="28"/>
    </w:rPr>
  </w:style>
  <w:style w:type="paragraph" w:customStyle="1" w:styleId="7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2020-06-03T06:37:00Z</dcterms:created>
  <dc:creator>邹远涛</dc:creator>
  <cp:lastModifiedBy>邹远涛</cp:lastModifiedBy>
  <cp:lastPrinted>2020-06-03T07:05:38Z</cp:lastPrinted>
  <dcterms:modified xsi:type="dcterms:W3CDTF">2020-06-03T07:05:55Z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