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pStyle w:val="2"/>
      </w:pPr>
    </w:p>
    <w:p>
      <w:pPr>
        <w:pStyle w:val="2"/>
      </w:pPr>
    </w:p>
    <w:p>
      <w:pPr>
        <w:spacing w:line="360" w:lineRule="auto"/>
        <w:ind w:right="934" w:rightChars="445"/>
        <w:jc w:val="center"/>
        <w:rPr>
          <w:rFonts w:ascii="宋体" w:hAnsi="宋体"/>
          <w:b/>
          <w:kern w:val="10"/>
          <w:sz w:val="30"/>
          <w:szCs w:val="30"/>
        </w:rPr>
      </w:pPr>
      <w:r>
        <w:rPr>
          <w:rFonts w:hint="eastAsia" w:ascii="宋体" w:hAnsi="宋体"/>
          <w:b/>
          <w:kern w:val="10"/>
          <w:sz w:val="30"/>
          <w:szCs w:val="30"/>
        </w:rPr>
        <w:t xml:space="preserve"> </w:t>
      </w:r>
      <w:r>
        <w:rPr>
          <w:rFonts w:ascii="宋体" w:hAnsi="宋体"/>
          <w:b/>
          <w:kern w:val="10"/>
          <w:sz w:val="30"/>
          <w:szCs w:val="30"/>
        </w:rPr>
        <w:t xml:space="preserve">    </w:t>
      </w:r>
      <w:r>
        <w:rPr>
          <w:rFonts w:hint="eastAsia" w:ascii="宋体" w:hAnsi="宋体"/>
          <w:b/>
          <w:kern w:val="10"/>
          <w:sz w:val="30"/>
          <w:szCs w:val="30"/>
        </w:rPr>
        <w:t>宜昌市城市管理执法监督平台监理项目</w:t>
      </w:r>
    </w:p>
    <w:p>
      <w:pPr>
        <w:spacing w:line="360" w:lineRule="auto"/>
        <w:jc w:val="center"/>
        <w:rPr>
          <w:rFonts w:ascii="黑体" w:eastAsia="黑体"/>
          <w:b/>
          <w:bCs/>
          <w:sz w:val="84"/>
          <w:szCs w:val="84"/>
        </w:rPr>
      </w:pPr>
      <w:r>
        <w:rPr>
          <w:rFonts w:hint="eastAsia" w:ascii="黑体" w:eastAsia="黑体"/>
          <w:b/>
          <w:bCs/>
          <w:sz w:val="84"/>
          <w:szCs w:val="84"/>
        </w:rPr>
        <w:t>采 购 文 件</w:t>
      </w:r>
    </w:p>
    <w:p>
      <w:pPr>
        <w:spacing w:line="360" w:lineRule="auto"/>
        <w:jc w:val="center"/>
        <w:rPr>
          <w:rFonts w:ascii="宋体" w:hAnsi="宋体"/>
          <w:b/>
          <w:sz w:val="36"/>
          <w:szCs w:val="36"/>
        </w:rPr>
      </w:pPr>
      <w:r>
        <w:rPr>
          <w:rFonts w:hint="eastAsia" w:ascii="黑体" w:eastAsia="黑体"/>
          <w:b/>
          <w:bCs/>
          <w:sz w:val="36"/>
          <w:szCs w:val="36"/>
        </w:rPr>
        <w:t>（竞争性谈判）</w:t>
      </w:r>
    </w:p>
    <w:p>
      <w:pPr>
        <w:spacing w:line="480" w:lineRule="auto"/>
        <w:ind w:firstLine="790" w:firstLineChars="246"/>
        <w:rPr>
          <w:rFonts w:ascii="宋体" w:hAnsi="宋体"/>
          <w:b/>
          <w:sz w:val="32"/>
          <w:szCs w:val="32"/>
        </w:rPr>
      </w:pPr>
    </w:p>
    <w:p>
      <w:pPr>
        <w:spacing w:line="480" w:lineRule="auto"/>
        <w:ind w:firstLine="790" w:firstLineChars="246"/>
        <w:rPr>
          <w:rFonts w:ascii="宋体" w:hAnsi="宋体"/>
          <w:b/>
          <w:sz w:val="32"/>
          <w:szCs w:val="32"/>
        </w:rPr>
      </w:pPr>
    </w:p>
    <w:p>
      <w:pPr>
        <w:spacing w:line="960" w:lineRule="auto"/>
        <w:ind w:firstLine="948" w:firstLineChars="295"/>
        <w:rPr>
          <w:rFonts w:ascii="宋体" w:hAnsi="宋体"/>
          <w:b/>
          <w:sz w:val="32"/>
          <w:szCs w:val="32"/>
        </w:rPr>
      </w:pPr>
      <w:r>
        <w:rPr>
          <w:rFonts w:hint="eastAsia" w:ascii="宋体" w:hAnsi="宋体"/>
          <w:b/>
          <w:kern w:val="10"/>
          <w:sz w:val="32"/>
          <w:szCs w:val="32"/>
        </w:rPr>
        <w:t>招 标 编 号：</w:t>
      </w:r>
      <w:r>
        <w:rPr>
          <w:rFonts w:ascii="宋体" w:hAnsi="宋体"/>
          <w:b/>
          <w:sz w:val="32"/>
          <w:szCs w:val="32"/>
        </w:rPr>
        <w:t>XXX</w:t>
      </w:r>
    </w:p>
    <w:p>
      <w:pPr>
        <w:ind w:left="-2" w:leftChars="-270" w:hanging="565" w:hangingChars="176"/>
        <w:jc w:val="center"/>
        <w:rPr>
          <w:rFonts w:ascii="宋体" w:hAnsi="宋体"/>
          <w:b/>
          <w:sz w:val="30"/>
          <w:szCs w:val="30"/>
        </w:rPr>
      </w:pPr>
      <w:r>
        <w:rPr>
          <w:rFonts w:hint="eastAsia" w:ascii="宋体" w:hAnsi="宋体"/>
          <w:b/>
          <w:sz w:val="32"/>
          <w:szCs w:val="32"/>
        </w:rPr>
        <w:t>采  购  人：</w:t>
      </w:r>
      <w:bookmarkStart w:id="0" w:name="_Hlk40952723"/>
      <w:r>
        <w:rPr>
          <w:rFonts w:hint="eastAsia" w:ascii="宋体" w:hAnsi="宋体"/>
          <w:b/>
          <w:sz w:val="30"/>
          <w:szCs w:val="30"/>
        </w:rPr>
        <w:t>宜昌市城市管理执法支队</w:t>
      </w:r>
    </w:p>
    <w:bookmarkEnd w:id="0"/>
    <w:p>
      <w:pPr>
        <w:spacing w:line="960" w:lineRule="auto"/>
        <w:ind w:firstLine="948" w:firstLineChars="295"/>
        <w:rPr>
          <w:rFonts w:ascii="宋体" w:hAnsi="宋体"/>
          <w:b/>
          <w:sz w:val="32"/>
          <w:szCs w:val="32"/>
        </w:rPr>
      </w:pPr>
    </w:p>
    <w:p>
      <w:pPr>
        <w:spacing w:line="960" w:lineRule="auto"/>
        <w:ind w:firstLine="948" w:firstLineChars="295"/>
        <w:rPr>
          <w:rFonts w:ascii="宋体" w:hAnsi="宋体"/>
          <w:b/>
          <w:sz w:val="32"/>
          <w:szCs w:val="32"/>
        </w:rPr>
      </w:pPr>
    </w:p>
    <w:p>
      <w:pPr>
        <w:spacing w:line="300" w:lineRule="auto"/>
        <w:jc w:val="center"/>
        <w:rPr>
          <w:b/>
          <w:sz w:val="32"/>
          <w:szCs w:val="32"/>
        </w:rPr>
      </w:pPr>
      <w:r>
        <w:rPr>
          <w:rFonts w:hint="eastAsia"/>
          <w:b/>
          <w:sz w:val="32"/>
          <w:szCs w:val="32"/>
        </w:rPr>
        <w:t>二○二○年八月</w:t>
      </w:r>
    </w:p>
    <w:p>
      <w:pPr>
        <w:pStyle w:val="2"/>
      </w:pPr>
    </w:p>
    <w:p>
      <w:pPr>
        <w:pStyle w:val="2"/>
      </w:pPr>
    </w:p>
    <w:p>
      <w:pPr>
        <w:pStyle w:val="2"/>
      </w:pPr>
    </w:p>
    <w:p>
      <w:pPr>
        <w:pStyle w:val="2"/>
      </w:pPr>
    </w:p>
    <w:p>
      <w:pPr>
        <w:pStyle w:val="2"/>
      </w:pPr>
    </w:p>
    <w:p>
      <w:pPr>
        <w:pStyle w:val="2"/>
      </w:pPr>
    </w:p>
    <w:p>
      <w:pPr>
        <w:pStyle w:val="2"/>
      </w:pPr>
    </w:p>
    <w:p>
      <w:pPr>
        <w:pStyle w:val="2"/>
      </w:pPr>
    </w:p>
    <w:p>
      <w:pPr>
        <w:pStyle w:val="22"/>
        <w:spacing w:line="440" w:lineRule="exact"/>
        <w:jc w:val="center"/>
        <w:rPr>
          <w:rFonts w:hAnsi="宋体" w:eastAsia="宋体"/>
          <w:b/>
          <w:snapToGrid/>
          <w:color w:val="auto"/>
          <w:sz w:val="44"/>
          <w:szCs w:val="44"/>
        </w:rPr>
      </w:pPr>
      <w:r>
        <w:rPr>
          <w:rFonts w:hint="eastAsia" w:hAnsi="宋体" w:eastAsia="宋体"/>
          <w:b/>
          <w:snapToGrid/>
          <w:color w:val="auto"/>
          <w:sz w:val="44"/>
          <w:szCs w:val="44"/>
        </w:rPr>
        <w:t>目  录</w:t>
      </w:r>
    </w:p>
    <w:p>
      <w:pPr>
        <w:pStyle w:val="34"/>
        <w:rPr>
          <w:rFonts w:asciiTheme="minorHAnsi" w:hAnsiTheme="minorHAnsi" w:eastAsiaTheme="minorEastAsia" w:cstheme="minorBidi"/>
          <w:szCs w:val="22"/>
        </w:rPr>
      </w:pPr>
      <w:r>
        <w:rPr>
          <w:rFonts w:ascii="宋体" w:hAnsi="宋体"/>
          <w:sz w:val="24"/>
        </w:rPr>
        <w:fldChar w:fldCharType="begin"/>
      </w:r>
      <w:r>
        <w:rPr>
          <w:rFonts w:ascii="宋体" w:hAnsi="宋体"/>
          <w:sz w:val="24"/>
        </w:rPr>
        <w:instrText xml:space="preserve"> TOC \o "1-4" \h \z \u </w:instrText>
      </w:r>
      <w:r>
        <w:rPr>
          <w:rFonts w:ascii="宋体" w:hAnsi="宋体"/>
          <w:sz w:val="24"/>
        </w:rPr>
        <w:fldChar w:fldCharType="separate"/>
      </w:r>
      <w:r>
        <w:fldChar w:fldCharType="begin"/>
      </w:r>
      <w:r>
        <w:instrText xml:space="preserve"> HYPERLINK \l "_Toc40954349" </w:instrText>
      </w:r>
      <w:r>
        <w:fldChar w:fldCharType="separate"/>
      </w:r>
      <w:r>
        <w:rPr>
          <w:rStyle w:val="48"/>
          <w:rFonts w:ascii="宋体" w:hAnsi="宋体"/>
        </w:rPr>
        <w:t>第一章</w:t>
      </w:r>
      <w:r>
        <w:rPr>
          <w:rFonts w:asciiTheme="minorHAnsi" w:hAnsiTheme="minorHAnsi" w:eastAsiaTheme="minorEastAsia" w:cstheme="minorBidi"/>
          <w:szCs w:val="22"/>
        </w:rPr>
        <w:tab/>
      </w:r>
      <w:r>
        <w:rPr>
          <w:rStyle w:val="48"/>
          <w:rFonts w:ascii="宋体" w:hAnsi="宋体"/>
        </w:rPr>
        <w:t>谈判邀请书</w:t>
      </w:r>
      <w:r>
        <w:tab/>
      </w:r>
      <w:r>
        <w:fldChar w:fldCharType="begin"/>
      </w:r>
      <w:r>
        <w:instrText xml:space="preserve"> PAGEREF _Toc40954349 \h </w:instrText>
      </w:r>
      <w:r>
        <w:fldChar w:fldCharType="separate"/>
      </w:r>
      <w:r>
        <w:t>1</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"_Toc40954350" </w:instrText>
      </w:r>
      <w:r>
        <w:fldChar w:fldCharType="separate"/>
      </w:r>
      <w:r>
        <w:rPr>
          <w:rStyle w:val="48"/>
          <w:rFonts w:ascii="宋体" w:hAnsi="宋体"/>
        </w:rPr>
        <w:t>一、</w:t>
      </w:r>
      <w:r>
        <w:rPr>
          <w:rFonts w:asciiTheme="minorHAnsi" w:hAnsiTheme="minorHAnsi" w:eastAsiaTheme="minorEastAsia" w:cstheme="minorBidi"/>
          <w:szCs w:val="22"/>
        </w:rPr>
        <w:tab/>
      </w:r>
      <w:r>
        <w:rPr>
          <w:rStyle w:val="48"/>
          <w:rFonts w:ascii="宋体" w:hAnsi="宋体"/>
        </w:rPr>
        <w:t>项目概况</w:t>
      </w:r>
      <w:r>
        <w:tab/>
      </w:r>
      <w:r>
        <w:fldChar w:fldCharType="begin"/>
      </w:r>
      <w:r>
        <w:instrText xml:space="preserve"> PAGEREF _Toc40954350 \h </w:instrText>
      </w:r>
      <w:r>
        <w:fldChar w:fldCharType="separate"/>
      </w:r>
      <w:r>
        <w:t>1</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"_Toc40954351" </w:instrText>
      </w:r>
      <w:r>
        <w:fldChar w:fldCharType="separate"/>
      </w:r>
      <w:r>
        <w:rPr>
          <w:rStyle w:val="48"/>
          <w:rFonts w:ascii="宋体" w:hAnsi="宋体"/>
        </w:rPr>
        <w:t>二、</w:t>
      </w:r>
      <w:r>
        <w:rPr>
          <w:rFonts w:asciiTheme="minorHAnsi" w:hAnsiTheme="minorHAnsi" w:eastAsiaTheme="minorEastAsia" w:cstheme="minorBidi"/>
          <w:szCs w:val="22"/>
        </w:rPr>
        <w:tab/>
      </w:r>
      <w:r>
        <w:rPr>
          <w:rStyle w:val="48"/>
          <w:rFonts w:ascii="宋体" w:hAnsi="宋体"/>
        </w:rPr>
        <w:t>投标人资格要求</w:t>
      </w:r>
      <w:r>
        <w:tab/>
      </w:r>
      <w:r>
        <w:fldChar w:fldCharType="begin"/>
      </w:r>
      <w:r>
        <w:instrText xml:space="preserve"> PAGEREF _Toc40954351 \h </w:instrText>
      </w:r>
      <w:r>
        <w:fldChar w:fldCharType="separate"/>
      </w:r>
      <w:r>
        <w:t>1</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"_Toc40954352" </w:instrText>
      </w:r>
      <w:r>
        <w:fldChar w:fldCharType="separate"/>
      </w:r>
      <w:r>
        <w:rPr>
          <w:rStyle w:val="48"/>
          <w:rFonts w:ascii="宋体" w:hAnsi="宋体"/>
        </w:rPr>
        <w:t>三、</w:t>
      </w:r>
      <w:r>
        <w:rPr>
          <w:rFonts w:asciiTheme="minorHAnsi" w:hAnsiTheme="minorHAnsi" w:eastAsiaTheme="minorEastAsia" w:cstheme="minorBidi"/>
          <w:szCs w:val="22"/>
        </w:rPr>
        <w:tab/>
      </w:r>
      <w:r>
        <w:rPr>
          <w:rStyle w:val="48"/>
          <w:rFonts w:ascii="宋体" w:hAnsi="宋体"/>
        </w:rPr>
        <w:t>竞争性谈判文件获取</w:t>
      </w:r>
      <w:r>
        <w:tab/>
      </w:r>
      <w:r>
        <w:fldChar w:fldCharType="begin"/>
      </w:r>
      <w:r>
        <w:instrText xml:space="preserve"> PAGEREF _Toc40954352 \h </w:instrText>
      </w:r>
      <w:r>
        <w:fldChar w:fldCharType="separate"/>
      </w:r>
      <w:r>
        <w:t>1</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"_Toc40954353" </w:instrText>
      </w:r>
      <w:r>
        <w:fldChar w:fldCharType="separate"/>
      </w:r>
      <w:r>
        <w:rPr>
          <w:rStyle w:val="48"/>
          <w:rFonts w:ascii="宋体" w:hAnsi="宋体"/>
        </w:rPr>
        <w:t>四、</w:t>
      </w:r>
      <w:r>
        <w:rPr>
          <w:rFonts w:asciiTheme="minorHAnsi" w:hAnsiTheme="minorHAnsi" w:eastAsiaTheme="minorEastAsia" w:cstheme="minorBidi"/>
          <w:szCs w:val="22"/>
        </w:rPr>
        <w:tab/>
      </w:r>
      <w:r>
        <w:rPr>
          <w:rStyle w:val="48"/>
          <w:rFonts w:ascii="宋体" w:hAnsi="宋体"/>
        </w:rPr>
        <w:t>投标文件递交</w:t>
      </w:r>
      <w:r>
        <w:tab/>
      </w:r>
      <w:r>
        <w:fldChar w:fldCharType="begin"/>
      </w:r>
      <w:r>
        <w:instrText xml:space="preserve"> PAGEREF _Toc40954353 \h </w:instrText>
      </w:r>
      <w:r>
        <w:fldChar w:fldCharType="separate"/>
      </w:r>
      <w:r>
        <w:t>2</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"_Toc40954354" </w:instrText>
      </w:r>
      <w:r>
        <w:fldChar w:fldCharType="separate"/>
      </w:r>
      <w:r>
        <w:rPr>
          <w:rStyle w:val="48"/>
          <w:rFonts w:ascii="宋体" w:hAnsi="宋体"/>
        </w:rPr>
        <w:t>五、</w:t>
      </w:r>
      <w:r>
        <w:rPr>
          <w:rFonts w:asciiTheme="minorHAnsi" w:hAnsiTheme="minorHAnsi" w:eastAsiaTheme="minorEastAsia" w:cstheme="minorBidi"/>
          <w:szCs w:val="22"/>
        </w:rPr>
        <w:tab/>
      </w:r>
      <w:r>
        <w:rPr>
          <w:rStyle w:val="48"/>
          <w:rFonts w:ascii="宋体" w:hAnsi="宋体"/>
        </w:rPr>
        <w:t>谈判开始时间及地点</w:t>
      </w:r>
      <w:r>
        <w:tab/>
      </w:r>
      <w:r>
        <w:fldChar w:fldCharType="begin"/>
      </w:r>
      <w:r>
        <w:instrText xml:space="preserve"> PAGEREF _Toc40954354 \h </w:instrText>
      </w:r>
      <w:r>
        <w:fldChar w:fldCharType="separate"/>
      </w:r>
      <w:r>
        <w:t>2</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"_Toc40954355" </w:instrText>
      </w:r>
      <w:r>
        <w:fldChar w:fldCharType="separate"/>
      </w:r>
      <w:r>
        <w:rPr>
          <w:rStyle w:val="48"/>
          <w:rFonts w:ascii="宋体" w:hAnsi="宋体"/>
        </w:rPr>
        <w:t>六、</w:t>
      </w:r>
      <w:r>
        <w:rPr>
          <w:rFonts w:asciiTheme="minorHAnsi" w:hAnsiTheme="minorHAnsi" w:eastAsiaTheme="minorEastAsia" w:cstheme="minorBidi"/>
          <w:szCs w:val="22"/>
        </w:rPr>
        <w:tab/>
      </w:r>
      <w:r>
        <w:rPr>
          <w:rStyle w:val="48"/>
          <w:rFonts w:ascii="宋体" w:hAnsi="宋体"/>
        </w:rPr>
        <w:t>采购人联系方式</w:t>
      </w:r>
      <w:r>
        <w:tab/>
      </w:r>
      <w:r>
        <w:fldChar w:fldCharType="begin"/>
      </w:r>
      <w:r>
        <w:instrText xml:space="preserve"> PAGEREF _Toc40954355 \h </w:instrText>
      </w:r>
      <w:r>
        <w:fldChar w:fldCharType="separate"/>
      </w:r>
      <w:r>
        <w:t>2</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"_Toc40954356" </w:instrText>
      </w:r>
      <w:r>
        <w:fldChar w:fldCharType="separate"/>
      </w:r>
      <w:r>
        <w:rPr>
          <w:rStyle w:val="48"/>
          <w:rFonts w:ascii="宋体" w:hAnsi="宋体"/>
        </w:rPr>
        <w:t>第二章</w:t>
      </w:r>
      <w:r>
        <w:rPr>
          <w:rFonts w:asciiTheme="minorHAnsi" w:hAnsiTheme="minorHAnsi" w:eastAsiaTheme="minorEastAsia" w:cstheme="minorBidi"/>
          <w:szCs w:val="22"/>
        </w:rPr>
        <w:tab/>
      </w:r>
      <w:r>
        <w:rPr>
          <w:rStyle w:val="48"/>
          <w:rFonts w:ascii="宋体" w:hAnsi="宋体"/>
        </w:rPr>
        <w:t>竞标人须知前附表</w:t>
      </w:r>
      <w:r>
        <w:tab/>
      </w:r>
      <w:r>
        <w:fldChar w:fldCharType="begin"/>
      </w:r>
      <w:r>
        <w:instrText xml:space="preserve"> PAGEREF _Toc40954356 \h </w:instrText>
      </w:r>
      <w:r>
        <w:fldChar w:fldCharType="separate"/>
      </w:r>
      <w:r>
        <w:t>3</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"_Toc40954357" </w:instrText>
      </w:r>
      <w:r>
        <w:fldChar w:fldCharType="separate"/>
      </w:r>
      <w:r>
        <w:rPr>
          <w:rStyle w:val="48"/>
        </w:rPr>
        <w:t>第三章</w:t>
      </w:r>
      <w:r>
        <w:rPr>
          <w:rFonts w:asciiTheme="minorHAnsi" w:hAnsiTheme="minorHAnsi" w:eastAsiaTheme="minorEastAsia" w:cstheme="minorBidi"/>
          <w:szCs w:val="22"/>
        </w:rPr>
        <w:tab/>
      </w:r>
      <w:r>
        <w:rPr>
          <w:rStyle w:val="48"/>
          <w:rFonts w:ascii="宋体" w:hAnsi="宋体"/>
        </w:rPr>
        <w:t>竞标人须知</w:t>
      </w:r>
      <w:r>
        <w:tab/>
      </w:r>
      <w:r>
        <w:fldChar w:fldCharType="begin"/>
      </w:r>
      <w:r>
        <w:instrText xml:space="preserve"> PAGEREF _Toc40954357 \h </w:instrText>
      </w:r>
      <w:r>
        <w:fldChar w:fldCharType="separate"/>
      </w:r>
      <w:r>
        <w:t>4</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"_Toc40954358" </w:instrText>
      </w:r>
      <w:r>
        <w:fldChar w:fldCharType="separate"/>
      </w:r>
      <w:r>
        <w:rPr>
          <w:rStyle w:val="48"/>
          <w:rFonts w:ascii="宋体" w:hAnsi="宋体"/>
        </w:rPr>
        <w:t>第四章</w:t>
      </w:r>
      <w:r>
        <w:rPr>
          <w:rFonts w:asciiTheme="minorHAnsi" w:hAnsiTheme="minorHAnsi" w:eastAsiaTheme="minorEastAsia" w:cstheme="minorBidi"/>
          <w:szCs w:val="22"/>
        </w:rPr>
        <w:tab/>
      </w:r>
      <w:r>
        <w:rPr>
          <w:rStyle w:val="48"/>
          <w:rFonts w:ascii="宋体" w:hAnsi="宋体"/>
        </w:rPr>
        <w:t>技术及商务要求</w:t>
      </w:r>
      <w:r>
        <w:tab/>
      </w:r>
      <w:r>
        <w:fldChar w:fldCharType="begin"/>
      </w:r>
      <w:r>
        <w:instrText xml:space="preserve"> PAGEREF _Toc40954358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"_Toc40954359" </w:instrText>
      </w:r>
      <w:r>
        <w:fldChar w:fldCharType="separate"/>
      </w:r>
      <w:r>
        <w:rPr>
          <w:rStyle w:val="48"/>
          <w:rFonts w:ascii="宋体" w:hAnsi="宋体"/>
          <w:kern w:val="44"/>
        </w:rPr>
        <w:t>1.1项目概述</w:t>
      </w:r>
      <w:r>
        <w:tab/>
      </w:r>
      <w:r>
        <w:fldChar w:fldCharType="begin"/>
      </w:r>
      <w:r>
        <w:instrText xml:space="preserve"> PAGEREF _Toc40954359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"_Toc40954360" </w:instrText>
      </w:r>
      <w:r>
        <w:fldChar w:fldCharType="separate"/>
      </w:r>
      <w:r>
        <w:rPr>
          <w:rStyle w:val="48"/>
          <w:rFonts w:ascii="宋体" w:hAnsi="宋体"/>
          <w:kern w:val="44"/>
        </w:rPr>
        <w:t>1.2监理机构及工作条件</w:t>
      </w:r>
      <w:r>
        <w:tab/>
      </w:r>
      <w:r>
        <w:fldChar w:fldCharType="begin"/>
      </w:r>
      <w:r>
        <w:instrText xml:space="preserve"> PAGEREF _Toc40954360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"_Toc40954361" </w:instrText>
      </w:r>
      <w:r>
        <w:fldChar w:fldCharType="separate"/>
      </w:r>
      <w:r>
        <w:rPr>
          <w:rStyle w:val="48"/>
          <w:rFonts w:ascii="宋体" w:hAnsi="宋体"/>
          <w:kern w:val="44"/>
        </w:rPr>
        <w:t>1.3监理范围</w:t>
      </w:r>
      <w:r>
        <w:tab/>
      </w:r>
      <w:r>
        <w:fldChar w:fldCharType="begin"/>
      </w:r>
      <w:r>
        <w:instrText xml:space="preserve"> PAGEREF _Toc40954361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"_Toc40954362" </w:instrText>
      </w:r>
      <w:r>
        <w:fldChar w:fldCharType="separate"/>
      </w:r>
      <w:r>
        <w:rPr>
          <w:rStyle w:val="48"/>
          <w:rFonts w:ascii="宋体" w:hAnsi="宋体"/>
          <w:kern w:val="44"/>
        </w:rPr>
        <w:t>1.4监理工作内容</w:t>
      </w:r>
      <w:r>
        <w:tab/>
      </w:r>
      <w:r>
        <w:fldChar w:fldCharType="begin"/>
      </w:r>
      <w:r>
        <w:instrText xml:space="preserve"> PAGEREF _Toc40954362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"_Toc40954363" </w:instrText>
      </w:r>
      <w:r>
        <w:fldChar w:fldCharType="separate"/>
      </w:r>
      <w:r>
        <w:rPr>
          <w:rStyle w:val="48"/>
          <w:rFonts w:ascii="宋体" w:hAnsi="宋体"/>
          <w:kern w:val="44"/>
        </w:rPr>
        <w:t>1.5监理工作质量要求</w:t>
      </w:r>
      <w:r>
        <w:tab/>
      </w:r>
      <w:r>
        <w:fldChar w:fldCharType="begin"/>
      </w:r>
      <w:r>
        <w:instrText xml:space="preserve"> PAGEREF _Toc40954363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"_Toc40954364" </w:instrText>
      </w:r>
      <w:r>
        <w:fldChar w:fldCharType="separate"/>
      </w:r>
      <w:r>
        <w:rPr>
          <w:rStyle w:val="48"/>
          <w:rFonts w:ascii="宋体" w:hAnsi="宋体"/>
          <w:kern w:val="44"/>
        </w:rPr>
        <w:t>1.6监理工作期限</w:t>
      </w:r>
      <w:r>
        <w:tab/>
      </w:r>
      <w:r>
        <w:fldChar w:fldCharType="begin"/>
      </w:r>
      <w:r>
        <w:instrText xml:space="preserve"> PAGEREF _Toc40954364 \h </w:instrText>
      </w:r>
      <w:r>
        <w:fldChar w:fldCharType="separate"/>
      </w:r>
      <w:r>
        <w:t>11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"_Toc40954365" </w:instrText>
      </w:r>
      <w:r>
        <w:fldChar w:fldCharType="separate"/>
      </w:r>
      <w:r>
        <w:rPr>
          <w:rStyle w:val="48"/>
          <w:rFonts w:ascii="宋体" w:hAnsi="宋体"/>
          <w:kern w:val="44"/>
        </w:rPr>
        <w:t>1.7监理的责任</w:t>
      </w:r>
      <w:r>
        <w:tab/>
      </w:r>
      <w:r>
        <w:fldChar w:fldCharType="begin"/>
      </w:r>
      <w:r>
        <w:instrText xml:space="preserve"> PAGEREF _Toc40954365 \h </w:instrText>
      </w:r>
      <w:r>
        <w:fldChar w:fldCharType="separate"/>
      </w:r>
      <w:r>
        <w:t>11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"_Toc40954366" </w:instrText>
      </w:r>
      <w:r>
        <w:fldChar w:fldCharType="separate"/>
      </w:r>
      <w:r>
        <w:rPr>
          <w:rStyle w:val="48"/>
          <w:rFonts w:ascii="宋体" w:hAnsi="宋体"/>
          <w:kern w:val="44"/>
        </w:rPr>
        <w:t>1.8保密要求</w:t>
      </w:r>
      <w:r>
        <w:tab/>
      </w:r>
      <w:r>
        <w:fldChar w:fldCharType="begin"/>
      </w:r>
      <w:r>
        <w:instrText xml:space="preserve"> PAGEREF _Toc40954366 \h </w:instrText>
      </w:r>
      <w:r>
        <w:fldChar w:fldCharType="separate"/>
      </w:r>
      <w:r>
        <w:t>11</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"_Toc40954367" </w:instrText>
      </w:r>
      <w:r>
        <w:fldChar w:fldCharType="separate"/>
      </w:r>
      <w:r>
        <w:rPr>
          <w:rStyle w:val="48"/>
          <w:rFonts w:ascii="宋体" w:hAnsi="宋体"/>
        </w:rPr>
        <w:t>第五章</w:t>
      </w:r>
      <w:r>
        <w:rPr>
          <w:rFonts w:asciiTheme="minorHAnsi" w:hAnsiTheme="minorHAnsi" w:eastAsiaTheme="minorEastAsia" w:cstheme="minorBidi"/>
          <w:szCs w:val="22"/>
        </w:rPr>
        <w:tab/>
      </w:r>
      <w:r>
        <w:rPr>
          <w:rStyle w:val="48"/>
          <w:rFonts w:ascii="宋体" w:hAnsi="宋体"/>
        </w:rPr>
        <w:t>谈判程序及方法</w:t>
      </w:r>
      <w:r>
        <w:tab/>
      </w:r>
      <w:r>
        <w:fldChar w:fldCharType="begin"/>
      </w:r>
      <w:r>
        <w:instrText xml:space="preserve"> PAGEREF _Toc40954367 \h </w:instrText>
      </w:r>
      <w:r>
        <w:fldChar w:fldCharType="separate"/>
      </w:r>
      <w:r>
        <w:t>12</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"_Toc40954368" </w:instrText>
      </w:r>
      <w:r>
        <w:fldChar w:fldCharType="separate"/>
      </w:r>
      <w:r>
        <w:rPr>
          <w:rStyle w:val="48"/>
          <w:rFonts w:ascii="宋体" w:hAnsi="宋体"/>
        </w:rPr>
        <w:t>第六章</w:t>
      </w:r>
      <w:r>
        <w:rPr>
          <w:rFonts w:asciiTheme="minorHAnsi" w:hAnsiTheme="minorHAnsi" w:eastAsiaTheme="minorEastAsia" w:cstheme="minorBidi"/>
          <w:szCs w:val="22"/>
        </w:rPr>
        <w:tab/>
      </w:r>
      <w:r>
        <w:rPr>
          <w:rStyle w:val="48"/>
          <w:rFonts w:ascii="宋体" w:hAnsi="宋体"/>
        </w:rPr>
        <w:t>合同书</w:t>
      </w:r>
      <w:r>
        <w:tab/>
      </w:r>
      <w:r>
        <w:fldChar w:fldCharType="begin"/>
      </w:r>
      <w:r>
        <w:instrText xml:space="preserve"> PAGEREF _Toc40954368 \h </w:instrText>
      </w:r>
      <w:r>
        <w:fldChar w:fldCharType="separate"/>
      </w:r>
      <w:r>
        <w:t>15</w:t>
      </w:r>
      <w:r>
        <w:fldChar w:fldCharType="end"/>
      </w:r>
      <w:r>
        <w:fldChar w:fldCharType="end"/>
      </w:r>
    </w:p>
    <w:p>
      <w:pPr>
        <w:pStyle w:val="34"/>
        <w:rPr>
          <w:rFonts w:asciiTheme="minorHAnsi" w:hAnsiTheme="minorHAnsi" w:eastAsiaTheme="minorEastAsia" w:cstheme="minorBidi"/>
          <w:szCs w:val="22"/>
        </w:rPr>
      </w:pPr>
      <w:r>
        <w:fldChar w:fldCharType="begin"/>
      </w:r>
      <w:r>
        <w:instrText xml:space="preserve"> HYPERLINK \l "_Toc40954369" </w:instrText>
      </w:r>
      <w:r>
        <w:fldChar w:fldCharType="separate"/>
      </w:r>
      <w:r>
        <w:rPr>
          <w:rStyle w:val="48"/>
          <w:rFonts w:ascii="宋体" w:hAnsi="宋体"/>
        </w:rPr>
        <w:t>第七章</w:t>
      </w:r>
      <w:r>
        <w:rPr>
          <w:rFonts w:asciiTheme="minorHAnsi" w:hAnsiTheme="minorHAnsi" w:eastAsiaTheme="minorEastAsia" w:cstheme="minorBidi"/>
          <w:szCs w:val="22"/>
        </w:rPr>
        <w:tab/>
      </w:r>
      <w:r>
        <w:rPr>
          <w:rStyle w:val="48"/>
          <w:rFonts w:ascii="宋体" w:hAnsi="宋体"/>
        </w:rPr>
        <w:t>竞标文件格式</w:t>
      </w:r>
      <w:r>
        <w:tab/>
      </w:r>
      <w:r>
        <w:fldChar w:fldCharType="begin"/>
      </w:r>
      <w:r>
        <w:instrText xml:space="preserve"> PAGEREF _Toc40954369 \h </w:instrText>
      </w:r>
      <w:r>
        <w:fldChar w:fldCharType="separate"/>
      </w:r>
      <w:r>
        <w:t>16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"_Toc40954370" </w:instrText>
      </w:r>
      <w:r>
        <w:fldChar w:fldCharType="separate"/>
      </w:r>
      <w:r>
        <w:rPr>
          <w:rStyle w:val="48"/>
          <w:rFonts w:ascii="宋体" w:hAnsi="宋体"/>
          <w:bCs/>
        </w:rPr>
        <w:t>附件一：</w:t>
      </w:r>
      <w:r>
        <w:rPr>
          <w:rFonts w:asciiTheme="minorHAnsi" w:hAnsiTheme="minorHAnsi" w:eastAsiaTheme="minorEastAsia" w:cstheme="minorBidi"/>
          <w:szCs w:val="22"/>
        </w:rPr>
        <w:tab/>
      </w:r>
      <w:r>
        <w:rPr>
          <w:rStyle w:val="48"/>
          <w:rFonts w:ascii="宋体" w:hAnsi="宋体"/>
          <w:bCs/>
        </w:rPr>
        <w:t>竞标书</w:t>
      </w:r>
      <w:r>
        <w:tab/>
      </w:r>
      <w:r>
        <w:fldChar w:fldCharType="begin"/>
      </w:r>
      <w:r>
        <w:instrText xml:space="preserve"> PAGEREF _Toc40954370 \h </w:instrText>
      </w:r>
      <w:r>
        <w:fldChar w:fldCharType="separate"/>
      </w:r>
      <w:r>
        <w:t>18</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"_Toc40954371" </w:instrText>
      </w:r>
      <w:r>
        <w:fldChar w:fldCharType="separate"/>
      </w:r>
      <w:r>
        <w:rPr>
          <w:rStyle w:val="48"/>
          <w:rFonts w:ascii="宋体" w:hAnsi="宋体"/>
          <w:bCs/>
        </w:rPr>
        <w:t>附件二：</w:t>
      </w:r>
      <w:r>
        <w:rPr>
          <w:rFonts w:asciiTheme="minorHAnsi" w:hAnsiTheme="minorHAnsi" w:eastAsiaTheme="minorEastAsia" w:cstheme="minorBidi"/>
          <w:szCs w:val="22"/>
        </w:rPr>
        <w:tab/>
      </w:r>
      <w:r>
        <w:rPr>
          <w:rStyle w:val="48"/>
          <w:rFonts w:ascii="宋体" w:hAnsi="宋体"/>
          <w:bCs/>
        </w:rPr>
        <w:t>报价一览表（格式）</w:t>
      </w:r>
      <w:r>
        <w:tab/>
      </w:r>
      <w:r>
        <w:fldChar w:fldCharType="begin"/>
      </w:r>
      <w:r>
        <w:instrText xml:space="preserve"> PAGEREF _Toc40954371 \h </w:instrText>
      </w:r>
      <w:r>
        <w:fldChar w:fldCharType="separate"/>
      </w:r>
      <w:r>
        <w:t>19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"_Toc40954372" </w:instrText>
      </w:r>
      <w:r>
        <w:fldChar w:fldCharType="separate"/>
      </w:r>
      <w:r>
        <w:rPr>
          <w:rStyle w:val="48"/>
          <w:rFonts w:ascii="宋体" w:hAnsi="宋体"/>
          <w:bCs/>
        </w:rPr>
        <w:t>附件三：</w:t>
      </w:r>
      <w:r>
        <w:rPr>
          <w:rFonts w:asciiTheme="minorHAnsi" w:hAnsiTheme="minorHAnsi" w:eastAsiaTheme="minorEastAsia" w:cstheme="minorBidi"/>
          <w:szCs w:val="22"/>
        </w:rPr>
        <w:tab/>
      </w:r>
      <w:r>
        <w:rPr>
          <w:rStyle w:val="48"/>
          <w:rFonts w:ascii="宋体" w:hAnsi="宋体"/>
          <w:bCs/>
        </w:rPr>
        <w:t>法定代表人授权书</w:t>
      </w:r>
      <w:r>
        <w:tab/>
      </w:r>
      <w:r>
        <w:fldChar w:fldCharType="begin"/>
      </w:r>
      <w:r>
        <w:instrText xml:space="preserve"> PAGEREF _Toc40954372 \h </w:instrText>
      </w:r>
      <w:r>
        <w:fldChar w:fldCharType="separate"/>
      </w:r>
      <w:r>
        <w:t>20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"_Toc40954373" </w:instrText>
      </w:r>
      <w:r>
        <w:fldChar w:fldCharType="separate"/>
      </w:r>
      <w:r>
        <w:rPr>
          <w:rStyle w:val="48"/>
        </w:rPr>
        <w:t>附件四：</w:t>
      </w:r>
      <w:r>
        <w:rPr>
          <w:rStyle w:val="48"/>
          <w:rFonts w:ascii="宋体" w:hAnsi="宋体"/>
        </w:rPr>
        <w:t>拟投入本项目的人员一览表</w:t>
      </w:r>
      <w:r>
        <w:tab/>
      </w:r>
      <w:r>
        <w:fldChar w:fldCharType="begin"/>
      </w:r>
      <w:r>
        <w:instrText xml:space="preserve"> PAGEREF _Toc40954373 \h </w:instrText>
      </w:r>
      <w:r>
        <w:fldChar w:fldCharType="separate"/>
      </w:r>
      <w:r>
        <w:t>21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"_Toc40954374" </w:instrText>
      </w:r>
      <w:r>
        <w:fldChar w:fldCharType="separate"/>
      </w:r>
      <w:r>
        <w:rPr>
          <w:rStyle w:val="48"/>
        </w:rPr>
        <w:t>二、投标技术文件</w:t>
      </w:r>
      <w:r>
        <w:tab/>
      </w:r>
      <w:r>
        <w:fldChar w:fldCharType="begin"/>
      </w:r>
      <w:r>
        <w:instrText xml:space="preserve"> PAGEREF _Toc40954374 \h </w:instrText>
      </w:r>
      <w:r>
        <w:fldChar w:fldCharType="separate"/>
      </w:r>
      <w:r>
        <w:t>22</w:t>
      </w:r>
      <w:r>
        <w:fldChar w:fldCharType="end"/>
      </w:r>
      <w:r>
        <w:fldChar w:fldCharType="end"/>
      </w:r>
    </w:p>
    <w:p>
      <w:pPr>
        <w:pStyle w:val="21"/>
        <w:spacing w:line="440" w:lineRule="exact"/>
        <w:sectPr>
          <w:footerReference r:id="rId5" w:type="first"/>
          <w:headerReference r:id="rId3" w:type="default"/>
          <w:footerReference r:id="rId4" w:type="even"/>
          <w:type w:val="continuous"/>
          <w:pgSz w:w="11906" w:h="16838"/>
          <w:pgMar w:top="1440" w:right="1800" w:bottom="1440" w:left="1800" w:header="851" w:footer="992" w:gutter="0"/>
          <w:cols w:space="720" w:num="1"/>
          <w:docGrid w:type="lines" w:linePitch="312" w:charSpace="0"/>
        </w:sectPr>
      </w:pPr>
      <w:r>
        <w:rPr>
          <w:rFonts w:ascii="宋体" w:hAnsi="宋体"/>
          <w:sz w:val="24"/>
        </w:rPr>
        <w:fldChar w:fldCharType="end"/>
      </w:r>
    </w:p>
    <w:p>
      <w:pPr>
        <w:pStyle w:val="5"/>
        <w:numPr>
          <w:ilvl w:val="0"/>
          <w:numId w:val="3"/>
        </w:numPr>
        <w:spacing w:line="240" w:lineRule="auto"/>
        <w:rPr>
          <w:rFonts w:ascii="宋体" w:hAnsi="宋体" w:eastAsia="宋体"/>
          <w:sz w:val="32"/>
          <w:szCs w:val="32"/>
        </w:rPr>
      </w:pPr>
      <w:bookmarkStart w:id="68" w:name="_GoBack"/>
      <w:bookmarkStart w:id="1" w:name="_Toc40954349"/>
      <w:bookmarkStart w:id="2" w:name="_Toc11320427"/>
      <w:bookmarkStart w:id="3" w:name="_Toc533331071"/>
      <w:r>
        <w:rPr>
          <w:rFonts w:hint="eastAsia" w:ascii="宋体" w:hAnsi="宋体" w:eastAsia="宋体"/>
          <w:sz w:val="32"/>
          <w:szCs w:val="32"/>
        </w:rPr>
        <w:t>谈判邀请书</w:t>
      </w:r>
      <w:bookmarkEnd w:id="1"/>
      <w:bookmarkEnd w:id="2"/>
      <w:bookmarkEnd w:id="3"/>
    </w:p>
    <w:p>
      <w:pPr>
        <w:spacing w:line="360" w:lineRule="auto"/>
        <w:ind w:firstLine="480" w:firstLineChars="200"/>
        <w:rPr>
          <w:rFonts w:ascii="宋体" w:hAnsi="宋体"/>
          <w:sz w:val="24"/>
        </w:rPr>
      </w:pPr>
      <w:r>
        <w:rPr>
          <w:rFonts w:hint="eastAsia" w:ascii="宋体" w:hAnsi="宋体"/>
          <w:sz w:val="24"/>
        </w:rPr>
        <w:t>宜昌市城市管理执法监督平台监理项目采购人为宜昌市城市管理执法支队，项目资金为财政资金。项目已具备招标条件，欢迎符合资格条件的投标人报名参加投标。采购方式：竞争性谈判，欢迎符合资格条件并对此感兴趣的供应商参加本项目的谈判。</w:t>
      </w:r>
    </w:p>
    <w:p>
      <w:pPr>
        <w:pStyle w:val="5"/>
        <w:numPr>
          <w:ilvl w:val="0"/>
          <w:numId w:val="4"/>
        </w:numPr>
        <w:spacing w:line="360" w:lineRule="auto"/>
        <w:jc w:val="both"/>
        <w:rPr>
          <w:rFonts w:ascii="宋体" w:hAnsi="宋体" w:eastAsia="宋体"/>
          <w:sz w:val="24"/>
        </w:rPr>
      </w:pPr>
      <w:bookmarkStart w:id="4" w:name="_Toc298161594"/>
      <w:bookmarkStart w:id="5" w:name="_Toc40954350"/>
      <w:bookmarkStart w:id="6" w:name="_Toc259028269"/>
      <w:bookmarkStart w:id="7" w:name="_Toc259028689"/>
      <w:r>
        <w:rPr>
          <w:rFonts w:hint="eastAsia" w:ascii="宋体" w:hAnsi="宋体" w:eastAsia="宋体"/>
          <w:sz w:val="24"/>
        </w:rPr>
        <w:t>项目概况</w:t>
      </w:r>
      <w:bookmarkEnd w:id="4"/>
      <w:bookmarkEnd w:id="5"/>
      <w:bookmarkEnd w:id="6"/>
      <w:bookmarkEnd w:id="7"/>
    </w:p>
    <w:p>
      <w:pPr>
        <w:spacing w:line="360" w:lineRule="auto"/>
        <w:ind w:firstLine="480" w:firstLineChars="200"/>
        <w:rPr>
          <w:rFonts w:ascii="宋体" w:hAnsi="宋体"/>
          <w:sz w:val="24"/>
        </w:rPr>
      </w:pPr>
      <w:r>
        <w:rPr>
          <w:rFonts w:hint="eastAsia" w:ascii="宋体" w:hAnsi="宋体"/>
          <w:sz w:val="24"/>
        </w:rPr>
        <w:t>1、采购人：</w:t>
      </w:r>
      <w:bookmarkStart w:id="8" w:name="_Hlk40952958"/>
      <w:r>
        <w:rPr>
          <w:rFonts w:hint="eastAsia" w:ascii="宋体" w:hAnsi="宋体"/>
          <w:spacing w:val="-2"/>
          <w:sz w:val="24"/>
        </w:rPr>
        <w:t>宜昌市城市管理执法支队</w:t>
      </w:r>
    </w:p>
    <w:bookmarkEnd w:id="8"/>
    <w:p>
      <w:pPr>
        <w:spacing w:line="360" w:lineRule="auto"/>
        <w:ind w:firstLine="480" w:firstLineChars="200"/>
        <w:rPr>
          <w:rFonts w:ascii="宋体" w:hAnsi="宋体"/>
          <w:sz w:val="24"/>
        </w:rPr>
      </w:pPr>
      <w:r>
        <w:rPr>
          <w:rFonts w:hint="eastAsia" w:ascii="宋体" w:hAnsi="宋体"/>
          <w:sz w:val="24"/>
        </w:rPr>
        <w:t>2、项目名称：</w:t>
      </w:r>
      <w:r>
        <w:rPr>
          <w:rFonts w:hint="eastAsia" w:ascii="宋体" w:hAnsi="宋体"/>
          <w:spacing w:val="-2"/>
          <w:sz w:val="24"/>
        </w:rPr>
        <w:t>宜昌市城市管理执法监督平台监理项目</w:t>
      </w:r>
    </w:p>
    <w:p>
      <w:pPr>
        <w:spacing w:line="360" w:lineRule="auto"/>
        <w:ind w:firstLine="480" w:firstLineChars="200"/>
        <w:rPr>
          <w:rFonts w:ascii="宋体" w:hAnsi="宋体"/>
          <w:sz w:val="24"/>
        </w:rPr>
      </w:pPr>
      <w:r>
        <w:rPr>
          <w:rFonts w:hint="eastAsia" w:ascii="宋体" w:hAnsi="宋体"/>
          <w:sz w:val="24"/>
        </w:rPr>
        <w:t>3、资金来源：财政资金，预算金额</w:t>
      </w:r>
      <w:r>
        <w:rPr>
          <w:rFonts w:ascii="宋体" w:hAnsi="宋体"/>
          <w:sz w:val="24"/>
        </w:rPr>
        <w:t>4</w:t>
      </w:r>
      <w:r>
        <w:rPr>
          <w:rFonts w:hint="eastAsia" w:ascii="宋体" w:hAnsi="宋体"/>
          <w:sz w:val="24"/>
        </w:rPr>
        <w:t>万元。</w:t>
      </w:r>
    </w:p>
    <w:p>
      <w:pPr>
        <w:spacing w:line="360" w:lineRule="auto"/>
        <w:ind w:firstLine="472" w:firstLineChars="200"/>
        <w:rPr>
          <w:rFonts w:ascii="宋体" w:hAnsi="宋体"/>
          <w:sz w:val="24"/>
        </w:rPr>
      </w:pPr>
      <w:r>
        <w:rPr>
          <w:rFonts w:hint="eastAsia" w:ascii="宋体" w:hAnsi="宋体"/>
          <w:spacing w:val="-2"/>
          <w:sz w:val="24"/>
        </w:rPr>
        <w:t>4、采购内容：</w:t>
      </w:r>
      <w:r>
        <w:rPr>
          <w:rFonts w:hint="eastAsia" w:ascii="宋体" w:hAnsi="宋体"/>
          <w:sz w:val="24"/>
        </w:rPr>
        <w:t>信息化工程监理服务等</w:t>
      </w:r>
      <w:r>
        <w:rPr>
          <w:rFonts w:hint="eastAsia" w:ascii="宋体" w:hAnsi="宋体"/>
          <w:spacing w:val="-2"/>
          <w:sz w:val="24"/>
        </w:rPr>
        <w:t>，</w:t>
      </w:r>
      <w:r>
        <w:rPr>
          <w:rFonts w:hint="eastAsia" w:ascii="宋体" w:hAnsi="宋体"/>
          <w:sz w:val="24"/>
        </w:rPr>
        <w:t>具体采购内容及要求详见招标文件第四章。</w:t>
      </w:r>
    </w:p>
    <w:p>
      <w:pPr>
        <w:pStyle w:val="5"/>
        <w:numPr>
          <w:ilvl w:val="0"/>
          <w:numId w:val="4"/>
        </w:numPr>
        <w:spacing w:line="360" w:lineRule="auto"/>
        <w:jc w:val="both"/>
        <w:rPr>
          <w:rFonts w:ascii="宋体" w:hAnsi="宋体" w:eastAsia="宋体"/>
          <w:sz w:val="24"/>
        </w:rPr>
      </w:pPr>
      <w:bookmarkStart w:id="9" w:name="_Toc298161595"/>
      <w:bookmarkStart w:id="10" w:name="_Toc40954351"/>
      <w:bookmarkStart w:id="11" w:name="_Toc259028690"/>
      <w:r>
        <w:rPr>
          <w:rFonts w:hint="eastAsia" w:ascii="宋体" w:hAnsi="宋体" w:eastAsia="宋体"/>
          <w:sz w:val="24"/>
        </w:rPr>
        <w:t>投标人资格要求</w:t>
      </w:r>
      <w:bookmarkEnd w:id="9"/>
      <w:bookmarkEnd w:id="10"/>
      <w:bookmarkEnd w:id="11"/>
    </w:p>
    <w:p>
      <w:pPr>
        <w:spacing w:line="360" w:lineRule="auto"/>
        <w:ind w:firstLine="480" w:firstLineChars="200"/>
        <w:rPr>
          <w:rFonts w:ascii="宋体" w:hAnsi="宋体"/>
          <w:sz w:val="24"/>
        </w:rPr>
      </w:pPr>
      <w:r>
        <w:rPr>
          <w:rFonts w:hint="eastAsia" w:ascii="宋体" w:hAnsi="宋体"/>
          <w:sz w:val="24"/>
        </w:rPr>
        <w:t>投标人资格要求为本次项目投标人应具备的基本条件，参加竞争性谈判的投标人必须满足投标人资格要求中的所有条款，并按照相关规定递交资格证明文件。未按要求递交的投标人，其报价将被竞争性谈判小组拒绝。</w:t>
      </w:r>
    </w:p>
    <w:p>
      <w:pPr>
        <w:spacing w:line="360" w:lineRule="auto"/>
        <w:ind w:firstLine="480" w:firstLineChars="200"/>
        <w:rPr>
          <w:rFonts w:ascii="宋体" w:hAnsi="宋体"/>
          <w:sz w:val="24"/>
        </w:rPr>
      </w:pPr>
      <w:r>
        <w:rPr>
          <w:rFonts w:hint="eastAsia" w:ascii="宋体" w:hAnsi="宋体"/>
          <w:sz w:val="24"/>
        </w:rPr>
        <w:t>资格要求：</w:t>
      </w:r>
    </w:p>
    <w:p>
      <w:pPr>
        <w:pStyle w:val="39"/>
        <w:snapToGrid w:val="0"/>
        <w:spacing w:before="0" w:beforeAutospacing="0" w:after="0" w:afterAutospacing="0" w:line="360" w:lineRule="auto"/>
        <w:jc w:val="both"/>
        <w:rPr>
          <w:rFonts w:hint="default"/>
        </w:rPr>
      </w:pPr>
      <w:r>
        <w:t xml:space="preserve">    </w:t>
      </w:r>
      <w:r>
        <w:rPr>
          <w:lang w:val="zh-CN"/>
        </w:rPr>
        <w:t>1、</w:t>
      </w:r>
      <w:r>
        <w:t>应具备《政府采购法》第二十二条规定的条件；</w:t>
      </w:r>
    </w:p>
    <w:p>
      <w:pPr>
        <w:pStyle w:val="39"/>
        <w:snapToGrid w:val="0"/>
        <w:spacing w:before="0" w:beforeAutospacing="0" w:after="0" w:afterAutospacing="0" w:line="360" w:lineRule="auto"/>
        <w:jc w:val="both"/>
        <w:rPr>
          <w:rFonts w:hint="default"/>
        </w:rPr>
      </w:pPr>
      <w:r>
        <w:t xml:space="preserve">    2、应未被列入“信用中国”网站(www.creditchina.gov.cn)失信被执行人、重大税收违法案件当事人、政府采购严重违法失信行为记录名单和“中国政府采购”网站（www.ccgp.gov.cn）政府采购严重违法失信行为记录名单</w:t>
      </w:r>
      <w:r>
        <w:rPr>
          <w:color w:val="0D0D0D"/>
        </w:rPr>
        <w:t>；</w:t>
      </w:r>
    </w:p>
    <w:p>
      <w:pPr>
        <w:spacing w:line="360" w:lineRule="auto"/>
        <w:rPr>
          <w:rFonts w:ascii="宋体" w:hAnsi="宋体"/>
          <w:kern w:val="0"/>
          <w:sz w:val="24"/>
        </w:rPr>
      </w:pPr>
      <w:r>
        <w:rPr>
          <w:rFonts w:hint="eastAsia" w:ascii="宋体" w:hAnsi="宋体"/>
          <w:kern w:val="0"/>
          <w:sz w:val="24"/>
        </w:rPr>
        <w:t xml:space="preserve">    </w:t>
      </w:r>
      <w:r>
        <w:rPr>
          <w:rFonts w:ascii="宋体" w:hAnsi="宋体"/>
          <w:kern w:val="0"/>
          <w:sz w:val="24"/>
        </w:rPr>
        <w:t>3</w:t>
      </w:r>
      <w:r>
        <w:rPr>
          <w:rFonts w:hint="eastAsia" w:ascii="宋体" w:hAnsi="宋体"/>
          <w:kern w:val="0"/>
          <w:sz w:val="24"/>
        </w:rPr>
        <w:t>、本项目不接受联合体形式的投标。</w:t>
      </w:r>
    </w:p>
    <w:p>
      <w:pPr>
        <w:pStyle w:val="2"/>
        <w:ind w:left="0" w:leftChars="0" w:firstLine="0" w:firstLineChars="0"/>
      </w:pPr>
    </w:p>
    <w:p>
      <w:pPr>
        <w:pStyle w:val="5"/>
        <w:numPr>
          <w:ilvl w:val="0"/>
          <w:numId w:val="4"/>
        </w:numPr>
        <w:spacing w:line="360" w:lineRule="auto"/>
        <w:jc w:val="both"/>
        <w:rPr>
          <w:rFonts w:ascii="宋体" w:hAnsi="宋体" w:eastAsia="宋体"/>
          <w:sz w:val="24"/>
        </w:rPr>
      </w:pPr>
      <w:bookmarkStart w:id="12" w:name="_Toc259028691"/>
      <w:bookmarkStart w:id="13" w:name="_Toc298161596"/>
      <w:bookmarkStart w:id="14" w:name="_Toc40954352"/>
      <w:r>
        <w:rPr>
          <w:rFonts w:hint="eastAsia" w:ascii="宋体" w:hAnsi="宋体" w:eastAsia="宋体"/>
          <w:sz w:val="24"/>
        </w:rPr>
        <w:t>竞争性谈判文件</w:t>
      </w:r>
      <w:bookmarkEnd w:id="12"/>
      <w:bookmarkEnd w:id="13"/>
      <w:r>
        <w:rPr>
          <w:rFonts w:hint="eastAsia" w:ascii="宋体" w:hAnsi="宋体" w:eastAsia="宋体"/>
          <w:sz w:val="24"/>
        </w:rPr>
        <w:t>获取</w:t>
      </w:r>
      <w:bookmarkEnd w:id="14"/>
    </w:p>
    <w:p>
      <w:pPr>
        <w:spacing w:line="360" w:lineRule="auto"/>
        <w:ind w:firstLine="480" w:firstLineChars="200"/>
        <w:rPr>
          <w:rFonts w:ascii="宋体" w:hAnsi="宋体"/>
          <w:sz w:val="24"/>
        </w:rPr>
      </w:pPr>
      <w:r>
        <w:rPr>
          <w:rFonts w:hint="eastAsia" w:ascii="宋体" w:hAnsi="宋体"/>
          <w:sz w:val="24"/>
        </w:rPr>
        <w:t>2020年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6日</w:t>
      </w:r>
      <w:r>
        <w:rPr>
          <w:rFonts w:hint="eastAsia" w:ascii="宋体" w:hAnsi="宋体"/>
          <w:sz w:val="24"/>
        </w:rPr>
        <w:t>起至2020年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11</w:t>
      </w:r>
      <w:r>
        <w:rPr>
          <w:rFonts w:hint="eastAsia" w:ascii="宋体" w:hAnsi="宋体"/>
          <w:sz w:val="24"/>
        </w:rPr>
        <w:t>日止，（节假日除外）。投标单位代表凭法人代表授权委托书（注明单位地址、联系人姓名及联系方式）。</w:t>
      </w:r>
      <w:bookmarkStart w:id="15" w:name="_Toc279671704"/>
      <w:r>
        <w:rPr>
          <w:rFonts w:hint="eastAsia" w:ascii="宋体" w:hAnsi="宋体"/>
          <w:sz w:val="24"/>
        </w:rPr>
        <w:t>购买地点</w:t>
      </w:r>
      <w:bookmarkEnd w:id="15"/>
      <w:r>
        <w:rPr>
          <w:rFonts w:hint="eastAsia" w:ascii="宋体" w:hAnsi="宋体"/>
          <w:sz w:val="24"/>
        </w:rPr>
        <w:t>在宜昌市城市管理执法支队。</w:t>
      </w:r>
    </w:p>
    <w:p>
      <w:pPr>
        <w:pStyle w:val="5"/>
        <w:numPr>
          <w:ilvl w:val="0"/>
          <w:numId w:val="4"/>
        </w:numPr>
        <w:spacing w:line="360" w:lineRule="auto"/>
        <w:jc w:val="both"/>
        <w:rPr>
          <w:rFonts w:ascii="宋体" w:hAnsi="宋体" w:eastAsia="宋体"/>
          <w:sz w:val="24"/>
        </w:rPr>
      </w:pPr>
      <w:bookmarkStart w:id="16" w:name="_Toc40954353"/>
      <w:r>
        <w:rPr>
          <w:rFonts w:hint="eastAsia" w:ascii="宋体" w:hAnsi="宋体" w:eastAsia="宋体"/>
          <w:sz w:val="24"/>
        </w:rPr>
        <w:t>投标文件递交</w:t>
      </w:r>
      <w:bookmarkEnd w:id="16"/>
    </w:p>
    <w:p>
      <w:pPr>
        <w:spacing w:line="360" w:lineRule="auto"/>
        <w:ind w:firstLine="480" w:firstLineChars="200"/>
        <w:rPr>
          <w:rFonts w:ascii="宋体" w:hAnsi="宋体"/>
          <w:sz w:val="24"/>
        </w:rPr>
      </w:pPr>
      <w:r>
        <w:rPr>
          <w:rFonts w:hint="eastAsia" w:ascii="宋体" w:hAnsi="宋体"/>
          <w:sz w:val="24"/>
        </w:rPr>
        <w:t>2020年</w:t>
      </w:r>
      <w:r>
        <w:rPr>
          <w:rFonts w:hint="eastAsia" w:ascii="宋体" w:hAnsi="宋体"/>
          <w:sz w:val="24"/>
          <w:lang w:val="en-US" w:eastAsia="zh-CN"/>
        </w:rPr>
        <w:t>8</w:t>
      </w:r>
      <w:r>
        <w:rPr>
          <w:rFonts w:hint="eastAsia" w:ascii="宋体" w:hAnsi="宋体"/>
          <w:sz w:val="24"/>
        </w:rPr>
        <w:t xml:space="preserve">月 </w:t>
      </w:r>
      <w:r>
        <w:rPr>
          <w:rFonts w:hint="eastAsia" w:ascii="宋体" w:hAnsi="宋体"/>
          <w:sz w:val="24"/>
          <w:lang w:val="en-US" w:eastAsia="zh-CN"/>
        </w:rPr>
        <w:t>12</w:t>
      </w:r>
      <w:r>
        <w:rPr>
          <w:rFonts w:hint="eastAsia" w:ascii="宋体" w:hAnsi="宋体"/>
          <w:sz w:val="24"/>
        </w:rPr>
        <w:t>日上午</w:t>
      </w:r>
      <w:r>
        <w:rPr>
          <w:rFonts w:hint="eastAsia" w:ascii="宋体" w:hAnsi="宋体"/>
          <w:sz w:val="24"/>
          <w:lang w:val="en-US" w:eastAsia="zh-CN"/>
        </w:rPr>
        <w:t>9</w:t>
      </w:r>
      <w:r>
        <w:rPr>
          <w:rFonts w:ascii="宋体" w:hAnsi="宋体"/>
          <w:sz w:val="24"/>
        </w:rPr>
        <w:t xml:space="preserve"> </w:t>
      </w:r>
      <w:r>
        <w:rPr>
          <w:rFonts w:hint="eastAsia" w:ascii="宋体" w:hAnsi="宋体"/>
          <w:sz w:val="24"/>
        </w:rPr>
        <w:t>点前（北京时间）递交至宜昌市城市管理执法支队。</w:t>
      </w:r>
    </w:p>
    <w:p>
      <w:pPr>
        <w:pStyle w:val="5"/>
        <w:numPr>
          <w:ilvl w:val="0"/>
          <w:numId w:val="4"/>
        </w:numPr>
        <w:spacing w:line="360" w:lineRule="auto"/>
        <w:jc w:val="both"/>
        <w:rPr>
          <w:rFonts w:ascii="宋体" w:hAnsi="宋体" w:eastAsia="宋体"/>
          <w:sz w:val="24"/>
        </w:rPr>
      </w:pPr>
      <w:bookmarkStart w:id="17" w:name="_Toc259028273"/>
      <w:bookmarkStart w:id="18" w:name="_Toc298161598"/>
      <w:bookmarkStart w:id="19" w:name="_Toc259028693"/>
      <w:bookmarkStart w:id="20" w:name="_Toc40954354"/>
      <w:r>
        <w:rPr>
          <w:rFonts w:hint="eastAsia" w:ascii="宋体" w:hAnsi="宋体" w:eastAsia="宋体"/>
          <w:sz w:val="24"/>
        </w:rPr>
        <w:t>谈判开始时间及地点</w:t>
      </w:r>
      <w:bookmarkEnd w:id="17"/>
      <w:bookmarkEnd w:id="18"/>
      <w:bookmarkEnd w:id="19"/>
      <w:bookmarkEnd w:id="20"/>
    </w:p>
    <w:p>
      <w:pPr>
        <w:spacing w:line="360" w:lineRule="auto"/>
        <w:ind w:firstLine="480" w:firstLineChars="200"/>
        <w:rPr>
          <w:rFonts w:ascii="宋体" w:hAnsi="宋体"/>
          <w:sz w:val="24"/>
        </w:rPr>
      </w:pPr>
      <w:r>
        <w:rPr>
          <w:rFonts w:hint="eastAsia" w:ascii="宋体" w:hAnsi="宋体"/>
          <w:sz w:val="24"/>
        </w:rPr>
        <w:t>2020年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12</w:t>
      </w:r>
      <w:r>
        <w:rPr>
          <w:rFonts w:hint="eastAsia" w:ascii="宋体" w:hAnsi="宋体"/>
          <w:sz w:val="24"/>
        </w:rPr>
        <w:t>日上午</w:t>
      </w: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lang w:val="en-US" w:eastAsia="zh-CN"/>
        </w:rPr>
        <w:t>00</w:t>
      </w:r>
      <w:r>
        <w:rPr>
          <w:rFonts w:hint="eastAsia" w:ascii="宋体" w:hAnsi="宋体"/>
          <w:sz w:val="24"/>
        </w:rPr>
        <w:t>整（北京时间）开始谈判，地点是宜昌市城市管理执法支队</w:t>
      </w:r>
      <w:r>
        <w:rPr>
          <w:rFonts w:hint="eastAsia" w:ascii="宋体" w:hAnsi="宋体"/>
          <w:sz w:val="24"/>
          <w:lang w:eastAsia="zh-CN"/>
        </w:rPr>
        <w:t>五楼会议室</w:t>
      </w:r>
      <w:r>
        <w:rPr>
          <w:rFonts w:hint="eastAsia" w:ascii="宋体" w:hAnsi="宋体"/>
          <w:sz w:val="24"/>
        </w:rPr>
        <w:t>。</w:t>
      </w:r>
    </w:p>
    <w:p>
      <w:pPr>
        <w:pStyle w:val="5"/>
        <w:numPr>
          <w:ilvl w:val="0"/>
          <w:numId w:val="4"/>
        </w:numPr>
        <w:spacing w:line="360" w:lineRule="auto"/>
        <w:jc w:val="both"/>
        <w:rPr>
          <w:rFonts w:ascii="宋体" w:hAnsi="宋体" w:eastAsia="宋体"/>
          <w:sz w:val="24"/>
        </w:rPr>
      </w:pPr>
      <w:bookmarkStart w:id="21" w:name="_Toc259028697"/>
      <w:bookmarkStart w:id="22" w:name="_Toc259028277"/>
      <w:bookmarkStart w:id="23" w:name="_Toc298161602"/>
      <w:bookmarkStart w:id="24" w:name="_Toc40954355"/>
      <w:r>
        <w:rPr>
          <w:rFonts w:hint="eastAsia" w:ascii="宋体" w:hAnsi="宋体" w:eastAsia="宋体"/>
          <w:sz w:val="24"/>
        </w:rPr>
        <w:t>采购人联系方式</w:t>
      </w:r>
      <w:bookmarkEnd w:id="21"/>
      <w:bookmarkEnd w:id="22"/>
      <w:bookmarkEnd w:id="23"/>
      <w:bookmarkEnd w:id="24"/>
    </w:p>
    <w:p>
      <w:pPr>
        <w:spacing w:line="360" w:lineRule="auto"/>
        <w:ind w:firstLine="472" w:firstLineChars="200"/>
        <w:rPr>
          <w:rFonts w:ascii="宋体" w:hAnsi="宋体"/>
          <w:spacing w:val="-2"/>
          <w:sz w:val="24"/>
        </w:rPr>
      </w:pPr>
      <w:r>
        <w:rPr>
          <w:rFonts w:hint="eastAsia" w:ascii="宋体" w:hAnsi="宋体"/>
          <w:spacing w:val="-2"/>
          <w:sz w:val="24"/>
        </w:rPr>
        <w:t>采购人：宜昌市城市管理执法支队</w:t>
      </w:r>
    </w:p>
    <w:p>
      <w:pPr>
        <w:spacing w:line="360" w:lineRule="auto"/>
        <w:ind w:firstLine="472" w:firstLineChars="200"/>
        <w:rPr>
          <w:rFonts w:hint="eastAsia" w:ascii="宋体" w:hAnsi="宋体" w:eastAsia="宋体"/>
          <w:spacing w:val="-2"/>
          <w:sz w:val="24"/>
          <w:lang w:val="en-US" w:eastAsia="zh-CN"/>
        </w:rPr>
      </w:pPr>
      <w:r>
        <w:rPr>
          <w:rFonts w:hint="eastAsia" w:ascii="宋体" w:hAnsi="宋体"/>
          <w:spacing w:val="-2"/>
          <w:sz w:val="24"/>
        </w:rPr>
        <w:t xml:space="preserve">地  址： </w:t>
      </w:r>
      <w:r>
        <w:rPr>
          <w:rFonts w:hint="eastAsia" w:ascii="宋体" w:hAnsi="宋体"/>
          <w:spacing w:val="-2"/>
          <w:sz w:val="24"/>
          <w:lang w:eastAsia="zh-CN"/>
        </w:rPr>
        <w:t>胜利四路</w:t>
      </w:r>
      <w:r>
        <w:rPr>
          <w:rFonts w:hint="eastAsia" w:ascii="宋体" w:hAnsi="宋体"/>
          <w:spacing w:val="-2"/>
          <w:sz w:val="24"/>
          <w:lang w:val="en-US" w:eastAsia="zh-CN"/>
        </w:rPr>
        <w:t>8号</w:t>
      </w:r>
    </w:p>
    <w:p>
      <w:pPr>
        <w:widowControl/>
        <w:spacing w:line="360" w:lineRule="auto"/>
        <w:ind w:firstLine="472" w:firstLineChars="200"/>
        <w:jc w:val="left"/>
        <w:rPr>
          <w:rFonts w:hint="eastAsia" w:ascii="宋体" w:hAnsi="宋体" w:eastAsia="宋体"/>
          <w:spacing w:val="-2"/>
          <w:sz w:val="24"/>
          <w:lang w:val="en-US" w:eastAsia="zh-CN"/>
        </w:rPr>
      </w:pPr>
      <w:r>
        <w:rPr>
          <w:rFonts w:hint="eastAsia" w:ascii="宋体" w:hAnsi="宋体"/>
          <w:spacing w:val="-2"/>
          <w:sz w:val="24"/>
        </w:rPr>
        <w:t>联系人：</w:t>
      </w:r>
      <w:r>
        <w:rPr>
          <w:rFonts w:hint="eastAsia" w:ascii="宋体" w:hAnsi="宋体" w:cs="宋体"/>
          <w:kern w:val="0"/>
          <w:sz w:val="24"/>
        </w:rPr>
        <w:t xml:space="preserve"> </w:t>
      </w:r>
      <w:r>
        <w:rPr>
          <w:rFonts w:hint="eastAsia" w:ascii="宋体" w:hAnsi="宋体" w:cs="宋体"/>
          <w:kern w:val="0"/>
          <w:sz w:val="24"/>
          <w:lang w:eastAsia="zh-CN"/>
        </w:rPr>
        <w:t>谷涛</w:t>
      </w:r>
      <w:r>
        <w:rPr>
          <w:rFonts w:hint="eastAsia" w:ascii="宋体" w:hAnsi="宋体" w:cs="宋体"/>
          <w:kern w:val="0"/>
          <w:sz w:val="24"/>
          <w:lang w:val="en-US" w:eastAsia="zh-CN"/>
        </w:rPr>
        <w:tab/>
      </w:r>
    </w:p>
    <w:p>
      <w:pPr>
        <w:spacing w:line="360" w:lineRule="auto"/>
        <w:ind w:firstLine="472" w:firstLineChars="200"/>
        <w:rPr>
          <w:rFonts w:hint="eastAsia" w:ascii="宋体" w:hAnsi="宋体" w:eastAsia="宋体"/>
          <w:spacing w:val="-2"/>
          <w:sz w:val="24"/>
          <w:lang w:val="en-US" w:eastAsia="zh-CN"/>
        </w:rPr>
      </w:pPr>
      <w:r>
        <w:rPr>
          <w:rFonts w:hint="eastAsia" w:ascii="宋体" w:hAnsi="宋体"/>
          <w:spacing w:val="-2"/>
          <w:sz w:val="24"/>
        </w:rPr>
        <w:t>联系方式</w:t>
      </w:r>
      <w:r>
        <w:rPr>
          <w:rFonts w:ascii="宋体" w:hAnsi="宋体"/>
          <w:spacing w:val="-2"/>
          <w:sz w:val="24"/>
        </w:rPr>
        <w:t xml:space="preserve">： </w:t>
      </w:r>
      <w:r>
        <w:rPr>
          <w:rFonts w:hint="eastAsia" w:ascii="宋体" w:hAnsi="宋体"/>
          <w:spacing w:val="-2"/>
          <w:sz w:val="24"/>
          <w:lang w:val="en-US" w:eastAsia="zh-CN"/>
        </w:rPr>
        <w:t>15926968518</w:t>
      </w:r>
    </w:p>
    <w:p>
      <w:pPr>
        <w:spacing w:line="360" w:lineRule="auto"/>
        <w:rPr>
          <w:rFonts w:ascii="宋体" w:hAnsi="宋体"/>
        </w:rPr>
      </w:pPr>
    </w:p>
    <w:bookmarkEnd w:id="68"/>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ascii="宋体" w:hAnsi="宋体"/>
        </w:rPr>
      </w:pPr>
    </w:p>
    <w:p>
      <w:pPr>
        <w:pStyle w:val="5"/>
        <w:numPr>
          <w:ilvl w:val="0"/>
          <w:numId w:val="3"/>
        </w:numPr>
        <w:spacing w:line="240" w:lineRule="auto"/>
        <w:rPr>
          <w:rFonts w:ascii="宋体" w:hAnsi="宋体"/>
          <w:sz w:val="32"/>
        </w:rPr>
      </w:pPr>
      <w:bookmarkStart w:id="25" w:name="_Toc40954356"/>
      <w:r>
        <w:rPr>
          <w:rFonts w:hint="eastAsia" w:ascii="宋体" w:hAnsi="宋体" w:eastAsia="宋体"/>
          <w:sz w:val="32"/>
          <w:szCs w:val="32"/>
        </w:rPr>
        <w:t>竞标人须知前附表</w:t>
      </w:r>
      <w:bookmarkEnd w:id="25"/>
    </w:p>
    <w:p>
      <w:pPr>
        <w:autoSpaceDE w:val="0"/>
        <w:autoSpaceDN w:val="0"/>
        <w:adjustRightInd w:val="0"/>
        <w:spacing w:line="360" w:lineRule="auto"/>
        <w:ind w:firstLine="480" w:firstLineChars="200"/>
        <w:rPr>
          <w:rFonts w:ascii="宋体" w:hAnsi="宋体"/>
          <w:sz w:val="24"/>
        </w:rPr>
      </w:pPr>
      <w:r>
        <w:rPr>
          <w:rFonts w:hint="eastAsia" w:ascii="宋体" w:hAnsi="宋体"/>
          <w:sz w:val="24"/>
          <w:lang w:val="zh-CN"/>
        </w:rPr>
        <w:t>本表是对竞标人须知的具体补充和修改，如有矛盾，应以本表为准。</w:t>
      </w:r>
    </w:p>
    <w:tbl>
      <w:tblPr>
        <w:tblStyle w:val="52"/>
        <w:tblW w:w="9010" w:type="dxa"/>
        <w:tblInd w:w="28" w:type="dxa"/>
        <w:tblLayout w:type="fixed"/>
        <w:tblCellMar>
          <w:top w:w="0" w:type="dxa"/>
          <w:left w:w="28" w:type="dxa"/>
          <w:bottom w:w="0" w:type="dxa"/>
          <w:right w:w="28" w:type="dxa"/>
        </w:tblCellMar>
      </w:tblPr>
      <w:tblGrid>
        <w:gridCol w:w="1555"/>
        <w:gridCol w:w="7455"/>
      </w:tblGrid>
      <w:tr>
        <w:tblPrEx>
          <w:tblLayout w:type="fixed"/>
          <w:tblCellMar>
            <w:top w:w="0" w:type="dxa"/>
            <w:left w:w="28" w:type="dxa"/>
            <w:bottom w:w="0" w:type="dxa"/>
            <w:right w:w="28" w:type="dxa"/>
          </w:tblCellMar>
        </w:tblPrEx>
        <w:trPr>
          <w:trHeight w:val="45" w:hRule="atLeast"/>
        </w:trPr>
        <w:tc>
          <w:tcPr>
            <w:tcW w:w="155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条款</w:t>
            </w:r>
          </w:p>
        </w:tc>
        <w:tc>
          <w:tcPr>
            <w:tcW w:w="745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auto"/>
              <w:ind w:firstLine="3360" w:firstLineChars="1400"/>
              <w:rPr>
                <w:rFonts w:ascii="宋体" w:hAnsi="宋体"/>
                <w:sz w:val="24"/>
                <w:lang w:val="zh-CN"/>
              </w:rPr>
            </w:pPr>
            <w:r>
              <w:rPr>
                <w:rFonts w:hint="eastAsia" w:ascii="宋体" w:hAnsi="宋体"/>
                <w:sz w:val="24"/>
                <w:lang w:val="zh-CN"/>
              </w:rPr>
              <w:t>内</w:t>
            </w:r>
            <w:r>
              <w:rPr>
                <w:rFonts w:ascii="宋体" w:hAnsi="宋体"/>
                <w:sz w:val="24"/>
                <w:lang w:val="zh-CN"/>
              </w:rPr>
              <w:t xml:space="preserve">      </w:t>
            </w:r>
            <w:r>
              <w:rPr>
                <w:rFonts w:hint="eastAsia" w:ascii="宋体" w:hAnsi="宋体"/>
                <w:sz w:val="24"/>
                <w:lang w:val="zh-CN"/>
              </w:rPr>
              <w:t>容</w:t>
            </w:r>
          </w:p>
        </w:tc>
      </w:tr>
      <w:tr>
        <w:tblPrEx>
          <w:tblLayout w:type="fixed"/>
          <w:tblCellMar>
            <w:top w:w="0" w:type="dxa"/>
            <w:left w:w="28" w:type="dxa"/>
            <w:bottom w:w="0" w:type="dxa"/>
            <w:right w:w="28" w:type="dxa"/>
          </w:tblCellMar>
        </w:tblPrEx>
        <w:trPr>
          <w:trHeight w:val="60" w:hRule="atLeast"/>
        </w:trPr>
        <w:tc>
          <w:tcPr>
            <w:tcW w:w="155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采购人</w:t>
            </w:r>
          </w:p>
        </w:tc>
        <w:tc>
          <w:tcPr>
            <w:tcW w:w="7455"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pacing w:val="-2"/>
                <w:sz w:val="24"/>
              </w:rPr>
            </w:pPr>
            <w:r>
              <w:rPr>
                <w:rFonts w:hint="eastAsia" w:ascii="宋体" w:hAnsi="宋体"/>
                <w:spacing w:val="-2"/>
                <w:sz w:val="24"/>
              </w:rPr>
              <w:t>采购人：宜昌市城市管理执法支队</w:t>
            </w:r>
          </w:p>
          <w:p>
            <w:pPr>
              <w:spacing w:line="360" w:lineRule="auto"/>
              <w:rPr>
                <w:rFonts w:ascii="宋体" w:hAnsi="宋体"/>
                <w:sz w:val="24"/>
              </w:rPr>
            </w:pPr>
            <w:r>
              <w:rPr>
                <w:rFonts w:ascii="宋体" w:hAnsi="宋体"/>
                <w:spacing w:val="-2"/>
                <w:sz w:val="24"/>
              </w:rPr>
              <w:t>地  址：</w:t>
            </w:r>
            <w:r>
              <w:rPr>
                <w:rFonts w:ascii="宋体" w:hAnsi="宋体"/>
                <w:sz w:val="24"/>
              </w:rPr>
              <w:t xml:space="preserve"> </w:t>
            </w:r>
            <w:r>
              <w:rPr>
                <w:rFonts w:hint="eastAsia" w:ascii="宋体" w:hAnsi="宋体"/>
                <w:spacing w:val="-2"/>
                <w:sz w:val="24"/>
                <w:lang w:eastAsia="zh-CN"/>
              </w:rPr>
              <w:t>胜利四路</w:t>
            </w:r>
            <w:r>
              <w:rPr>
                <w:rFonts w:hint="eastAsia" w:ascii="宋体" w:hAnsi="宋体"/>
                <w:spacing w:val="-2"/>
                <w:sz w:val="24"/>
                <w:lang w:val="en-US" w:eastAsia="zh-CN"/>
              </w:rPr>
              <w:t>8号</w:t>
            </w:r>
          </w:p>
        </w:tc>
      </w:tr>
      <w:tr>
        <w:tblPrEx>
          <w:tblLayout w:type="fixed"/>
          <w:tblCellMar>
            <w:top w:w="0" w:type="dxa"/>
            <w:left w:w="28" w:type="dxa"/>
            <w:bottom w:w="0" w:type="dxa"/>
            <w:right w:w="28" w:type="dxa"/>
          </w:tblCellMar>
        </w:tblPrEx>
        <w:trPr>
          <w:trHeight w:val="451" w:hRule="atLeast"/>
        </w:trPr>
        <w:tc>
          <w:tcPr>
            <w:tcW w:w="155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招标范围</w:t>
            </w:r>
          </w:p>
        </w:tc>
        <w:tc>
          <w:tcPr>
            <w:tcW w:w="7455" w:type="dxa"/>
            <w:tcBorders>
              <w:top w:val="single" w:color="auto" w:sz="6" w:space="0"/>
              <w:left w:val="single" w:color="auto" w:sz="6" w:space="0"/>
              <w:bottom w:val="single" w:color="auto" w:sz="6" w:space="0"/>
              <w:right w:val="single" w:color="auto" w:sz="12" w:space="0"/>
            </w:tcBorders>
            <w:vAlign w:val="center"/>
          </w:tcPr>
          <w:p>
            <w:pPr>
              <w:pStyle w:val="39"/>
              <w:widowControl w:val="0"/>
              <w:autoSpaceDE w:val="0"/>
              <w:autoSpaceDN w:val="0"/>
              <w:adjustRightInd w:val="0"/>
              <w:spacing w:before="0" w:beforeAutospacing="0" w:after="0" w:afterAutospacing="0" w:line="360" w:lineRule="auto"/>
              <w:rPr>
                <w:rFonts w:hint="default"/>
              </w:rPr>
            </w:pPr>
            <w:r>
              <w:t>信息化工程监理服务等</w:t>
            </w:r>
          </w:p>
        </w:tc>
      </w:tr>
      <w:tr>
        <w:tblPrEx>
          <w:tblLayout w:type="fixed"/>
          <w:tblCellMar>
            <w:top w:w="0" w:type="dxa"/>
            <w:left w:w="28" w:type="dxa"/>
            <w:bottom w:w="0" w:type="dxa"/>
            <w:right w:w="28" w:type="dxa"/>
          </w:tblCellMar>
        </w:tblPrEx>
        <w:trPr>
          <w:trHeight w:val="60" w:hRule="atLeast"/>
        </w:trPr>
        <w:tc>
          <w:tcPr>
            <w:tcW w:w="155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pacing w:val="-2"/>
                <w:sz w:val="24"/>
                <w:lang w:val="zh-CN"/>
              </w:rPr>
            </w:pPr>
            <w:r>
              <w:rPr>
                <w:rFonts w:hint="eastAsia" w:ascii="宋体" w:hAnsi="宋体"/>
                <w:spacing w:val="-2"/>
                <w:sz w:val="24"/>
                <w:lang w:val="zh-CN"/>
              </w:rPr>
              <w:t>服务期</w:t>
            </w:r>
          </w:p>
        </w:tc>
        <w:tc>
          <w:tcPr>
            <w:tcW w:w="7455"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pacing w:val="-2"/>
                <w:sz w:val="24"/>
              </w:rPr>
            </w:pPr>
            <w:r>
              <w:rPr>
                <w:rFonts w:hint="eastAsia" w:ascii="宋体" w:hAnsi="宋体" w:cs="宋体"/>
                <w:color w:val="000000"/>
                <w:kern w:val="0"/>
                <w:sz w:val="24"/>
                <w:shd w:val="clear" w:color="auto" w:fill="FFFFFF"/>
              </w:rPr>
              <w:t>自合同签署之日至本项目终验结束止</w:t>
            </w:r>
          </w:p>
        </w:tc>
      </w:tr>
      <w:tr>
        <w:tblPrEx>
          <w:tblLayout w:type="fixed"/>
          <w:tblCellMar>
            <w:top w:w="0" w:type="dxa"/>
            <w:left w:w="28" w:type="dxa"/>
            <w:bottom w:w="0" w:type="dxa"/>
            <w:right w:w="28" w:type="dxa"/>
          </w:tblCellMar>
        </w:tblPrEx>
        <w:trPr>
          <w:trHeight w:val="63" w:hRule="atLeast"/>
        </w:trPr>
        <w:tc>
          <w:tcPr>
            <w:tcW w:w="155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rPr>
              <w:t>竞标人的资质或资格条件</w:t>
            </w:r>
          </w:p>
        </w:tc>
        <w:tc>
          <w:tcPr>
            <w:tcW w:w="7455" w:type="dxa"/>
            <w:tcBorders>
              <w:top w:val="single" w:color="auto" w:sz="6" w:space="0"/>
              <w:left w:val="single" w:color="auto" w:sz="6" w:space="0"/>
              <w:bottom w:val="single" w:color="auto" w:sz="6" w:space="0"/>
              <w:right w:val="single" w:color="auto" w:sz="12" w:space="0"/>
            </w:tcBorders>
            <w:vAlign w:val="center"/>
          </w:tcPr>
          <w:p>
            <w:pPr>
              <w:tabs>
                <w:tab w:val="left" w:pos="544"/>
              </w:tabs>
              <w:autoSpaceDE w:val="0"/>
              <w:autoSpaceDN w:val="0"/>
              <w:adjustRightInd w:val="0"/>
              <w:spacing w:line="360" w:lineRule="auto"/>
              <w:ind w:left="-27"/>
              <w:rPr>
                <w:rFonts w:ascii="宋体" w:hAnsi="宋体"/>
                <w:sz w:val="24"/>
              </w:rPr>
            </w:pPr>
            <w:r>
              <w:rPr>
                <w:rFonts w:hint="eastAsia" w:ascii="宋体" w:hAnsi="宋体"/>
                <w:sz w:val="24"/>
              </w:rPr>
              <w:t>详见本《谈判文件》第一章第二款要求</w:t>
            </w:r>
          </w:p>
        </w:tc>
      </w:tr>
      <w:tr>
        <w:tblPrEx>
          <w:tblLayout w:type="fixed"/>
          <w:tblCellMar>
            <w:top w:w="0" w:type="dxa"/>
            <w:left w:w="28" w:type="dxa"/>
            <w:bottom w:w="0" w:type="dxa"/>
            <w:right w:w="28" w:type="dxa"/>
          </w:tblCellMar>
        </w:tblPrEx>
        <w:trPr>
          <w:trHeight w:val="69" w:hRule="atLeast"/>
        </w:trPr>
        <w:tc>
          <w:tcPr>
            <w:tcW w:w="155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竞标货币</w:t>
            </w:r>
          </w:p>
        </w:tc>
        <w:tc>
          <w:tcPr>
            <w:tcW w:w="745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sz w:val="24"/>
                <w:lang w:val="zh-CN"/>
              </w:rPr>
            </w:pPr>
            <w:r>
              <w:rPr>
                <w:rFonts w:hint="eastAsia" w:ascii="宋体" w:hAnsi="宋体"/>
                <w:sz w:val="24"/>
                <w:lang w:val="zh-CN"/>
              </w:rPr>
              <w:t>以人民币报价</w:t>
            </w:r>
          </w:p>
        </w:tc>
      </w:tr>
      <w:tr>
        <w:tblPrEx>
          <w:tblLayout w:type="fixed"/>
          <w:tblCellMar>
            <w:top w:w="0" w:type="dxa"/>
            <w:left w:w="28" w:type="dxa"/>
            <w:bottom w:w="0" w:type="dxa"/>
            <w:right w:w="28" w:type="dxa"/>
          </w:tblCellMar>
        </w:tblPrEx>
        <w:trPr>
          <w:trHeight w:val="177" w:hRule="atLeast"/>
        </w:trPr>
        <w:tc>
          <w:tcPr>
            <w:tcW w:w="155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竞标保证金</w:t>
            </w:r>
          </w:p>
        </w:tc>
        <w:tc>
          <w:tcPr>
            <w:tcW w:w="745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sz w:val="24"/>
                <w:lang w:val="zh-CN"/>
              </w:rPr>
            </w:pPr>
            <w:r>
              <w:rPr>
                <w:rFonts w:hint="eastAsia" w:ascii="宋体" w:hAnsi="宋体"/>
                <w:sz w:val="24"/>
                <w:lang w:val="zh-CN"/>
              </w:rPr>
              <w:t>无</w:t>
            </w:r>
          </w:p>
        </w:tc>
      </w:tr>
      <w:tr>
        <w:tblPrEx>
          <w:tblLayout w:type="fixed"/>
          <w:tblCellMar>
            <w:top w:w="0" w:type="dxa"/>
            <w:left w:w="28" w:type="dxa"/>
            <w:bottom w:w="0" w:type="dxa"/>
            <w:right w:w="28" w:type="dxa"/>
          </w:tblCellMar>
        </w:tblPrEx>
        <w:trPr>
          <w:trHeight w:val="69" w:hRule="atLeast"/>
        </w:trPr>
        <w:tc>
          <w:tcPr>
            <w:tcW w:w="155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竞标有效期</w:t>
            </w:r>
          </w:p>
        </w:tc>
        <w:tc>
          <w:tcPr>
            <w:tcW w:w="745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sz w:val="24"/>
                <w:lang w:val="zh-CN"/>
              </w:rPr>
            </w:pPr>
            <w:r>
              <w:rPr>
                <w:rFonts w:hint="eastAsia" w:ascii="宋体" w:hAnsi="宋体"/>
                <w:sz w:val="24"/>
              </w:rPr>
              <w:t>90</w:t>
            </w:r>
            <w:r>
              <w:rPr>
                <w:rFonts w:hint="eastAsia" w:ascii="宋体" w:hAnsi="宋体"/>
                <w:sz w:val="24"/>
                <w:lang w:val="zh-CN"/>
              </w:rPr>
              <w:t>天</w:t>
            </w:r>
          </w:p>
        </w:tc>
      </w:tr>
      <w:tr>
        <w:tblPrEx>
          <w:tblLayout w:type="fixed"/>
          <w:tblCellMar>
            <w:top w:w="0" w:type="dxa"/>
            <w:left w:w="28" w:type="dxa"/>
            <w:bottom w:w="0" w:type="dxa"/>
            <w:right w:w="28" w:type="dxa"/>
          </w:tblCellMar>
        </w:tblPrEx>
        <w:trPr>
          <w:trHeight w:val="69" w:hRule="atLeast"/>
        </w:trPr>
        <w:tc>
          <w:tcPr>
            <w:tcW w:w="155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备选方案</w:t>
            </w:r>
          </w:p>
        </w:tc>
        <w:tc>
          <w:tcPr>
            <w:tcW w:w="745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sz w:val="24"/>
                <w:lang w:val="zh-CN"/>
              </w:rPr>
            </w:pPr>
            <w:r>
              <w:rPr>
                <w:rFonts w:hint="eastAsia" w:ascii="宋体" w:hAnsi="宋体"/>
                <w:sz w:val="24"/>
                <w:lang w:val="zh-CN"/>
              </w:rPr>
              <w:t>本项目不接受备选方案。</w:t>
            </w:r>
          </w:p>
        </w:tc>
      </w:tr>
      <w:tr>
        <w:tblPrEx>
          <w:tblLayout w:type="fixed"/>
          <w:tblCellMar>
            <w:top w:w="0" w:type="dxa"/>
            <w:left w:w="28" w:type="dxa"/>
            <w:bottom w:w="0" w:type="dxa"/>
            <w:right w:w="28" w:type="dxa"/>
          </w:tblCellMar>
        </w:tblPrEx>
        <w:trPr>
          <w:trHeight w:val="69" w:hRule="atLeast"/>
        </w:trPr>
        <w:tc>
          <w:tcPr>
            <w:tcW w:w="155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竞标文件份数</w:t>
            </w:r>
          </w:p>
        </w:tc>
        <w:tc>
          <w:tcPr>
            <w:tcW w:w="745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sz w:val="24"/>
                <w:lang w:val="zh-CN"/>
              </w:rPr>
            </w:pPr>
            <w:r>
              <w:rPr>
                <w:rFonts w:hint="eastAsia" w:ascii="宋体" w:hAnsi="宋体"/>
                <w:sz w:val="24"/>
                <w:lang w:val="zh-CN"/>
              </w:rPr>
              <w:t>正本一份，副本一份。</w:t>
            </w:r>
          </w:p>
        </w:tc>
      </w:tr>
      <w:tr>
        <w:tblPrEx>
          <w:tblLayout w:type="fixed"/>
          <w:tblCellMar>
            <w:top w:w="0" w:type="dxa"/>
            <w:left w:w="28" w:type="dxa"/>
            <w:bottom w:w="0" w:type="dxa"/>
            <w:right w:w="28" w:type="dxa"/>
          </w:tblCellMar>
        </w:tblPrEx>
        <w:trPr>
          <w:cantSplit/>
          <w:trHeight w:val="60" w:hRule="atLeast"/>
        </w:trPr>
        <w:tc>
          <w:tcPr>
            <w:tcW w:w="1555"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竞标文件</w:t>
            </w:r>
          </w:p>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递交地点</w:t>
            </w:r>
          </w:p>
        </w:tc>
        <w:tc>
          <w:tcPr>
            <w:tcW w:w="7455" w:type="dxa"/>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360" w:lineRule="auto"/>
              <w:rPr>
                <w:rFonts w:ascii="宋体" w:hAnsi="宋体"/>
                <w:spacing w:val="-2"/>
                <w:sz w:val="24"/>
              </w:rPr>
            </w:pPr>
            <w:r>
              <w:rPr>
                <w:rFonts w:hint="eastAsia" w:ascii="宋体" w:hAnsi="宋体"/>
                <w:sz w:val="24"/>
                <w:lang w:val="zh-CN"/>
              </w:rPr>
              <w:t>单位：</w:t>
            </w:r>
            <w:r>
              <w:rPr>
                <w:rFonts w:hint="eastAsia" w:ascii="宋体" w:hAnsi="宋体"/>
                <w:spacing w:val="-2"/>
                <w:sz w:val="24"/>
              </w:rPr>
              <w:t>宜昌市城市管理执法支队</w:t>
            </w:r>
          </w:p>
          <w:p>
            <w:pPr>
              <w:autoSpaceDE w:val="0"/>
              <w:autoSpaceDN w:val="0"/>
              <w:adjustRightInd w:val="0"/>
              <w:spacing w:line="360" w:lineRule="auto"/>
              <w:rPr>
                <w:rFonts w:ascii="宋体" w:hAnsi="宋体"/>
                <w:sz w:val="24"/>
              </w:rPr>
            </w:pPr>
            <w:r>
              <w:rPr>
                <w:rFonts w:hint="eastAsia" w:ascii="宋体" w:hAnsi="宋体"/>
                <w:sz w:val="24"/>
                <w:lang w:val="zh-CN"/>
              </w:rPr>
              <w:t>地址：</w:t>
            </w:r>
            <w:r>
              <w:rPr>
                <w:rFonts w:ascii="宋体" w:hAnsi="宋体"/>
                <w:sz w:val="24"/>
              </w:rPr>
              <w:t xml:space="preserve"> </w:t>
            </w:r>
          </w:p>
        </w:tc>
      </w:tr>
      <w:tr>
        <w:tblPrEx>
          <w:tblLayout w:type="fixed"/>
          <w:tblCellMar>
            <w:top w:w="0" w:type="dxa"/>
            <w:left w:w="28" w:type="dxa"/>
            <w:bottom w:w="0" w:type="dxa"/>
            <w:right w:w="28" w:type="dxa"/>
          </w:tblCellMar>
        </w:tblPrEx>
        <w:trPr>
          <w:cantSplit/>
          <w:trHeight w:val="74" w:hRule="atLeast"/>
        </w:trPr>
        <w:tc>
          <w:tcPr>
            <w:tcW w:w="1555"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竞标截止时间</w:t>
            </w:r>
          </w:p>
        </w:tc>
        <w:tc>
          <w:tcPr>
            <w:tcW w:w="7455" w:type="dxa"/>
            <w:tcBorders>
              <w:top w:val="single" w:color="auto" w:sz="4"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sz w:val="24"/>
                <w:lang w:val="zh-CN"/>
              </w:rPr>
            </w:pPr>
            <w:r>
              <w:rPr>
                <w:rFonts w:hint="eastAsia" w:ascii="宋体" w:hAnsi="宋体"/>
                <w:sz w:val="24"/>
                <w:lang w:val="zh-CN"/>
              </w:rPr>
              <w:t>2020年</w:t>
            </w:r>
            <w:r>
              <w:rPr>
                <w:rFonts w:hint="eastAsia" w:ascii="宋体" w:hAnsi="宋体"/>
                <w:sz w:val="24"/>
                <w:lang w:val="en-US" w:eastAsia="zh-CN"/>
              </w:rPr>
              <w:t>8</w:t>
            </w:r>
            <w:r>
              <w:rPr>
                <w:rFonts w:hint="eastAsia" w:ascii="宋体" w:hAnsi="宋体"/>
                <w:sz w:val="24"/>
                <w:lang w:val="zh-CN"/>
              </w:rPr>
              <w:t>月</w:t>
            </w:r>
            <w:r>
              <w:rPr>
                <w:rFonts w:hint="eastAsia" w:ascii="宋体" w:hAnsi="宋体"/>
                <w:sz w:val="24"/>
                <w:lang w:val="en-US" w:eastAsia="zh-CN"/>
              </w:rPr>
              <w:t>12</w:t>
            </w:r>
            <w:r>
              <w:rPr>
                <w:rFonts w:hint="eastAsia" w:ascii="宋体" w:hAnsi="宋体"/>
                <w:sz w:val="24"/>
                <w:lang w:val="zh-CN"/>
              </w:rPr>
              <w:t>日</w:t>
            </w:r>
            <w:r>
              <w:rPr>
                <w:rFonts w:hint="eastAsia" w:ascii="宋体" w:hAnsi="宋体"/>
                <w:sz w:val="24"/>
                <w:lang w:val="en-US" w:eastAsia="zh-CN"/>
              </w:rPr>
              <w:t>9</w:t>
            </w:r>
            <w:r>
              <w:rPr>
                <w:rFonts w:hint="eastAsia" w:ascii="宋体" w:hAnsi="宋体"/>
                <w:sz w:val="24"/>
                <w:lang w:val="zh-CN"/>
              </w:rPr>
              <w:t>点整（北京时间），超过竞标截止时间递交的竞标文件将不予接受。</w:t>
            </w:r>
          </w:p>
        </w:tc>
      </w:tr>
      <w:tr>
        <w:tblPrEx>
          <w:tblLayout w:type="fixed"/>
          <w:tblCellMar>
            <w:top w:w="0" w:type="dxa"/>
            <w:left w:w="28" w:type="dxa"/>
            <w:bottom w:w="0" w:type="dxa"/>
            <w:right w:w="28" w:type="dxa"/>
          </w:tblCellMar>
        </w:tblPrEx>
        <w:trPr>
          <w:trHeight w:val="60" w:hRule="atLeast"/>
        </w:trPr>
        <w:tc>
          <w:tcPr>
            <w:tcW w:w="155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sz w:val="24"/>
                <w:lang w:val="zh-CN"/>
              </w:rPr>
              <w:t>开标（谈判）</w:t>
            </w:r>
          </w:p>
        </w:tc>
        <w:tc>
          <w:tcPr>
            <w:tcW w:w="745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sz w:val="24"/>
                <w:lang w:val="zh-CN"/>
              </w:rPr>
            </w:pPr>
            <w:r>
              <w:rPr>
                <w:rFonts w:hint="eastAsia" w:ascii="宋体" w:hAnsi="宋体"/>
                <w:sz w:val="24"/>
                <w:lang w:val="zh-CN"/>
              </w:rPr>
              <w:t>时间：</w:t>
            </w:r>
            <w:r>
              <w:rPr>
                <w:rFonts w:hint="eastAsia" w:ascii="宋体" w:hAnsi="宋体"/>
                <w:spacing w:val="-2"/>
                <w:sz w:val="24"/>
              </w:rPr>
              <w:t>宜昌市城市管理执法支队</w:t>
            </w:r>
          </w:p>
          <w:p>
            <w:pPr>
              <w:autoSpaceDE w:val="0"/>
              <w:autoSpaceDN w:val="0"/>
              <w:adjustRightInd w:val="0"/>
              <w:spacing w:line="360" w:lineRule="auto"/>
              <w:rPr>
                <w:rFonts w:ascii="宋体" w:hAnsi="宋体"/>
                <w:sz w:val="24"/>
              </w:rPr>
            </w:pPr>
            <w:r>
              <w:rPr>
                <w:rFonts w:hint="eastAsia" w:ascii="宋体" w:hAnsi="宋体"/>
                <w:sz w:val="24"/>
                <w:lang w:val="zh-CN"/>
              </w:rPr>
              <w:t>地点：2020年</w:t>
            </w:r>
            <w:r>
              <w:rPr>
                <w:rFonts w:hint="eastAsia" w:ascii="宋体" w:hAnsi="宋体"/>
                <w:sz w:val="24"/>
                <w:lang w:val="en-US" w:eastAsia="zh-CN"/>
              </w:rPr>
              <w:t>8</w:t>
            </w:r>
            <w:r>
              <w:rPr>
                <w:rFonts w:hint="eastAsia" w:ascii="宋体" w:hAnsi="宋体"/>
                <w:sz w:val="24"/>
                <w:lang w:val="zh-CN"/>
              </w:rPr>
              <w:t>月</w:t>
            </w:r>
            <w:r>
              <w:rPr>
                <w:rFonts w:hint="eastAsia" w:ascii="宋体" w:hAnsi="宋体"/>
                <w:sz w:val="24"/>
                <w:lang w:val="en-US" w:eastAsia="zh-CN"/>
              </w:rPr>
              <w:t>12</w:t>
            </w:r>
            <w:r>
              <w:rPr>
                <w:rFonts w:hint="eastAsia" w:ascii="宋体" w:hAnsi="宋体"/>
                <w:sz w:val="24"/>
                <w:lang w:val="zh-CN"/>
              </w:rPr>
              <w:t>日</w:t>
            </w:r>
            <w:r>
              <w:rPr>
                <w:rFonts w:hint="eastAsia" w:ascii="宋体" w:hAnsi="宋体"/>
                <w:sz w:val="24"/>
                <w:lang w:val="en-US" w:eastAsia="zh-CN"/>
              </w:rPr>
              <w:t>9</w:t>
            </w:r>
            <w:r>
              <w:rPr>
                <w:rFonts w:hint="eastAsia" w:ascii="宋体" w:hAnsi="宋体"/>
                <w:sz w:val="24"/>
                <w:lang w:val="zh-CN"/>
              </w:rPr>
              <w:t>点整</w:t>
            </w:r>
          </w:p>
        </w:tc>
      </w:tr>
      <w:tr>
        <w:tblPrEx>
          <w:tblLayout w:type="fixed"/>
          <w:tblCellMar>
            <w:top w:w="0" w:type="dxa"/>
            <w:left w:w="28" w:type="dxa"/>
            <w:bottom w:w="0" w:type="dxa"/>
            <w:right w:w="28" w:type="dxa"/>
          </w:tblCellMar>
        </w:tblPrEx>
        <w:trPr>
          <w:cantSplit/>
          <w:trHeight w:val="60" w:hRule="atLeast"/>
        </w:trPr>
        <w:tc>
          <w:tcPr>
            <w:tcW w:w="9010" w:type="dxa"/>
            <w:gridSpan w:val="2"/>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sz w:val="24"/>
                <w:lang w:val="zh-CN"/>
              </w:rPr>
            </w:pPr>
            <w:r>
              <w:rPr>
                <w:rFonts w:hint="eastAsia" w:ascii="宋体" w:hAnsi="宋体"/>
                <w:b/>
                <w:sz w:val="24"/>
              </w:rPr>
              <w:t>适用于本竞标人须知其他条款</w:t>
            </w:r>
          </w:p>
        </w:tc>
      </w:tr>
      <w:tr>
        <w:tblPrEx>
          <w:tblLayout w:type="fixed"/>
          <w:tblCellMar>
            <w:top w:w="0" w:type="dxa"/>
            <w:left w:w="28" w:type="dxa"/>
            <w:bottom w:w="0" w:type="dxa"/>
            <w:right w:w="28" w:type="dxa"/>
          </w:tblCellMar>
        </w:tblPrEx>
        <w:trPr>
          <w:cantSplit/>
          <w:trHeight w:val="446" w:hRule="atLeast"/>
        </w:trPr>
        <w:tc>
          <w:tcPr>
            <w:tcW w:w="9010" w:type="dxa"/>
            <w:gridSpan w:val="2"/>
            <w:tcBorders>
              <w:top w:val="single" w:color="auto" w:sz="6" w:space="0"/>
              <w:left w:val="single" w:color="auto" w:sz="12" w:space="0"/>
              <w:bottom w:val="single" w:color="auto" w:sz="12" w:space="0"/>
              <w:right w:val="single" w:color="auto" w:sz="12" w:space="0"/>
            </w:tcBorders>
            <w:vAlign w:val="center"/>
          </w:tcPr>
          <w:p>
            <w:pPr>
              <w:numPr>
                <w:ilvl w:val="0"/>
                <w:numId w:val="5"/>
              </w:numPr>
              <w:autoSpaceDE w:val="0"/>
              <w:autoSpaceDN w:val="0"/>
              <w:adjustRightInd w:val="0"/>
              <w:spacing w:line="360" w:lineRule="auto"/>
              <w:jc w:val="left"/>
              <w:rPr>
                <w:rFonts w:ascii="宋体" w:hAnsi="宋体"/>
                <w:sz w:val="24"/>
                <w:lang w:val="zh-CN"/>
              </w:rPr>
            </w:pPr>
            <w:r>
              <w:rPr>
                <w:rFonts w:hint="eastAsia" w:ascii="宋体" w:hAnsi="宋体"/>
                <w:sz w:val="24"/>
                <w:lang w:val="zh-CN"/>
              </w:rPr>
              <w:t>《中华人民共和国政府采购法》、《中华人民共和国合同法》</w:t>
            </w:r>
          </w:p>
        </w:tc>
      </w:tr>
    </w:tbl>
    <w:p>
      <w:pPr>
        <w:pStyle w:val="5"/>
        <w:numPr>
          <w:ilvl w:val="0"/>
          <w:numId w:val="3"/>
        </w:numPr>
        <w:spacing w:line="240" w:lineRule="auto"/>
        <w:rPr>
          <w:sz w:val="32"/>
          <w:szCs w:val="32"/>
        </w:rPr>
      </w:pPr>
      <w:r>
        <w:br w:type="page"/>
      </w:r>
      <w:bookmarkStart w:id="26" w:name="_Toc40954357"/>
      <w:r>
        <w:rPr>
          <w:rFonts w:hint="eastAsia" w:ascii="宋体" w:hAnsi="宋体" w:eastAsia="宋体"/>
          <w:sz w:val="32"/>
          <w:szCs w:val="32"/>
        </w:rPr>
        <w:t>竞标人须知</w:t>
      </w:r>
      <w:bookmarkEnd w:id="26"/>
    </w:p>
    <w:p>
      <w:pPr>
        <w:spacing w:line="360" w:lineRule="auto"/>
        <w:rPr>
          <w:rFonts w:ascii="宋体" w:hAnsi="宋体"/>
          <w:sz w:val="24"/>
        </w:rPr>
      </w:pPr>
    </w:p>
    <w:p>
      <w:pPr>
        <w:numPr>
          <w:ilvl w:val="1"/>
          <w:numId w:val="6"/>
        </w:numPr>
        <w:tabs>
          <w:tab w:val="left" w:pos="540"/>
          <w:tab w:val="clear" w:pos="840"/>
        </w:tabs>
        <w:spacing w:line="360" w:lineRule="auto"/>
        <w:ind w:left="540" w:hanging="540"/>
        <w:rPr>
          <w:rFonts w:ascii="宋体" w:hAnsi="宋体"/>
          <w:sz w:val="24"/>
        </w:rPr>
      </w:pPr>
      <w:r>
        <w:rPr>
          <w:rFonts w:hint="eastAsia" w:ascii="宋体" w:hAnsi="宋体"/>
          <w:sz w:val="24"/>
        </w:rPr>
        <w:t>总  则</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适用范围</w:t>
      </w:r>
    </w:p>
    <w:p>
      <w:pPr>
        <w:numPr>
          <w:ilvl w:val="1"/>
          <w:numId w:val="8"/>
        </w:numPr>
        <w:tabs>
          <w:tab w:val="left" w:pos="540"/>
          <w:tab w:val="clear" w:pos="360"/>
        </w:tabs>
        <w:spacing w:line="360" w:lineRule="auto"/>
        <w:ind w:left="540" w:hanging="540"/>
        <w:rPr>
          <w:rFonts w:ascii="宋体" w:hAnsi="宋体"/>
          <w:sz w:val="24"/>
        </w:rPr>
      </w:pPr>
      <w:r>
        <w:rPr>
          <w:rFonts w:hint="eastAsia" w:ascii="宋体" w:hAnsi="宋体"/>
          <w:sz w:val="24"/>
        </w:rPr>
        <w:t>本谈判书仅适用于本谈判书中所叙述的项目。</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参加谈判的基本条件</w:t>
      </w:r>
    </w:p>
    <w:p>
      <w:pPr>
        <w:spacing w:line="360" w:lineRule="auto"/>
        <w:rPr>
          <w:rFonts w:ascii="宋体" w:hAnsi="宋体"/>
          <w:sz w:val="24"/>
        </w:rPr>
      </w:pPr>
      <w:r>
        <w:rPr>
          <w:rFonts w:hint="eastAsia" w:ascii="宋体" w:hAnsi="宋体"/>
          <w:sz w:val="24"/>
        </w:rPr>
        <w:t>具体详见本文件第一章第二款要求</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 xml:space="preserve">谈判费用  </w:t>
      </w:r>
    </w:p>
    <w:p>
      <w:pPr>
        <w:numPr>
          <w:ilvl w:val="1"/>
          <w:numId w:val="9"/>
        </w:numPr>
        <w:tabs>
          <w:tab w:val="left" w:pos="540"/>
          <w:tab w:val="clear" w:pos="780"/>
        </w:tabs>
        <w:spacing w:line="360" w:lineRule="auto"/>
        <w:ind w:left="540" w:hanging="540"/>
        <w:rPr>
          <w:rFonts w:ascii="宋体" w:hAnsi="宋体"/>
          <w:sz w:val="24"/>
        </w:rPr>
      </w:pPr>
      <w:r>
        <w:rPr>
          <w:rFonts w:hint="eastAsia" w:ascii="宋体" w:hAnsi="宋体"/>
          <w:sz w:val="24"/>
        </w:rPr>
        <w:t>参加谈判的竞标人应自行承担所有与编写和提交谈判文件有关的费用，不论结果如何，采购人和代理机构在任何情况下无义务和责任承担这些费用。</w:t>
      </w:r>
    </w:p>
    <w:p>
      <w:pPr>
        <w:numPr>
          <w:ilvl w:val="1"/>
          <w:numId w:val="6"/>
        </w:numPr>
        <w:tabs>
          <w:tab w:val="left" w:pos="540"/>
        </w:tabs>
        <w:spacing w:line="360" w:lineRule="auto"/>
        <w:ind w:left="540" w:hanging="540"/>
        <w:rPr>
          <w:rFonts w:ascii="宋体" w:hAnsi="宋体"/>
          <w:sz w:val="24"/>
        </w:rPr>
      </w:pPr>
      <w:r>
        <w:rPr>
          <w:rFonts w:hint="eastAsia" w:ascii="宋体" w:hAnsi="宋体"/>
          <w:sz w:val="24"/>
        </w:rPr>
        <w:t>报价文件的编制</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报价文件编制基本要求</w:t>
      </w:r>
    </w:p>
    <w:p>
      <w:pPr>
        <w:numPr>
          <w:ilvl w:val="1"/>
          <w:numId w:val="10"/>
        </w:numPr>
        <w:tabs>
          <w:tab w:val="left" w:pos="540"/>
          <w:tab w:val="clear" w:pos="780"/>
        </w:tabs>
        <w:spacing w:line="360" w:lineRule="auto"/>
        <w:ind w:left="540" w:hanging="540"/>
        <w:rPr>
          <w:rFonts w:ascii="宋体" w:hAnsi="宋体"/>
          <w:sz w:val="24"/>
        </w:rPr>
      </w:pPr>
      <w:r>
        <w:rPr>
          <w:rFonts w:hint="eastAsia" w:ascii="宋体" w:hAnsi="宋体"/>
          <w:sz w:val="24"/>
        </w:rPr>
        <w:t>参加谈判的竞标人应认真阅读、充分理解本谈判书的全部内容（包括所有的补充、修改内容），并保证所提供的全部资料的真实性，以便其报价文件对谈判书作出实质性响应。否则，其竞投可能被拒绝。</w:t>
      </w:r>
    </w:p>
    <w:p>
      <w:pPr>
        <w:numPr>
          <w:ilvl w:val="1"/>
          <w:numId w:val="10"/>
        </w:numPr>
        <w:tabs>
          <w:tab w:val="left" w:pos="540"/>
          <w:tab w:val="clear" w:pos="780"/>
        </w:tabs>
        <w:spacing w:line="360" w:lineRule="auto"/>
        <w:ind w:left="540" w:hanging="540"/>
        <w:rPr>
          <w:rFonts w:ascii="宋体" w:hAnsi="宋体"/>
          <w:sz w:val="24"/>
        </w:rPr>
      </w:pPr>
      <w:r>
        <w:rPr>
          <w:rFonts w:hint="eastAsia" w:ascii="宋体" w:hAnsi="宋体"/>
          <w:sz w:val="24"/>
        </w:rPr>
        <w:t>报价文件应按本谈判书的全部内容，包括所有的补充通知及附件进行编制。</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报价文件语言及计量单位</w:t>
      </w:r>
    </w:p>
    <w:p>
      <w:pPr>
        <w:numPr>
          <w:ilvl w:val="1"/>
          <w:numId w:val="11"/>
        </w:numPr>
        <w:tabs>
          <w:tab w:val="left" w:pos="540"/>
          <w:tab w:val="clear" w:pos="780"/>
        </w:tabs>
        <w:spacing w:line="360" w:lineRule="auto"/>
        <w:ind w:left="540" w:hanging="540"/>
        <w:rPr>
          <w:rFonts w:ascii="宋体" w:hAnsi="宋体"/>
          <w:sz w:val="24"/>
        </w:rPr>
      </w:pPr>
      <w:r>
        <w:rPr>
          <w:rFonts w:hint="eastAsia" w:ascii="宋体" w:hAnsi="宋体"/>
          <w:sz w:val="24"/>
        </w:rPr>
        <w:t>报价文件及交付的文件，应采用中文文字。</w:t>
      </w:r>
    </w:p>
    <w:p>
      <w:pPr>
        <w:numPr>
          <w:ilvl w:val="1"/>
          <w:numId w:val="11"/>
        </w:numPr>
        <w:tabs>
          <w:tab w:val="left" w:pos="540"/>
          <w:tab w:val="clear" w:pos="780"/>
        </w:tabs>
        <w:spacing w:line="360" w:lineRule="auto"/>
        <w:ind w:left="540" w:hanging="540"/>
        <w:rPr>
          <w:rFonts w:ascii="宋体" w:hAnsi="宋体"/>
          <w:sz w:val="24"/>
        </w:rPr>
      </w:pPr>
      <w:r>
        <w:rPr>
          <w:rFonts w:hint="eastAsia" w:ascii="宋体" w:hAnsi="宋体"/>
          <w:sz w:val="24"/>
        </w:rPr>
        <w:t>除谈判书的技术规格中另有规定外，计量单位应使用中华人民共和国法定计量单位。</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报价文件的顺序及组成</w:t>
      </w:r>
    </w:p>
    <w:p>
      <w:pPr>
        <w:numPr>
          <w:ilvl w:val="1"/>
          <w:numId w:val="12"/>
        </w:numPr>
        <w:tabs>
          <w:tab w:val="left" w:pos="540"/>
          <w:tab w:val="clear" w:pos="780"/>
        </w:tabs>
        <w:spacing w:line="360" w:lineRule="auto"/>
        <w:ind w:left="540" w:hanging="540"/>
        <w:rPr>
          <w:rFonts w:ascii="宋体" w:hAnsi="宋体"/>
          <w:sz w:val="24"/>
        </w:rPr>
      </w:pPr>
      <w:r>
        <w:rPr>
          <w:rFonts w:hint="eastAsia" w:ascii="宋体" w:hAnsi="宋体"/>
          <w:sz w:val="24"/>
        </w:rPr>
        <w:t>竞标函及其附表</w:t>
      </w:r>
    </w:p>
    <w:p>
      <w:pPr>
        <w:numPr>
          <w:ilvl w:val="1"/>
          <w:numId w:val="12"/>
        </w:numPr>
        <w:tabs>
          <w:tab w:val="left" w:pos="540"/>
          <w:tab w:val="clear" w:pos="780"/>
        </w:tabs>
        <w:spacing w:line="360" w:lineRule="auto"/>
        <w:ind w:left="540" w:hanging="540"/>
        <w:rPr>
          <w:rFonts w:ascii="宋体" w:hAnsi="宋体"/>
          <w:sz w:val="24"/>
        </w:rPr>
      </w:pPr>
      <w:r>
        <w:rPr>
          <w:rFonts w:hint="eastAsia" w:ascii="宋体" w:hAnsi="宋体"/>
          <w:sz w:val="24"/>
        </w:rPr>
        <w:t>法定代表人资格证明书和法定代表人授权委托书（如有授权）</w:t>
      </w:r>
    </w:p>
    <w:p>
      <w:pPr>
        <w:numPr>
          <w:ilvl w:val="1"/>
          <w:numId w:val="12"/>
        </w:numPr>
        <w:tabs>
          <w:tab w:val="left" w:pos="540"/>
          <w:tab w:val="clear" w:pos="780"/>
        </w:tabs>
        <w:spacing w:line="360" w:lineRule="auto"/>
        <w:ind w:left="540" w:hanging="540"/>
        <w:rPr>
          <w:rFonts w:ascii="宋体" w:hAnsi="宋体"/>
          <w:sz w:val="24"/>
        </w:rPr>
      </w:pPr>
      <w:r>
        <w:rPr>
          <w:rFonts w:hint="eastAsia" w:ascii="宋体" w:hAnsi="宋体"/>
          <w:sz w:val="24"/>
        </w:rPr>
        <w:t>报价表</w:t>
      </w:r>
    </w:p>
    <w:p>
      <w:pPr>
        <w:numPr>
          <w:ilvl w:val="1"/>
          <w:numId w:val="12"/>
        </w:numPr>
        <w:tabs>
          <w:tab w:val="left" w:pos="540"/>
          <w:tab w:val="clear" w:pos="780"/>
        </w:tabs>
        <w:spacing w:line="360" w:lineRule="auto"/>
        <w:ind w:left="540" w:hanging="540"/>
        <w:rPr>
          <w:rFonts w:ascii="宋体" w:hAnsi="宋体"/>
          <w:sz w:val="24"/>
        </w:rPr>
      </w:pPr>
      <w:r>
        <w:rPr>
          <w:rFonts w:hint="eastAsia" w:ascii="宋体" w:hAnsi="宋体"/>
          <w:sz w:val="24"/>
        </w:rPr>
        <w:t>保证金</w:t>
      </w:r>
    </w:p>
    <w:p>
      <w:pPr>
        <w:numPr>
          <w:ilvl w:val="1"/>
          <w:numId w:val="12"/>
        </w:numPr>
        <w:tabs>
          <w:tab w:val="left" w:pos="540"/>
          <w:tab w:val="clear" w:pos="780"/>
        </w:tabs>
        <w:spacing w:line="360" w:lineRule="auto"/>
        <w:ind w:left="540" w:hanging="540"/>
        <w:rPr>
          <w:rFonts w:ascii="宋体" w:hAnsi="宋体"/>
          <w:sz w:val="24"/>
        </w:rPr>
      </w:pPr>
      <w:r>
        <w:rPr>
          <w:rFonts w:hint="eastAsia" w:ascii="宋体" w:hAnsi="宋体"/>
          <w:sz w:val="24"/>
        </w:rPr>
        <w:t>资格证明文件</w:t>
      </w:r>
    </w:p>
    <w:p>
      <w:pPr>
        <w:numPr>
          <w:ilvl w:val="1"/>
          <w:numId w:val="12"/>
        </w:numPr>
        <w:tabs>
          <w:tab w:val="left" w:pos="540"/>
          <w:tab w:val="clear" w:pos="780"/>
        </w:tabs>
        <w:spacing w:line="360" w:lineRule="auto"/>
        <w:ind w:left="540" w:hanging="540"/>
        <w:rPr>
          <w:rFonts w:ascii="宋体" w:hAnsi="宋体"/>
          <w:sz w:val="24"/>
        </w:rPr>
      </w:pPr>
      <w:r>
        <w:rPr>
          <w:rFonts w:hint="eastAsia" w:ascii="宋体" w:hAnsi="宋体"/>
          <w:sz w:val="24"/>
        </w:rPr>
        <w:t>技术服务内容及优惠服务范围</w:t>
      </w:r>
    </w:p>
    <w:p>
      <w:pPr>
        <w:tabs>
          <w:tab w:val="left" w:pos="540"/>
        </w:tabs>
        <w:spacing w:line="360" w:lineRule="auto"/>
        <w:ind w:left="540" w:hanging="540"/>
        <w:rPr>
          <w:rFonts w:ascii="宋体" w:hAnsi="宋体"/>
          <w:sz w:val="24"/>
        </w:rPr>
      </w:pPr>
      <w:r>
        <w:rPr>
          <w:rFonts w:hint="eastAsia" w:ascii="宋体" w:hAnsi="宋体"/>
          <w:sz w:val="24"/>
        </w:rPr>
        <w:t>备注：报价文件应装订成册</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 xml:space="preserve">报价 </w:t>
      </w:r>
    </w:p>
    <w:p>
      <w:pPr>
        <w:numPr>
          <w:ilvl w:val="1"/>
          <w:numId w:val="13"/>
        </w:numPr>
        <w:tabs>
          <w:tab w:val="left" w:pos="540"/>
          <w:tab w:val="clear" w:pos="780"/>
        </w:tabs>
        <w:spacing w:line="360" w:lineRule="auto"/>
        <w:ind w:left="540" w:hanging="540"/>
        <w:rPr>
          <w:rFonts w:ascii="宋体" w:hAnsi="宋体"/>
          <w:sz w:val="24"/>
        </w:rPr>
      </w:pPr>
      <w:r>
        <w:rPr>
          <w:rFonts w:hint="eastAsia" w:ascii="宋体" w:hAnsi="宋体"/>
          <w:sz w:val="24"/>
        </w:rPr>
        <w:t>货币：以人民币报价。</w:t>
      </w:r>
    </w:p>
    <w:p>
      <w:pPr>
        <w:numPr>
          <w:ilvl w:val="1"/>
          <w:numId w:val="13"/>
        </w:numPr>
        <w:tabs>
          <w:tab w:val="left" w:pos="540"/>
          <w:tab w:val="clear" w:pos="780"/>
        </w:tabs>
        <w:spacing w:line="360" w:lineRule="auto"/>
        <w:ind w:left="540" w:hanging="540"/>
        <w:rPr>
          <w:rFonts w:ascii="宋体" w:hAnsi="宋体"/>
          <w:sz w:val="24"/>
        </w:rPr>
      </w:pPr>
      <w:r>
        <w:rPr>
          <w:rFonts w:hint="eastAsia" w:ascii="宋体" w:hAnsi="宋体"/>
          <w:sz w:val="24"/>
        </w:rPr>
        <w:t>竞标报价方式：</w:t>
      </w:r>
    </w:p>
    <w:p>
      <w:pPr>
        <w:numPr>
          <w:ilvl w:val="2"/>
          <w:numId w:val="13"/>
        </w:numPr>
        <w:tabs>
          <w:tab w:val="left" w:pos="540"/>
        </w:tabs>
        <w:spacing w:line="360" w:lineRule="auto"/>
        <w:ind w:left="540" w:hanging="540"/>
        <w:rPr>
          <w:rFonts w:ascii="宋体" w:hAnsi="宋体"/>
          <w:sz w:val="24"/>
        </w:rPr>
      </w:pPr>
      <w:r>
        <w:rPr>
          <w:rFonts w:hint="eastAsia" w:ascii="宋体" w:hAnsi="宋体"/>
          <w:sz w:val="24"/>
        </w:rPr>
        <w:t>竞标人</w:t>
      </w:r>
      <w:r>
        <w:rPr>
          <w:rFonts w:ascii="宋体" w:hAnsi="宋体"/>
          <w:sz w:val="24"/>
        </w:rPr>
        <w:t>在本次竞争性谈判的报价应为</w:t>
      </w:r>
      <w:r>
        <w:rPr>
          <w:rFonts w:hint="eastAsia" w:ascii="宋体" w:hAnsi="宋体"/>
          <w:sz w:val="24"/>
        </w:rPr>
        <w:t>包干价</w:t>
      </w:r>
      <w:r>
        <w:rPr>
          <w:rFonts w:ascii="宋体" w:hAnsi="宋体"/>
          <w:sz w:val="24"/>
        </w:rPr>
        <w:t>，</w:t>
      </w:r>
      <w:r>
        <w:rPr>
          <w:rFonts w:hint="eastAsia" w:ascii="宋体" w:hAnsi="宋体"/>
          <w:sz w:val="24"/>
        </w:rPr>
        <w:t>竞标人应根据本招标文件的规定、市场生产要素价格水平及其走势、竞标人自身的管理水平和实力等准备自己的投标报价。但竞标人不得以低于其企业成本的竞标报价竞标。</w:t>
      </w:r>
    </w:p>
    <w:p>
      <w:pPr>
        <w:numPr>
          <w:ilvl w:val="2"/>
          <w:numId w:val="13"/>
        </w:numPr>
        <w:tabs>
          <w:tab w:val="left" w:pos="540"/>
        </w:tabs>
        <w:spacing w:line="360" w:lineRule="auto"/>
        <w:ind w:left="540" w:hanging="540"/>
        <w:rPr>
          <w:rFonts w:ascii="宋体" w:hAnsi="宋体"/>
          <w:sz w:val="24"/>
        </w:rPr>
      </w:pPr>
      <w:r>
        <w:rPr>
          <w:rFonts w:ascii="宋体" w:hAnsi="宋体"/>
          <w:sz w:val="24"/>
        </w:rPr>
        <w:t>以</w:t>
      </w:r>
      <w:r>
        <w:rPr>
          <w:rFonts w:hint="eastAsia" w:ascii="宋体" w:hAnsi="宋体"/>
          <w:sz w:val="24"/>
        </w:rPr>
        <w:t>人民币</w:t>
      </w:r>
      <w:r>
        <w:rPr>
          <w:rFonts w:ascii="宋体" w:hAnsi="宋体"/>
          <w:sz w:val="24"/>
        </w:rPr>
        <w:t>为报价货币，提供正式的税务发票，并承诺在协议供货期内实际采购时的成交价不高于此报价。</w:t>
      </w:r>
    </w:p>
    <w:p>
      <w:pPr>
        <w:numPr>
          <w:ilvl w:val="1"/>
          <w:numId w:val="13"/>
        </w:numPr>
        <w:tabs>
          <w:tab w:val="left" w:pos="540"/>
          <w:tab w:val="clear" w:pos="780"/>
        </w:tabs>
        <w:spacing w:line="360" w:lineRule="auto"/>
        <w:ind w:left="540" w:hanging="540"/>
        <w:rPr>
          <w:rFonts w:ascii="宋体" w:hAnsi="宋体"/>
          <w:sz w:val="24"/>
        </w:rPr>
      </w:pPr>
      <w:r>
        <w:rPr>
          <w:rFonts w:hint="eastAsia" w:ascii="宋体" w:hAnsi="宋体"/>
          <w:sz w:val="24"/>
        </w:rPr>
        <w:t>报价表上，应标明各项的单价和总价。若单价和数量的乘积与总价不符，则以总价为准。</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资格证明文件</w:t>
      </w:r>
    </w:p>
    <w:p>
      <w:pPr>
        <w:numPr>
          <w:ilvl w:val="1"/>
          <w:numId w:val="14"/>
        </w:numPr>
        <w:tabs>
          <w:tab w:val="left" w:pos="540"/>
          <w:tab w:val="clear" w:pos="780"/>
        </w:tabs>
        <w:spacing w:line="360" w:lineRule="auto"/>
        <w:ind w:left="540" w:hanging="540"/>
        <w:rPr>
          <w:rFonts w:ascii="宋体" w:hAnsi="宋体"/>
          <w:sz w:val="24"/>
        </w:rPr>
      </w:pPr>
      <w:r>
        <w:rPr>
          <w:rFonts w:hint="eastAsia" w:ascii="宋体" w:hAnsi="宋体"/>
          <w:sz w:val="24"/>
        </w:rPr>
        <w:t>资格证明文件是证明或说明企业有资格和有能力履行合同的文件。</w:t>
      </w:r>
    </w:p>
    <w:p>
      <w:pPr>
        <w:numPr>
          <w:ilvl w:val="1"/>
          <w:numId w:val="14"/>
        </w:numPr>
        <w:tabs>
          <w:tab w:val="left" w:pos="540"/>
          <w:tab w:val="clear" w:pos="780"/>
        </w:tabs>
        <w:spacing w:line="360" w:lineRule="auto"/>
        <w:ind w:left="540" w:hanging="540"/>
        <w:rPr>
          <w:rFonts w:ascii="宋体" w:hAnsi="宋体"/>
          <w:sz w:val="24"/>
        </w:rPr>
      </w:pPr>
      <w:r>
        <w:rPr>
          <w:rFonts w:hint="eastAsia" w:ascii="宋体" w:hAnsi="宋体"/>
          <w:sz w:val="24"/>
        </w:rPr>
        <w:t>资格证明文件应包括：营业执照、组织机构代码证、税务登记证、参与本次项目人员相关专业证书及其他资质、资格证书等。资格证明文件必须真实可靠并在有效期内、不得伪造。</w:t>
      </w:r>
    </w:p>
    <w:p>
      <w:pPr>
        <w:numPr>
          <w:ilvl w:val="1"/>
          <w:numId w:val="14"/>
        </w:numPr>
        <w:tabs>
          <w:tab w:val="left" w:pos="540"/>
          <w:tab w:val="clear" w:pos="780"/>
        </w:tabs>
        <w:spacing w:line="360" w:lineRule="auto"/>
        <w:ind w:left="540" w:hanging="540"/>
        <w:rPr>
          <w:rFonts w:ascii="宋体" w:hAnsi="宋体"/>
          <w:sz w:val="24"/>
        </w:rPr>
      </w:pPr>
      <w:r>
        <w:rPr>
          <w:rFonts w:hint="eastAsia" w:ascii="宋体" w:hAnsi="宋体"/>
          <w:sz w:val="24"/>
        </w:rPr>
        <w:t>竞标文件正本中资格证明文件应为原件复印件，并加盖公章，以便评审时进行核查。</w:t>
      </w:r>
    </w:p>
    <w:p>
      <w:pPr>
        <w:numPr>
          <w:ilvl w:val="1"/>
          <w:numId w:val="14"/>
        </w:numPr>
        <w:tabs>
          <w:tab w:val="left" w:pos="540"/>
          <w:tab w:val="clear" w:pos="780"/>
        </w:tabs>
        <w:spacing w:line="360" w:lineRule="auto"/>
        <w:ind w:left="540" w:hanging="540"/>
        <w:rPr>
          <w:rFonts w:ascii="宋体" w:hAnsi="宋体"/>
          <w:sz w:val="24"/>
        </w:rPr>
      </w:pPr>
      <w:r>
        <w:rPr>
          <w:rFonts w:hint="eastAsia" w:ascii="宋体" w:hAnsi="宋体"/>
          <w:sz w:val="24"/>
        </w:rPr>
        <w:t>竞标人对自己所提供的资格证明材料的真实性负责，无论何时，如发现竞标人提供了虚假的资格证明材料，将按照《中华人民共和国政府采购法》及《竞争性谈判文件》的有关规定进行严肃处理，并在相关网站上进行通报。</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 xml:space="preserve">报价文件的份数和签署 </w:t>
      </w:r>
    </w:p>
    <w:p>
      <w:pPr>
        <w:numPr>
          <w:ilvl w:val="1"/>
          <w:numId w:val="15"/>
        </w:numPr>
        <w:tabs>
          <w:tab w:val="left" w:pos="540"/>
        </w:tabs>
        <w:spacing w:line="360" w:lineRule="auto"/>
        <w:ind w:left="540" w:hanging="540"/>
        <w:rPr>
          <w:rFonts w:ascii="宋体" w:hAnsi="宋体"/>
          <w:sz w:val="24"/>
        </w:rPr>
      </w:pPr>
      <w:r>
        <w:rPr>
          <w:rFonts w:hint="eastAsia" w:ascii="宋体" w:hAnsi="宋体"/>
          <w:sz w:val="24"/>
        </w:rPr>
        <w:t>报价文件封面必须打印并由竞标人法人代表或经法人正式授权的代表签字，加盖公章。授权代表须将以书面形式出具的“法人代表授权书”附在报价文件内。</w:t>
      </w:r>
    </w:p>
    <w:p>
      <w:pPr>
        <w:numPr>
          <w:ilvl w:val="1"/>
          <w:numId w:val="15"/>
        </w:numPr>
        <w:tabs>
          <w:tab w:val="left" w:pos="540"/>
        </w:tabs>
        <w:spacing w:line="360" w:lineRule="auto"/>
        <w:ind w:left="540" w:hanging="540"/>
        <w:rPr>
          <w:rFonts w:ascii="宋体" w:hAnsi="宋体"/>
          <w:sz w:val="24"/>
        </w:rPr>
      </w:pPr>
      <w:r>
        <w:rPr>
          <w:rFonts w:hint="eastAsia" w:ascii="宋体" w:hAnsi="宋体"/>
          <w:sz w:val="24"/>
        </w:rPr>
        <w:t xml:space="preserve">竞标文件的递交要求见竞标人须知前附表。每份报价文件须清楚地标明“正本”或“副本”字样。一旦正本和副本有差异，以正本为准。  </w:t>
      </w:r>
    </w:p>
    <w:p>
      <w:pPr>
        <w:numPr>
          <w:ilvl w:val="1"/>
          <w:numId w:val="15"/>
        </w:numPr>
        <w:tabs>
          <w:tab w:val="left" w:pos="540"/>
        </w:tabs>
        <w:spacing w:line="360" w:lineRule="auto"/>
        <w:ind w:left="540" w:hanging="540"/>
        <w:rPr>
          <w:rFonts w:ascii="宋体" w:hAnsi="宋体"/>
          <w:sz w:val="24"/>
        </w:rPr>
      </w:pPr>
      <w:r>
        <w:rPr>
          <w:rFonts w:hint="eastAsia" w:ascii="宋体" w:hAnsi="宋体"/>
          <w:sz w:val="24"/>
        </w:rPr>
        <w:t xml:space="preserve">报价文件不得行间插字、涂改和增删,如有修改错漏处，必须有报价书的签字人签字和盖章。 </w:t>
      </w:r>
    </w:p>
    <w:p>
      <w:pPr>
        <w:numPr>
          <w:ilvl w:val="1"/>
          <w:numId w:val="15"/>
        </w:numPr>
        <w:tabs>
          <w:tab w:val="left" w:pos="540"/>
        </w:tabs>
        <w:spacing w:line="360" w:lineRule="auto"/>
        <w:ind w:left="540" w:hanging="540"/>
        <w:rPr>
          <w:rFonts w:ascii="宋体" w:hAnsi="宋体"/>
          <w:sz w:val="24"/>
        </w:rPr>
      </w:pPr>
      <w:r>
        <w:rPr>
          <w:rFonts w:hint="eastAsia" w:ascii="宋体" w:hAnsi="宋体"/>
          <w:sz w:val="24"/>
        </w:rPr>
        <w:t>以电话、电报、传真形式递送报价书的概不接收。</w:t>
      </w:r>
    </w:p>
    <w:p>
      <w:pPr>
        <w:tabs>
          <w:tab w:val="left" w:pos="540"/>
        </w:tabs>
        <w:spacing w:line="360" w:lineRule="auto"/>
        <w:ind w:left="540" w:firstLine="480" w:firstLineChars="200"/>
        <w:rPr>
          <w:rFonts w:ascii="宋体" w:hAnsi="宋体"/>
          <w:sz w:val="24"/>
        </w:rPr>
      </w:pPr>
    </w:p>
    <w:p>
      <w:pPr>
        <w:numPr>
          <w:ilvl w:val="1"/>
          <w:numId w:val="6"/>
        </w:numPr>
        <w:tabs>
          <w:tab w:val="left" w:pos="540"/>
        </w:tabs>
        <w:spacing w:line="360" w:lineRule="auto"/>
        <w:ind w:left="540" w:hanging="540"/>
        <w:rPr>
          <w:rFonts w:ascii="宋体" w:hAnsi="宋体"/>
          <w:sz w:val="24"/>
        </w:rPr>
      </w:pPr>
      <w:r>
        <w:rPr>
          <w:rFonts w:hint="eastAsia" w:ascii="宋体" w:hAnsi="宋体"/>
          <w:sz w:val="24"/>
        </w:rPr>
        <w:t>报价文件的递交</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 xml:space="preserve">报价文件的密封和标记 </w:t>
      </w:r>
    </w:p>
    <w:p>
      <w:pPr>
        <w:numPr>
          <w:ilvl w:val="1"/>
          <w:numId w:val="16"/>
        </w:numPr>
        <w:tabs>
          <w:tab w:val="left" w:pos="540"/>
          <w:tab w:val="left" w:pos="900"/>
          <w:tab w:val="clear" w:pos="840"/>
        </w:tabs>
        <w:spacing w:line="360" w:lineRule="auto"/>
        <w:ind w:left="540" w:hanging="540"/>
        <w:rPr>
          <w:rFonts w:ascii="宋体" w:hAnsi="宋体"/>
          <w:sz w:val="24"/>
        </w:rPr>
      </w:pPr>
      <w:r>
        <w:rPr>
          <w:rFonts w:hint="eastAsia" w:ascii="宋体" w:hAnsi="宋体"/>
          <w:sz w:val="24"/>
        </w:rPr>
        <w:t xml:space="preserve">竞标人应将报价文件正本和副本分别装入信封加以密封。 </w:t>
      </w:r>
    </w:p>
    <w:p>
      <w:pPr>
        <w:numPr>
          <w:ilvl w:val="1"/>
          <w:numId w:val="16"/>
        </w:numPr>
        <w:tabs>
          <w:tab w:val="left" w:pos="540"/>
        </w:tabs>
        <w:spacing w:line="360" w:lineRule="auto"/>
        <w:ind w:left="540" w:hanging="540"/>
        <w:rPr>
          <w:rFonts w:ascii="宋体" w:hAnsi="宋体"/>
          <w:sz w:val="24"/>
        </w:rPr>
      </w:pPr>
      <w:r>
        <w:rPr>
          <w:rFonts w:hint="eastAsia" w:ascii="宋体" w:hAnsi="宋体"/>
          <w:sz w:val="24"/>
        </w:rPr>
        <w:t>装报价文件的信封上应写明：</w:t>
      </w:r>
    </w:p>
    <w:p>
      <w:pPr>
        <w:numPr>
          <w:ilvl w:val="2"/>
          <w:numId w:val="16"/>
        </w:numPr>
        <w:tabs>
          <w:tab w:val="left" w:pos="540"/>
          <w:tab w:val="left" w:pos="900"/>
          <w:tab w:val="clear" w:pos="1094"/>
        </w:tabs>
        <w:spacing w:line="360" w:lineRule="auto"/>
        <w:ind w:left="540" w:hanging="540"/>
        <w:rPr>
          <w:rFonts w:ascii="宋体" w:hAnsi="宋体"/>
          <w:sz w:val="24"/>
        </w:rPr>
      </w:pPr>
      <w:r>
        <w:rPr>
          <w:rFonts w:hint="eastAsia" w:ascii="宋体" w:hAnsi="宋体"/>
          <w:sz w:val="24"/>
        </w:rPr>
        <w:t>投标人：XXX</w:t>
      </w:r>
    </w:p>
    <w:p>
      <w:pPr>
        <w:numPr>
          <w:ilvl w:val="2"/>
          <w:numId w:val="16"/>
        </w:numPr>
        <w:tabs>
          <w:tab w:val="left" w:pos="540"/>
          <w:tab w:val="left" w:pos="900"/>
          <w:tab w:val="clear" w:pos="1094"/>
        </w:tabs>
        <w:spacing w:line="360" w:lineRule="auto"/>
        <w:ind w:left="540" w:hanging="540"/>
        <w:rPr>
          <w:rFonts w:ascii="宋体" w:hAnsi="宋体"/>
          <w:sz w:val="24"/>
        </w:rPr>
      </w:pPr>
      <w:r>
        <w:rPr>
          <w:rFonts w:hint="eastAsia" w:ascii="宋体" w:hAnsi="宋体"/>
          <w:sz w:val="24"/>
        </w:rPr>
        <w:t xml:space="preserve">地 </w:t>
      </w:r>
      <w:r>
        <w:rPr>
          <w:rFonts w:ascii="宋体" w:hAnsi="宋体"/>
          <w:sz w:val="24"/>
        </w:rPr>
        <w:t xml:space="preserve"> </w:t>
      </w:r>
      <w:r>
        <w:rPr>
          <w:rFonts w:hint="eastAsia" w:ascii="宋体" w:hAnsi="宋体"/>
          <w:sz w:val="24"/>
        </w:rPr>
        <w:t>址：XXX</w:t>
      </w:r>
    </w:p>
    <w:p>
      <w:pPr>
        <w:numPr>
          <w:ilvl w:val="2"/>
          <w:numId w:val="16"/>
        </w:numPr>
        <w:tabs>
          <w:tab w:val="left" w:pos="540"/>
          <w:tab w:val="left" w:pos="900"/>
          <w:tab w:val="clear" w:pos="1094"/>
        </w:tabs>
        <w:spacing w:line="360" w:lineRule="auto"/>
        <w:ind w:left="540" w:hanging="540"/>
        <w:rPr>
          <w:rFonts w:ascii="宋体" w:hAnsi="宋体"/>
          <w:sz w:val="24"/>
        </w:rPr>
      </w:pPr>
      <w:r>
        <w:rPr>
          <w:rFonts w:hint="eastAsia" w:ascii="宋体" w:hAnsi="宋体"/>
          <w:sz w:val="24"/>
        </w:rPr>
        <w:t>谈判书编号</w:t>
      </w:r>
    </w:p>
    <w:p>
      <w:pPr>
        <w:numPr>
          <w:ilvl w:val="2"/>
          <w:numId w:val="16"/>
        </w:numPr>
        <w:tabs>
          <w:tab w:val="left" w:pos="540"/>
          <w:tab w:val="left" w:pos="900"/>
          <w:tab w:val="clear" w:pos="1094"/>
        </w:tabs>
        <w:spacing w:line="360" w:lineRule="auto"/>
        <w:ind w:left="540" w:hanging="540"/>
        <w:rPr>
          <w:rFonts w:ascii="宋体" w:hAnsi="宋体"/>
          <w:sz w:val="24"/>
        </w:rPr>
      </w:pPr>
      <w:r>
        <w:rPr>
          <w:rFonts w:hint="eastAsia" w:ascii="宋体" w:hAnsi="宋体"/>
          <w:sz w:val="24"/>
        </w:rPr>
        <w:t>竞标人名称、地址</w:t>
      </w:r>
    </w:p>
    <w:p>
      <w:pPr>
        <w:numPr>
          <w:ilvl w:val="2"/>
          <w:numId w:val="16"/>
        </w:numPr>
        <w:tabs>
          <w:tab w:val="left" w:pos="540"/>
          <w:tab w:val="left" w:pos="900"/>
          <w:tab w:val="clear" w:pos="1094"/>
        </w:tabs>
        <w:spacing w:line="360" w:lineRule="auto"/>
        <w:ind w:left="540" w:hanging="540"/>
        <w:rPr>
          <w:rFonts w:ascii="宋体" w:hAnsi="宋体"/>
          <w:sz w:val="24"/>
        </w:rPr>
      </w:pPr>
      <w:r>
        <w:rPr>
          <w:rFonts w:hint="eastAsia" w:ascii="宋体" w:hAnsi="宋体"/>
          <w:sz w:val="24"/>
        </w:rPr>
        <w:t>封口处应加盖单位公章</w:t>
      </w:r>
    </w:p>
    <w:p>
      <w:pPr>
        <w:numPr>
          <w:ilvl w:val="1"/>
          <w:numId w:val="16"/>
        </w:numPr>
        <w:tabs>
          <w:tab w:val="left" w:pos="540"/>
        </w:tabs>
        <w:spacing w:line="360" w:lineRule="auto"/>
        <w:ind w:left="540" w:hanging="540"/>
        <w:rPr>
          <w:rFonts w:ascii="宋体" w:hAnsi="宋体"/>
          <w:sz w:val="24"/>
        </w:rPr>
      </w:pPr>
      <w:r>
        <w:rPr>
          <w:rFonts w:hint="eastAsia" w:ascii="宋体" w:hAnsi="宋体"/>
          <w:sz w:val="24"/>
        </w:rPr>
        <w:t xml:space="preserve">报价文件按要求密封，导致提前启封的，招标公司概不负责。因包装密封不好，导致提前开封的报价文件，招标公司将拒绝接收或退回竞标人。 </w:t>
      </w:r>
    </w:p>
    <w:p>
      <w:pPr>
        <w:numPr>
          <w:ilvl w:val="1"/>
          <w:numId w:val="16"/>
        </w:numPr>
        <w:tabs>
          <w:tab w:val="left" w:pos="540"/>
        </w:tabs>
        <w:spacing w:line="360" w:lineRule="auto"/>
        <w:ind w:left="540" w:hanging="540"/>
        <w:rPr>
          <w:rFonts w:ascii="宋体" w:hAnsi="宋体"/>
          <w:sz w:val="24"/>
        </w:rPr>
      </w:pPr>
      <w:r>
        <w:rPr>
          <w:rFonts w:hint="eastAsia" w:ascii="宋体" w:hAnsi="宋体"/>
          <w:sz w:val="24"/>
        </w:rPr>
        <w:t>保证金应在谈判前递交到招标公司的财务人员，未递交保证金的报价视为无效。</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 xml:space="preserve">报价文件的截止日期 </w:t>
      </w:r>
    </w:p>
    <w:p>
      <w:pPr>
        <w:numPr>
          <w:ilvl w:val="1"/>
          <w:numId w:val="17"/>
        </w:numPr>
        <w:tabs>
          <w:tab w:val="left" w:pos="540"/>
        </w:tabs>
        <w:spacing w:line="360" w:lineRule="auto"/>
        <w:ind w:left="540" w:hanging="540"/>
        <w:rPr>
          <w:rFonts w:ascii="宋体" w:hAnsi="宋体"/>
          <w:sz w:val="24"/>
        </w:rPr>
      </w:pPr>
      <w:r>
        <w:rPr>
          <w:rFonts w:hint="eastAsia" w:ascii="宋体" w:hAnsi="宋体"/>
          <w:sz w:val="24"/>
        </w:rPr>
        <w:t>如果采购人、招标公司修改谈判书、酌情延长截止日期的，则竞标人的所有权利和义务以及受制约的截止日期，以延长后新的截止日期为准。</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 xml:space="preserve">迟交的报价文件 </w:t>
      </w:r>
    </w:p>
    <w:p>
      <w:pPr>
        <w:numPr>
          <w:ilvl w:val="1"/>
          <w:numId w:val="18"/>
        </w:numPr>
        <w:tabs>
          <w:tab w:val="left" w:pos="540"/>
        </w:tabs>
        <w:spacing w:line="360" w:lineRule="auto"/>
        <w:ind w:left="540" w:hanging="540"/>
        <w:rPr>
          <w:rFonts w:ascii="宋体" w:hAnsi="宋体"/>
          <w:sz w:val="24"/>
        </w:rPr>
      </w:pPr>
      <w:r>
        <w:rPr>
          <w:rFonts w:hint="eastAsia" w:ascii="宋体" w:hAnsi="宋体"/>
          <w:sz w:val="24"/>
        </w:rPr>
        <w:t>截止日期后递交的报价文件，招标公司将拒绝接收或原封退回。</w:t>
      </w:r>
    </w:p>
    <w:p>
      <w:pPr>
        <w:tabs>
          <w:tab w:val="left" w:pos="540"/>
        </w:tabs>
        <w:spacing w:line="360" w:lineRule="auto"/>
        <w:rPr>
          <w:rFonts w:ascii="宋体" w:hAnsi="宋体"/>
          <w:sz w:val="24"/>
        </w:rPr>
      </w:pPr>
    </w:p>
    <w:p>
      <w:pPr>
        <w:numPr>
          <w:ilvl w:val="1"/>
          <w:numId w:val="6"/>
        </w:numPr>
        <w:tabs>
          <w:tab w:val="left" w:pos="540"/>
        </w:tabs>
        <w:spacing w:line="360" w:lineRule="auto"/>
        <w:ind w:left="540" w:hanging="540"/>
        <w:rPr>
          <w:rFonts w:ascii="宋体" w:hAnsi="宋体"/>
          <w:sz w:val="24"/>
        </w:rPr>
      </w:pPr>
      <w:r>
        <w:rPr>
          <w:rFonts w:ascii="宋体" w:hAnsi="宋体"/>
          <w:sz w:val="24"/>
        </w:rPr>
        <w:t>谈判程序及评定办法：</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详见本文件第五章内容</w:t>
      </w:r>
    </w:p>
    <w:p>
      <w:pPr>
        <w:tabs>
          <w:tab w:val="left" w:pos="540"/>
        </w:tabs>
        <w:spacing w:line="360" w:lineRule="auto"/>
        <w:ind w:left="540" w:firstLine="480" w:firstLineChars="200"/>
        <w:rPr>
          <w:rFonts w:ascii="宋体" w:hAnsi="宋体"/>
          <w:sz w:val="24"/>
        </w:rPr>
      </w:pPr>
    </w:p>
    <w:p>
      <w:pPr>
        <w:numPr>
          <w:ilvl w:val="1"/>
          <w:numId w:val="6"/>
        </w:numPr>
        <w:tabs>
          <w:tab w:val="left" w:pos="540"/>
        </w:tabs>
        <w:spacing w:line="360" w:lineRule="auto"/>
        <w:ind w:left="540" w:hanging="540"/>
        <w:rPr>
          <w:rFonts w:ascii="宋体" w:hAnsi="宋体"/>
          <w:sz w:val="24"/>
        </w:rPr>
      </w:pPr>
      <w:r>
        <w:rPr>
          <w:rFonts w:hint="eastAsia" w:ascii="宋体" w:hAnsi="宋体"/>
          <w:sz w:val="24"/>
        </w:rPr>
        <w:t>确定成交商</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评定成交的标准</w:t>
      </w:r>
    </w:p>
    <w:p>
      <w:pPr>
        <w:numPr>
          <w:ilvl w:val="1"/>
          <w:numId w:val="19"/>
        </w:numPr>
        <w:tabs>
          <w:tab w:val="left" w:pos="540"/>
          <w:tab w:val="clear" w:pos="420"/>
        </w:tabs>
        <w:spacing w:line="360" w:lineRule="auto"/>
        <w:ind w:left="540" w:hanging="540"/>
        <w:rPr>
          <w:rFonts w:ascii="宋体" w:hAnsi="宋体"/>
          <w:sz w:val="24"/>
        </w:rPr>
      </w:pPr>
      <w:r>
        <w:rPr>
          <w:rFonts w:hint="eastAsia" w:ascii="宋体" w:hAnsi="宋体"/>
          <w:sz w:val="24"/>
        </w:rPr>
        <w:t>成交的标准必须符合下列各项条件：</w:t>
      </w:r>
    </w:p>
    <w:p>
      <w:pPr>
        <w:numPr>
          <w:ilvl w:val="2"/>
          <w:numId w:val="19"/>
        </w:numPr>
        <w:tabs>
          <w:tab w:val="left" w:pos="1094"/>
        </w:tabs>
        <w:spacing w:line="360" w:lineRule="auto"/>
        <w:rPr>
          <w:rFonts w:ascii="宋体" w:hAnsi="宋体"/>
          <w:sz w:val="24"/>
        </w:rPr>
      </w:pPr>
      <w:r>
        <w:rPr>
          <w:rFonts w:hint="eastAsia" w:ascii="宋体" w:hAnsi="宋体"/>
          <w:sz w:val="24"/>
        </w:rPr>
        <w:t xml:space="preserve">全部实质性响应本谈判书的各项要求。 </w:t>
      </w:r>
    </w:p>
    <w:p>
      <w:pPr>
        <w:numPr>
          <w:ilvl w:val="2"/>
          <w:numId w:val="19"/>
        </w:numPr>
        <w:tabs>
          <w:tab w:val="left" w:pos="900"/>
        </w:tabs>
        <w:spacing w:line="360" w:lineRule="auto"/>
        <w:ind w:left="540" w:hanging="540"/>
        <w:rPr>
          <w:rFonts w:ascii="宋体" w:hAnsi="宋体"/>
          <w:sz w:val="24"/>
        </w:rPr>
      </w:pPr>
      <w:r>
        <w:rPr>
          <w:rFonts w:hint="eastAsia" w:ascii="宋体" w:hAnsi="宋体"/>
          <w:sz w:val="24"/>
        </w:rPr>
        <w:t>满足谈判文件的报价范围，保证项目质量。</w:t>
      </w:r>
    </w:p>
    <w:p>
      <w:pPr>
        <w:numPr>
          <w:ilvl w:val="2"/>
          <w:numId w:val="19"/>
        </w:numPr>
        <w:tabs>
          <w:tab w:val="left" w:pos="900"/>
        </w:tabs>
        <w:spacing w:line="360" w:lineRule="auto"/>
        <w:ind w:left="540" w:hanging="540"/>
        <w:rPr>
          <w:rFonts w:ascii="宋体" w:hAnsi="宋体"/>
          <w:sz w:val="24"/>
        </w:rPr>
      </w:pPr>
      <w:r>
        <w:rPr>
          <w:rFonts w:hint="eastAsia" w:ascii="宋体" w:hAnsi="宋体"/>
          <w:sz w:val="24"/>
        </w:rPr>
        <w:t>符合采购需求、质量和服务相等且报价最低。</w:t>
      </w:r>
    </w:p>
    <w:p>
      <w:pPr>
        <w:numPr>
          <w:ilvl w:val="2"/>
          <w:numId w:val="19"/>
        </w:numPr>
        <w:tabs>
          <w:tab w:val="left" w:pos="900"/>
        </w:tabs>
        <w:spacing w:line="360" w:lineRule="auto"/>
        <w:ind w:left="540" w:hanging="540"/>
        <w:rPr>
          <w:rFonts w:ascii="宋体" w:hAnsi="宋体"/>
          <w:sz w:val="24"/>
        </w:rPr>
      </w:pPr>
      <w:r>
        <w:rPr>
          <w:rFonts w:hint="eastAsia" w:ascii="宋体" w:hAnsi="宋体"/>
          <w:sz w:val="24"/>
        </w:rPr>
        <w:t>报价文件完整齐全。</w:t>
      </w:r>
    </w:p>
    <w:p>
      <w:pPr>
        <w:numPr>
          <w:ilvl w:val="2"/>
          <w:numId w:val="19"/>
        </w:numPr>
        <w:tabs>
          <w:tab w:val="left" w:pos="900"/>
        </w:tabs>
        <w:spacing w:line="360" w:lineRule="auto"/>
        <w:ind w:left="540" w:hanging="540"/>
        <w:rPr>
          <w:rFonts w:ascii="宋体" w:hAnsi="宋体"/>
          <w:sz w:val="24"/>
        </w:rPr>
      </w:pPr>
      <w:r>
        <w:rPr>
          <w:rFonts w:ascii="宋体" w:hAnsi="宋体"/>
          <w:sz w:val="24"/>
        </w:rPr>
        <w:t>报价文件有效期：</w:t>
      </w:r>
      <w:r>
        <w:rPr>
          <w:rFonts w:hint="eastAsia" w:ascii="宋体" w:hAnsi="宋体"/>
          <w:sz w:val="24"/>
        </w:rPr>
        <w:t>90天，不满足有效期要求的文件将被拒绝。</w:t>
      </w:r>
    </w:p>
    <w:p>
      <w:pPr>
        <w:numPr>
          <w:ilvl w:val="2"/>
          <w:numId w:val="19"/>
        </w:numPr>
        <w:tabs>
          <w:tab w:val="left" w:pos="900"/>
        </w:tabs>
        <w:spacing w:line="360" w:lineRule="auto"/>
        <w:ind w:left="540" w:hanging="540"/>
        <w:rPr>
          <w:rFonts w:ascii="宋体" w:hAnsi="宋体"/>
          <w:sz w:val="24"/>
        </w:rPr>
      </w:pPr>
      <w:r>
        <w:rPr>
          <w:rFonts w:hint="eastAsia" w:ascii="宋体" w:hAnsi="宋体"/>
          <w:sz w:val="24"/>
        </w:rPr>
        <w:t>其他要求因素。</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 xml:space="preserve">确定成交商 </w:t>
      </w:r>
    </w:p>
    <w:p>
      <w:pPr>
        <w:numPr>
          <w:ilvl w:val="1"/>
          <w:numId w:val="20"/>
        </w:numPr>
        <w:tabs>
          <w:tab w:val="left" w:pos="540"/>
          <w:tab w:val="clear" w:pos="420"/>
        </w:tabs>
        <w:spacing w:line="360" w:lineRule="auto"/>
        <w:ind w:left="540" w:hanging="540"/>
        <w:rPr>
          <w:rFonts w:ascii="宋体" w:hAnsi="宋体"/>
          <w:sz w:val="24"/>
        </w:rPr>
      </w:pPr>
      <w:r>
        <w:rPr>
          <w:rFonts w:hint="eastAsia" w:ascii="宋体" w:hAnsi="宋体"/>
          <w:sz w:val="24"/>
        </w:rPr>
        <w:t xml:space="preserve">谈判小组根据政府采购竞争性谈判方式采购程序，依据“公正、科学、严谨”和“等价择优、等质择廉”的原则，综合评出成交商的优选方案。 </w:t>
      </w:r>
    </w:p>
    <w:p>
      <w:pPr>
        <w:numPr>
          <w:ilvl w:val="1"/>
          <w:numId w:val="20"/>
        </w:numPr>
        <w:tabs>
          <w:tab w:val="left" w:pos="540"/>
          <w:tab w:val="clear" w:pos="420"/>
        </w:tabs>
        <w:spacing w:line="360" w:lineRule="auto"/>
        <w:ind w:left="540" w:hanging="540"/>
        <w:rPr>
          <w:rFonts w:ascii="宋体" w:hAnsi="宋体"/>
          <w:sz w:val="24"/>
        </w:rPr>
      </w:pPr>
      <w:r>
        <w:rPr>
          <w:rFonts w:hint="eastAsia" w:ascii="宋体" w:hAnsi="宋体"/>
          <w:sz w:val="24"/>
        </w:rPr>
        <w:t>按《中华人民共和国政府采购法》有关规定，谈判结果将在政府采购网上公示。</w:t>
      </w:r>
    </w:p>
    <w:p>
      <w:pPr>
        <w:numPr>
          <w:ilvl w:val="1"/>
          <w:numId w:val="20"/>
        </w:numPr>
        <w:tabs>
          <w:tab w:val="left" w:pos="540"/>
          <w:tab w:val="clear" w:pos="420"/>
        </w:tabs>
        <w:spacing w:line="360" w:lineRule="auto"/>
        <w:ind w:left="540" w:hanging="540"/>
        <w:rPr>
          <w:rFonts w:ascii="宋体" w:hAnsi="宋体"/>
          <w:sz w:val="24"/>
        </w:rPr>
      </w:pPr>
      <w:r>
        <w:rPr>
          <w:rFonts w:hint="eastAsia" w:ascii="宋体" w:hAnsi="宋体"/>
          <w:sz w:val="24"/>
        </w:rPr>
        <w:t xml:space="preserve">采购人根据谈判小组提出的优选方案及政府采购有关规定，确定成交商。 </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 xml:space="preserve">通知书  </w:t>
      </w:r>
    </w:p>
    <w:p>
      <w:pPr>
        <w:tabs>
          <w:tab w:val="left" w:pos="840"/>
        </w:tabs>
        <w:spacing w:line="360" w:lineRule="auto"/>
        <w:rPr>
          <w:rFonts w:ascii="宋体" w:hAnsi="宋体"/>
          <w:sz w:val="24"/>
        </w:rPr>
      </w:pPr>
      <w:r>
        <w:rPr>
          <w:rFonts w:hint="eastAsia" w:ascii="宋体" w:hAnsi="宋体"/>
          <w:sz w:val="24"/>
        </w:rPr>
        <w:t>由招标公司向成交商发出通知书，并同时通知未入选人。通知书是合同的组成部分之一。</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其它</w:t>
      </w:r>
    </w:p>
    <w:p>
      <w:pPr>
        <w:tabs>
          <w:tab w:val="left" w:pos="840"/>
        </w:tabs>
        <w:spacing w:line="360" w:lineRule="auto"/>
        <w:rPr>
          <w:rFonts w:ascii="宋体" w:hAnsi="宋体"/>
          <w:sz w:val="24"/>
        </w:rPr>
      </w:pPr>
      <w:r>
        <w:rPr>
          <w:rFonts w:hint="eastAsia" w:ascii="宋体" w:hAnsi="宋体"/>
          <w:sz w:val="24"/>
        </w:rPr>
        <w:t>竞标人在谈判活动中的违法违纪活动一经查出，取消其资格；已经成为成交商的，取消成交资格。</w:t>
      </w:r>
    </w:p>
    <w:p>
      <w:pPr>
        <w:tabs>
          <w:tab w:val="left" w:pos="540"/>
        </w:tabs>
        <w:spacing w:line="360" w:lineRule="auto"/>
        <w:ind w:left="540" w:firstLine="480" w:firstLineChars="200"/>
        <w:rPr>
          <w:rFonts w:ascii="宋体" w:hAnsi="宋体"/>
          <w:sz w:val="24"/>
        </w:rPr>
      </w:pPr>
    </w:p>
    <w:p>
      <w:pPr>
        <w:numPr>
          <w:ilvl w:val="1"/>
          <w:numId w:val="6"/>
        </w:numPr>
        <w:tabs>
          <w:tab w:val="left" w:pos="540"/>
        </w:tabs>
        <w:spacing w:line="360" w:lineRule="auto"/>
        <w:ind w:left="540" w:hanging="540"/>
        <w:rPr>
          <w:rFonts w:ascii="宋体" w:hAnsi="宋体"/>
          <w:sz w:val="24"/>
        </w:rPr>
      </w:pPr>
      <w:r>
        <w:rPr>
          <w:rFonts w:hint="eastAsia" w:ascii="宋体" w:hAnsi="宋体"/>
          <w:sz w:val="24"/>
        </w:rPr>
        <w:t>签订合同</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签订合同</w:t>
      </w:r>
    </w:p>
    <w:p>
      <w:pPr>
        <w:numPr>
          <w:ilvl w:val="1"/>
          <w:numId w:val="21"/>
        </w:numPr>
        <w:tabs>
          <w:tab w:val="left" w:pos="540"/>
          <w:tab w:val="clear" w:pos="420"/>
        </w:tabs>
        <w:spacing w:line="360" w:lineRule="auto"/>
        <w:ind w:left="540" w:hanging="540"/>
        <w:rPr>
          <w:rFonts w:ascii="宋体" w:hAnsi="宋体"/>
          <w:sz w:val="24"/>
        </w:rPr>
      </w:pPr>
      <w:r>
        <w:rPr>
          <w:rFonts w:hint="eastAsia" w:ascii="宋体" w:hAnsi="宋体"/>
          <w:sz w:val="24"/>
        </w:rPr>
        <w:t>成交商在收到通知书后，应按通知书规定的时间、地点与采购人签订购销合同。</w:t>
      </w:r>
    </w:p>
    <w:p>
      <w:pPr>
        <w:numPr>
          <w:ilvl w:val="1"/>
          <w:numId w:val="21"/>
        </w:numPr>
        <w:tabs>
          <w:tab w:val="left" w:pos="540"/>
          <w:tab w:val="clear" w:pos="420"/>
        </w:tabs>
        <w:spacing w:line="360" w:lineRule="auto"/>
        <w:ind w:left="540" w:hanging="540"/>
        <w:rPr>
          <w:rFonts w:ascii="宋体" w:hAnsi="宋体"/>
          <w:sz w:val="24"/>
        </w:rPr>
      </w:pPr>
      <w:r>
        <w:rPr>
          <w:rFonts w:hint="eastAsia" w:ascii="宋体" w:hAnsi="宋体"/>
          <w:sz w:val="24"/>
        </w:rPr>
        <w:t>如果成交商未按照规定办理，招标公司将有充分理由取消其资格，并没收其保证金。在此情况下，招标公司、谈判小组与采购方协商确定下一个成交商。</w:t>
      </w:r>
    </w:p>
    <w:p>
      <w:pPr>
        <w:spacing w:line="360" w:lineRule="auto"/>
        <w:rPr>
          <w:rFonts w:ascii="宋体" w:hAnsi="宋体"/>
          <w:sz w:val="24"/>
        </w:rPr>
      </w:pPr>
    </w:p>
    <w:p>
      <w:pPr>
        <w:numPr>
          <w:ilvl w:val="1"/>
          <w:numId w:val="6"/>
        </w:numPr>
        <w:tabs>
          <w:tab w:val="left" w:pos="540"/>
        </w:tabs>
        <w:spacing w:line="360" w:lineRule="auto"/>
        <w:ind w:left="540" w:hanging="540"/>
        <w:rPr>
          <w:rFonts w:ascii="宋体" w:hAnsi="宋体"/>
          <w:sz w:val="24"/>
        </w:rPr>
      </w:pPr>
      <w:r>
        <w:rPr>
          <w:rFonts w:hint="eastAsia" w:ascii="宋体" w:hAnsi="宋体"/>
          <w:sz w:val="24"/>
        </w:rPr>
        <w:t>质疑</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如果竞标人在此次招标活动中认为招标采购过程和评审、中标、成交结果使自己的正当权益受到损害的，可以书面形式向招标代理机构提出质疑，并将正式文件递交到招标代理机构。招标代理机构在收到竞标人的正式质疑文件后7个工作日内作出答复，并以书面形式通知质疑竞标人和相关竞标人。</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竞标人质疑实行实名制，其质疑应当有具体的质疑事项及事实依据，不得进行虚假、恶意质疑。属于虚假、恶意质疑的将列入不良行为记录名单，必要时予以网上公布。</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质疑书应当包括下列主要内容：</w:t>
      </w:r>
    </w:p>
    <w:p>
      <w:pPr>
        <w:numPr>
          <w:ilvl w:val="1"/>
          <w:numId w:val="22"/>
        </w:numPr>
        <w:tabs>
          <w:tab w:val="left" w:pos="540"/>
          <w:tab w:val="clear" w:pos="420"/>
        </w:tabs>
        <w:spacing w:line="360" w:lineRule="auto"/>
        <w:ind w:left="540" w:hanging="540"/>
        <w:rPr>
          <w:rFonts w:ascii="宋体" w:hAnsi="宋体"/>
          <w:sz w:val="24"/>
        </w:rPr>
      </w:pPr>
      <w:r>
        <w:rPr>
          <w:rFonts w:hint="eastAsia" w:ascii="宋体" w:hAnsi="宋体"/>
          <w:sz w:val="24"/>
        </w:rPr>
        <w:t>质疑人的名称、地址、电话等；</w:t>
      </w:r>
    </w:p>
    <w:p>
      <w:pPr>
        <w:numPr>
          <w:ilvl w:val="1"/>
          <w:numId w:val="22"/>
        </w:numPr>
        <w:tabs>
          <w:tab w:val="left" w:pos="540"/>
          <w:tab w:val="clear" w:pos="420"/>
        </w:tabs>
        <w:spacing w:line="360" w:lineRule="auto"/>
        <w:ind w:left="540" w:hanging="540"/>
        <w:rPr>
          <w:rFonts w:ascii="宋体" w:hAnsi="宋体"/>
          <w:sz w:val="24"/>
        </w:rPr>
      </w:pPr>
      <w:r>
        <w:rPr>
          <w:rFonts w:hint="eastAsia" w:ascii="宋体" w:hAnsi="宋体"/>
          <w:sz w:val="24"/>
        </w:rPr>
        <w:t>质疑人法人签章和单位公章；</w:t>
      </w:r>
    </w:p>
    <w:p>
      <w:pPr>
        <w:numPr>
          <w:ilvl w:val="1"/>
          <w:numId w:val="22"/>
        </w:numPr>
        <w:tabs>
          <w:tab w:val="left" w:pos="540"/>
          <w:tab w:val="clear" w:pos="420"/>
        </w:tabs>
        <w:spacing w:line="360" w:lineRule="auto"/>
        <w:ind w:left="540" w:hanging="540"/>
        <w:rPr>
          <w:rFonts w:ascii="宋体" w:hAnsi="宋体"/>
          <w:sz w:val="24"/>
        </w:rPr>
      </w:pPr>
      <w:r>
        <w:rPr>
          <w:rFonts w:hint="eastAsia" w:ascii="宋体" w:hAnsi="宋体"/>
          <w:sz w:val="24"/>
        </w:rPr>
        <w:t>具体的投诉事项及事实依据；</w:t>
      </w:r>
    </w:p>
    <w:p>
      <w:pPr>
        <w:numPr>
          <w:ilvl w:val="1"/>
          <w:numId w:val="22"/>
        </w:numPr>
        <w:tabs>
          <w:tab w:val="left" w:pos="540"/>
          <w:tab w:val="clear" w:pos="420"/>
        </w:tabs>
        <w:spacing w:line="360" w:lineRule="auto"/>
        <w:ind w:left="540" w:hanging="540"/>
        <w:rPr>
          <w:rFonts w:ascii="宋体" w:hAnsi="宋体"/>
          <w:sz w:val="24"/>
        </w:rPr>
      </w:pPr>
      <w:r>
        <w:rPr>
          <w:rFonts w:hint="eastAsia" w:ascii="宋体" w:hAnsi="宋体"/>
          <w:sz w:val="24"/>
        </w:rPr>
        <w:t>质疑情况及相关有效证明材料；</w:t>
      </w:r>
    </w:p>
    <w:p>
      <w:pPr>
        <w:numPr>
          <w:ilvl w:val="1"/>
          <w:numId w:val="22"/>
        </w:numPr>
        <w:tabs>
          <w:tab w:val="left" w:pos="540"/>
          <w:tab w:val="clear" w:pos="420"/>
        </w:tabs>
        <w:spacing w:line="360" w:lineRule="auto"/>
        <w:ind w:left="540" w:hanging="540"/>
        <w:rPr>
          <w:rFonts w:ascii="宋体" w:hAnsi="宋体"/>
          <w:sz w:val="24"/>
        </w:rPr>
      </w:pPr>
      <w:r>
        <w:rPr>
          <w:rFonts w:hint="eastAsia" w:ascii="宋体" w:hAnsi="宋体"/>
          <w:sz w:val="24"/>
        </w:rPr>
        <w:t>提起质疑的日期。</w:t>
      </w:r>
    </w:p>
    <w:p>
      <w:pPr>
        <w:pStyle w:val="22"/>
        <w:tabs>
          <w:tab w:val="left" w:pos="540"/>
        </w:tabs>
        <w:adjustRightInd w:val="0"/>
        <w:snapToGrid w:val="0"/>
        <w:spacing w:line="360" w:lineRule="auto"/>
        <w:ind w:left="540"/>
        <w:jc w:val="left"/>
        <w:rPr>
          <w:rFonts w:hAnsi="宋体" w:eastAsia="宋体"/>
          <w:snapToGrid/>
          <w:color w:val="auto"/>
          <w:sz w:val="24"/>
          <w:szCs w:val="24"/>
        </w:rPr>
      </w:pPr>
      <w:r>
        <w:rPr>
          <w:rFonts w:hint="eastAsia" w:hAnsi="宋体" w:eastAsia="宋体"/>
          <w:snapToGrid/>
          <w:color w:val="auto"/>
          <w:sz w:val="24"/>
          <w:szCs w:val="24"/>
        </w:rPr>
        <w:t>注：如未按上述程序规定进行质疑，招标代理机构将不予以受理。</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质疑竞标商对招标代理机构的答复不满意或者招标代理机构未在规定的时间内作出答复的，可以在答复期满后15个工作日内向监管机构投诉。监管机构将按照《政府采购供应商投诉处理办法》和相关规定进行处理。</w:t>
      </w:r>
    </w:p>
    <w:p>
      <w:pPr>
        <w:numPr>
          <w:ilvl w:val="1"/>
          <w:numId w:val="6"/>
        </w:numPr>
        <w:tabs>
          <w:tab w:val="left" w:pos="540"/>
        </w:tabs>
        <w:spacing w:line="360" w:lineRule="auto"/>
        <w:ind w:left="540" w:hanging="540"/>
        <w:rPr>
          <w:rFonts w:ascii="宋体" w:hAnsi="宋体"/>
          <w:sz w:val="24"/>
        </w:rPr>
      </w:pPr>
      <w:r>
        <w:rPr>
          <w:rFonts w:hint="eastAsia" w:ascii="宋体" w:hAnsi="宋体"/>
          <w:sz w:val="24"/>
        </w:rPr>
        <w:t>法律责任</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竞标人有下列情形之一的，由财政部门处以政府采购项目中标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numPr>
          <w:ilvl w:val="1"/>
          <w:numId w:val="23"/>
        </w:numPr>
        <w:tabs>
          <w:tab w:val="left" w:pos="540"/>
          <w:tab w:val="clear" w:pos="420"/>
        </w:tabs>
        <w:spacing w:line="360" w:lineRule="auto"/>
        <w:ind w:left="540" w:hanging="540"/>
        <w:rPr>
          <w:rFonts w:ascii="宋体" w:hAnsi="宋体"/>
          <w:sz w:val="24"/>
        </w:rPr>
      </w:pPr>
      <w:r>
        <w:rPr>
          <w:rFonts w:hint="eastAsia" w:ascii="宋体" w:hAnsi="宋体"/>
          <w:sz w:val="24"/>
        </w:rPr>
        <w:t>提供虚假材料谋取中标的；</w:t>
      </w:r>
    </w:p>
    <w:p>
      <w:pPr>
        <w:numPr>
          <w:ilvl w:val="1"/>
          <w:numId w:val="23"/>
        </w:numPr>
        <w:tabs>
          <w:tab w:val="left" w:pos="540"/>
          <w:tab w:val="clear" w:pos="420"/>
        </w:tabs>
        <w:spacing w:line="360" w:lineRule="auto"/>
        <w:ind w:left="540" w:hanging="540"/>
        <w:rPr>
          <w:rFonts w:ascii="宋体" w:hAnsi="宋体"/>
          <w:sz w:val="24"/>
        </w:rPr>
      </w:pPr>
      <w:r>
        <w:rPr>
          <w:rFonts w:hint="eastAsia" w:ascii="宋体" w:hAnsi="宋体"/>
          <w:sz w:val="24"/>
        </w:rPr>
        <w:t>采取不正当手段诋毁、排挤其他竞标人的；</w:t>
      </w:r>
    </w:p>
    <w:p>
      <w:pPr>
        <w:numPr>
          <w:ilvl w:val="1"/>
          <w:numId w:val="23"/>
        </w:numPr>
        <w:tabs>
          <w:tab w:val="left" w:pos="540"/>
          <w:tab w:val="clear" w:pos="420"/>
        </w:tabs>
        <w:spacing w:line="360" w:lineRule="auto"/>
        <w:ind w:left="540" w:hanging="540"/>
        <w:rPr>
          <w:rFonts w:ascii="宋体" w:hAnsi="宋体"/>
          <w:sz w:val="24"/>
        </w:rPr>
      </w:pPr>
      <w:r>
        <w:rPr>
          <w:rFonts w:hint="eastAsia" w:ascii="宋体" w:hAnsi="宋体"/>
          <w:sz w:val="24"/>
        </w:rPr>
        <w:t>与招标采购单位、其他竞标人恶意串通的；</w:t>
      </w:r>
    </w:p>
    <w:p>
      <w:pPr>
        <w:numPr>
          <w:ilvl w:val="1"/>
          <w:numId w:val="23"/>
        </w:numPr>
        <w:tabs>
          <w:tab w:val="left" w:pos="540"/>
          <w:tab w:val="clear" w:pos="420"/>
        </w:tabs>
        <w:spacing w:line="360" w:lineRule="auto"/>
        <w:ind w:left="540" w:hanging="540"/>
        <w:rPr>
          <w:rFonts w:ascii="宋体" w:hAnsi="宋体"/>
          <w:sz w:val="24"/>
        </w:rPr>
      </w:pPr>
      <w:r>
        <w:rPr>
          <w:rFonts w:hint="eastAsia" w:ascii="宋体" w:hAnsi="宋体"/>
          <w:sz w:val="24"/>
        </w:rPr>
        <w:t>向招标采购单位行贿或者提供其他不正当利益的；</w:t>
      </w:r>
    </w:p>
    <w:p>
      <w:pPr>
        <w:numPr>
          <w:ilvl w:val="1"/>
          <w:numId w:val="23"/>
        </w:numPr>
        <w:tabs>
          <w:tab w:val="left" w:pos="540"/>
          <w:tab w:val="clear" w:pos="420"/>
        </w:tabs>
        <w:spacing w:line="360" w:lineRule="auto"/>
        <w:ind w:left="540" w:hanging="540"/>
        <w:rPr>
          <w:rFonts w:ascii="宋体" w:hAnsi="宋体"/>
          <w:sz w:val="24"/>
        </w:rPr>
      </w:pPr>
      <w:r>
        <w:rPr>
          <w:rFonts w:hint="eastAsia" w:ascii="宋体" w:hAnsi="宋体"/>
          <w:sz w:val="24"/>
        </w:rPr>
        <w:t>在招标过程中与招标代理机构进行协商谈判、不按照竞争性谈判文件和中标供应商的竞标文件订立合同，或者与采购人另行订立背离合同实质性内容的协议的；</w:t>
      </w:r>
    </w:p>
    <w:p>
      <w:pPr>
        <w:numPr>
          <w:ilvl w:val="1"/>
          <w:numId w:val="23"/>
        </w:numPr>
        <w:tabs>
          <w:tab w:val="left" w:pos="540"/>
          <w:tab w:val="clear" w:pos="420"/>
        </w:tabs>
        <w:spacing w:line="360" w:lineRule="auto"/>
        <w:ind w:left="540" w:hanging="540"/>
        <w:rPr>
          <w:rFonts w:ascii="宋体" w:hAnsi="宋体"/>
          <w:sz w:val="24"/>
        </w:rPr>
      </w:pPr>
      <w:r>
        <w:rPr>
          <w:rFonts w:hint="eastAsia" w:ascii="宋体" w:hAnsi="宋体"/>
          <w:sz w:val="24"/>
        </w:rPr>
        <w:t>拒绝有关部门监督检查或者提供虚假情况的。</w:t>
      </w:r>
    </w:p>
    <w:p>
      <w:pPr>
        <w:numPr>
          <w:ilvl w:val="1"/>
          <w:numId w:val="23"/>
        </w:numPr>
        <w:tabs>
          <w:tab w:val="left" w:pos="540"/>
          <w:tab w:val="clear" w:pos="420"/>
        </w:tabs>
        <w:spacing w:line="360" w:lineRule="auto"/>
        <w:ind w:left="540" w:hanging="540"/>
        <w:rPr>
          <w:rFonts w:ascii="宋体" w:hAnsi="宋体"/>
          <w:sz w:val="24"/>
        </w:rPr>
      </w:pPr>
      <w:r>
        <w:rPr>
          <w:rFonts w:hint="eastAsia" w:ascii="宋体" w:hAnsi="宋体"/>
          <w:sz w:val="24"/>
        </w:rPr>
        <w:t>竞标人有前款第（一）至（五）项情形之一的，中标无效。</w:t>
      </w:r>
    </w:p>
    <w:p>
      <w:pPr>
        <w:numPr>
          <w:ilvl w:val="0"/>
          <w:numId w:val="7"/>
        </w:numPr>
        <w:tabs>
          <w:tab w:val="left" w:pos="540"/>
        </w:tabs>
        <w:spacing w:line="360" w:lineRule="auto"/>
        <w:ind w:left="540" w:hanging="540"/>
        <w:rPr>
          <w:rFonts w:ascii="宋体" w:hAnsi="宋体"/>
          <w:sz w:val="24"/>
        </w:rPr>
      </w:pPr>
      <w:r>
        <w:rPr>
          <w:rFonts w:hint="eastAsia" w:ascii="宋体" w:hAnsi="宋体"/>
          <w:sz w:val="24"/>
        </w:rPr>
        <w:t>中标供应商有下列情形之一的，招标代理机构将不予退还其竞标保证金；情节严重的，由财政部门将其列入不良记录名单，在一至三年内禁止参加政府采购活动，并予以通报：</w:t>
      </w:r>
    </w:p>
    <w:p>
      <w:pPr>
        <w:numPr>
          <w:ilvl w:val="1"/>
          <w:numId w:val="24"/>
        </w:numPr>
        <w:tabs>
          <w:tab w:val="left" w:pos="540"/>
          <w:tab w:val="clear" w:pos="420"/>
        </w:tabs>
        <w:spacing w:line="360" w:lineRule="auto"/>
        <w:ind w:left="540" w:hanging="540"/>
        <w:rPr>
          <w:rFonts w:ascii="宋体" w:hAnsi="宋体"/>
          <w:sz w:val="24"/>
        </w:rPr>
      </w:pPr>
      <w:r>
        <w:rPr>
          <w:rFonts w:hint="eastAsia" w:ascii="宋体" w:hAnsi="宋体"/>
          <w:sz w:val="24"/>
        </w:rPr>
        <w:t>中标后无正当理由不与采购人签订合同的；</w:t>
      </w:r>
    </w:p>
    <w:p>
      <w:pPr>
        <w:numPr>
          <w:ilvl w:val="1"/>
          <w:numId w:val="24"/>
        </w:numPr>
        <w:tabs>
          <w:tab w:val="left" w:pos="540"/>
          <w:tab w:val="clear" w:pos="420"/>
        </w:tabs>
        <w:spacing w:line="360" w:lineRule="auto"/>
        <w:ind w:left="540" w:hanging="540"/>
        <w:rPr>
          <w:rFonts w:ascii="宋体" w:hAnsi="宋体"/>
          <w:sz w:val="24"/>
        </w:rPr>
      </w:pPr>
      <w:r>
        <w:rPr>
          <w:rFonts w:hint="eastAsia" w:ascii="宋体" w:hAnsi="宋体"/>
          <w:sz w:val="24"/>
        </w:rPr>
        <w:t>将中标项目转让给他人，或者在竞标文件中未说明，且未经采购招标机构同意，将中标项目分包给他人的；拒绝履行合同义务的。</w:t>
      </w:r>
    </w:p>
    <w:p>
      <w:pPr>
        <w:pStyle w:val="5"/>
        <w:numPr>
          <w:ilvl w:val="0"/>
          <w:numId w:val="3"/>
        </w:numPr>
        <w:spacing w:line="240" w:lineRule="auto"/>
        <w:rPr>
          <w:rFonts w:ascii="宋体" w:hAnsi="宋体" w:eastAsia="宋体"/>
          <w:sz w:val="28"/>
          <w:szCs w:val="28"/>
        </w:rPr>
      </w:pPr>
      <w:r>
        <w:br w:type="page"/>
      </w:r>
      <w:bookmarkStart w:id="27" w:name="_Toc40954358"/>
      <w:r>
        <w:rPr>
          <w:rFonts w:hint="eastAsia" w:ascii="宋体" w:hAnsi="宋体" w:eastAsia="宋体"/>
          <w:sz w:val="32"/>
          <w:szCs w:val="32"/>
        </w:rPr>
        <w:t>技术及商务要求</w:t>
      </w:r>
      <w:bookmarkEnd w:id="27"/>
    </w:p>
    <w:p>
      <w:pPr>
        <w:pStyle w:val="6"/>
        <w:rPr>
          <w:rFonts w:ascii="宋体" w:hAnsi="宋体"/>
          <w:kern w:val="44"/>
          <w:sz w:val="24"/>
          <w:szCs w:val="24"/>
        </w:rPr>
      </w:pPr>
      <w:bookmarkStart w:id="28" w:name="_Toc40954359"/>
      <w:r>
        <w:rPr>
          <w:rFonts w:hint="eastAsia" w:ascii="宋体" w:hAnsi="宋体"/>
          <w:kern w:val="44"/>
          <w:sz w:val="24"/>
          <w:szCs w:val="24"/>
        </w:rPr>
        <w:t>1.1项目概述</w:t>
      </w:r>
      <w:bookmarkEnd w:id="28"/>
    </w:p>
    <w:p>
      <w:pPr>
        <w:spacing w:line="360" w:lineRule="auto"/>
        <w:ind w:firstLine="511"/>
        <w:rPr>
          <w:rFonts w:ascii="宋体" w:hAnsi="宋体"/>
          <w:sz w:val="24"/>
        </w:rPr>
      </w:pPr>
      <w:r>
        <w:rPr>
          <w:rFonts w:hint="eastAsia" w:ascii="宋体" w:hAnsi="宋体"/>
          <w:sz w:val="24"/>
        </w:rPr>
        <w:t>宜昌市城市管理执法监督平台项目包括包括硬件及软件系统两个方面的内容。</w:t>
      </w:r>
    </w:p>
    <w:p>
      <w:pPr>
        <w:spacing w:line="360" w:lineRule="auto"/>
        <w:ind w:firstLine="511"/>
        <w:rPr>
          <w:rFonts w:ascii="宋体" w:hAnsi="宋体"/>
          <w:color w:val="000000"/>
          <w:sz w:val="24"/>
        </w:rPr>
      </w:pPr>
      <w:r>
        <w:rPr>
          <w:rFonts w:hint="eastAsia" w:ascii="宋体" w:hAnsi="宋体"/>
          <w:sz w:val="24"/>
        </w:rPr>
        <w:t>本次监理招标的内容为对上述建设项目所进行的全过程监理，主要包括四项控制、两</w:t>
      </w:r>
      <w:r>
        <w:rPr>
          <w:rFonts w:hint="eastAsia" w:ascii="宋体" w:hAnsi="宋体"/>
          <w:color w:val="000000"/>
          <w:sz w:val="24"/>
        </w:rPr>
        <w:t>项管理和一项协调。即：质量控制、进度控制、成本控制、安全保密控制、合同管理、文档管理和组织协调。</w:t>
      </w:r>
    </w:p>
    <w:p>
      <w:pPr>
        <w:spacing w:line="360" w:lineRule="auto"/>
        <w:ind w:firstLine="511"/>
        <w:rPr>
          <w:rFonts w:ascii="宋体" w:hAnsi="宋体"/>
          <w:sz w:val="24"/>
        </w:rPr>
      </w:pPr>
      <w:r>
        <w:rPr>
          <w:rFonts w:hint="eastAsia" w:ascii="宋体" w:hAnsi="宋体"/>
          <w:sz w:val="24"/>
        </w:rPr>
        <w:t>监理单位应在保证其客观性和公证性的基础上，按照合同的要求和有关规范，对信息系统的功能、安全可靠性、性能、兼容性、可扩充性、资源占用、易用性、用户文档等方面进行测试和评估。</w:t>
      </w:r>
    </w:p>
    <w:p>
      <w:pPr>
        <w:pStyle w:val="6"/>
        <w:rPr>
          <w:rFonts w:ascii="宋体" w:hAnsi="宋体"/>
          <w:kern w:val="44"/>
          <w:sz w:val="24"/>
          <w:szCs w:val="24"/>
        </w:rPr>
      </w:pPr>
      <w:bookmarkStart w:id="29" w:name="_Toc40954360"/>
      <w:r>
        <w:rPr>
          <w:rFonts w:hint="eastAsia" w:ascii="宋体" w:hAnsi="宋体"/>
          <w:kern w:val="44"/>
          <w:sz w:val="24"/>
          <w:szCs w:val="24"/>
        </w:rPr>
        <w:t>1.2监理机构及工作条件</w:t>
      </w:r>
      <w:bookmarkEnd w:id="29"/>
    </w:p>
    <w:p>
      <w:pPr>
        <w:spacing w:line="360" w:lineRule="auto"/>
        <w:ind w:firstLine="510"/>
        <w:rPr>
          <w:rFonts w:ascii="宋体" w:hAnsi="宋体"/>
          <w:color w:val="000000"/>
          <w:sz w:val="24"/>
        </w:rPr>
      </w:pPr>
      <w:r>
        <w:rPr>
          <w:rFonts w:hint="eastAsia" w:ascii="宋体" w:hAnsi="宋体"/>
          <w:color w:val="000000"/>
          <w:sz w:val="24"/>
        </w:rPr>
        <w:t>监理单位在执行监理合同时建立工程项目监理机构，在完成合同约定的全部监理任务后，按照国家相关规定对工程质量承担监理单位的终身责任。监理机构应严格按照合同履行监理责任。</w:t>
      </w:r>
    </w:p>
    <w:p>
      <w:pPr>
        <w:spacing w:line="360" w:lineRule="auto"/>
        <w:ind w:firstLine="510"/>
        <w:rPr>
          <w:rFonts w:ascii="宋体" w:hAnsi="宋体"/>
          <w:color w:val="000000"/>
          <w:sz w:val="24"/>
        </w:rPr>
      </w:pPr>
      <w:r>
        <w:rPr>
          <w:rFonts w:hint="eastAsia" w:ascii="宋体" w:hAnsi="宋体"/>
          <w:color w:val="000000"/>
          <w:sz w:val="24"/>
        </w:rPr>
        <w:t>监理人员构成包</w:t>
      </w:r>
      <w:r>
        <w:rPr>
          <w:rFonts w:hint="eastAsia" w:ascii="宋体" w:hAnsi="宋体"/>
          <w:sz w:val="24"/>
        </w:rPr>
        <w:t>括：总监理工程师(现场负责人）及其他组成人员。</w:t>
      </w:r>
      <w:r>
        <w:rPr>
          <w:rFonts w:hint="eastAsia" w:ascii="宋体" w:hAnsi="宋体"/>
          <w:color w:val="000000"/>
          <w:sz w:val="24"/>
        </w:rPr>
        <w:t>监理人员应各尽其责，监理单位应保证其机构人员在监理过程中的稳定，如需调整，应经业主同意，调整后应予以书面通知。</w:t>
      </w:r>
    </w:p>
    <w:p>
      <w:pPr>
        <w:spacing w:line="360" w:lineRule="auto"/>
        <w:ind w:firstLine="510"/>
        <w:rPr>
          <w:rFonts w:ascii="宋体" w:hAnsi="宋体"/>
          <w:color w:val="000000"/>
          <w:sz w:val="24"/>
        </w:rPr>
      </w:pPr>
      <w:r>
        <w:rPr>
          <w:rFonts w:hint="eastAsia" w:ascii="宋体" w:hAnsi="宋体"/>
          <w:color w:val="000000"/>
          <w:sz w:val="24"/>
        </w:rPr>
        <w:t>监理机构应根据工程的具体情况，按合同约定，配备满足监理工作需要的设备和工具，应妥善使用业主所提供的设施。</w:t>
      </w:r>
    </w:p>
    <w:p>
      <w:pPr>
        <w:spacing w:line="360" w:lineRule="auto"/>
        <w:ind w:firstLine="510"/>
        <w:rPr>
          <w:rFonts w:ascii="宋体" w:hAnsi="宋体"/>
          <w:color w:val="000000"/>
          <w:sz w:val="24"/>
        </w:rPr>
      </w:pPr>
      <w:r>
        <w:rPr>
          <w:rFonts w:hint="eastAsia" w:ascii="宋体" w:hAnsi="宋体"/>
          <w:color w:val="000000"/>
          <w:sz w:val="24"/>
        </w:rPr>
        <w:t>监理机构应遵守相应的监理工作制度，包括会议制度、监理文件制度、监理记录制度、工作报告制度等，保证监理工作协调有序的进行。</w:t>
      </w:r>
    </w:p>
    <w:p>
      <w:pPr>
        <w:pStyle w:val="6"/>
        <w:rPr>
          <w:rFonts w:ascii="宋体" w:hAnsi="宋体"/>
          <w:kern w:val="44"/>
          <w:sz w:val="24"/>
          <w:szCs w:val="24"/>
        </w:rPr>
      </w:pPr>
      <w:bookmarkStart w:id="30" w:name="_Toc40954361"/>
      <w:r>
        <w:rPr>
          <w:rFonts w:hint="eastAsia" w:ascii="宋体" w:hAnsi="宋体"/>
          <w:kern w:val="44"/>
          <w:sz w:val="24"/>
          <w:szCs w:val="24"/>
        </w:rPr>
        <w:t>1.3监理范围</w:t>
      </w:r>
      <w:bookmarkEnd w:id="30"/>
    </w:p>
    <w:p>
      <w:pPr>
        <w:spacing w:line="360" w:lineRule="auto"/>
        <w:ind w:firstLine="511"/>
        <w:rPr>
          <w:rFonts w:ascii="宋体" w:hAnsi="宋体"/>
          <w:color w:val="000000"/>
          <w:sz w:val="24"/>
        </w:rPr>
      </w:pPr>
      <w:r>
        <w:rPr>
          <w:rFonts w:hint="eastAsia" w:ascii="宋体" w:hAnsi="宋体"/>
          <w:color w:val="000000"/>
          <w:sz w:val="24"/>
        </w:rPr>
        <w:t>本次招标的监理范围包括：对宜昌市城市管理执法监督平台项目内容全过程提供监理服务，帮助业主掌握工程进度，按期分段对工程验收，保证工程按期、高质量地完成。</w:t>
      </w:r>
    </w:p>
    <w:p>
      <w:pPr>
        <w:pStyle w:val="6"/>
        <w:rPr>
          <w:rFonts w:ascii="宋体" w:hAnsi="宋体"/>
          <w:kern w:val="44"/>
          <w:sz w:val="24"/>
          <w:szCs w:val="24"/>
        </w:rPr>
      </w:pPr>
      <w:bookmarkStart w:id="31" w:name="_Toc36982868"/>
      <w:bookmarkStart w:id="32" w:name="_Toc40954362"/>
      <w:r>
        <w:rPr>
          <w:rFonts w:hint="eastAsia" w:ascii="宋体" w:hAnsi="宋体"/>
          <w:kern w:val="44"/>
          <w:sz w:val="24"/>
          <w:szCs w:val="24"/>
        </w:rPr>
        <w:t>1.4监理工作内容</w:t>
      </w:r>
      <w:bookmarkEnd w:id="31"/>
      <w:bookmarkEnd w:id="32"/>
    </w:p>
    <w:p>
      <w:pPr>
        <w:spacing w:line="360" w:lineRule="auto"/>
        <w:ind w:left="993" w:hanging="993" w:hangingChars="412"/>
        <w:rPr>
          <w:rFonts w:ascii="宋体" w:hAnsi="宋体" w:cs="Arial"/>
          <w:b/>
          <w:sz w:val="24"/>
        </w:rPr>
      </w:pPr>
      <w:r>
        <w:rPr>
          <w:rFonts w:hint="eastAsia" w:ascii="宋体" w:hAnsi="宋体" w:cs="Arial"/>
          <w:b/>
          <w:sz w:val="24"/>
        </w:rPr>
        <w:t>1.4.1 成本</w:t>
      </w:r>
      <w:r>
        <w:rPr>
          <w:rFonts w:ascii="宋体" w:hAnsi="宋体" w:cs="Arial"/>
          <w:b/>
          <w:sz w:val="24"/>
        </w:rPr>
        <w:t>控制</w:t>
      </w:r>
    </w:p>
    <w:p>
      <w:pPr>
        <w:spacing w:line="360" w:lineRule="auto"/>
        <w:ind w:left="988" w:leftChars="57" w:hanging="868" w:hangingChars="362"/>
        <w:rPr>
          <w:rFonts w:ascii="宋体" w:hAnsi="宋体" w:cs="Arial"/>
          <w:sz w:val="24"/>
        </w:rPr>
      </w:pPr>
      <w:r>
        <w:rPr>
          <w:rFonts w:hint="eastAsia" w:ascii="宋体" w:hAnsi="宋体" w:cs="Arial"/>
          <w:sz w:val="24"/>
        </w:rPr>
        <w:t>按照业主单位与承建单位签订的合同进行成本控制。</w:t>
      </w:r>
    </w:p>
    <w:p>
      <w:pPr>
        <w:spacing w:line="360" w:lineRule="auto"/>
        <w:ind w:left="993" w:hanging="993" w:hangingChars="412"/>
        <w:rPr>
          <w:rFonts w:ascii="宋体" w:hAnsi="宋体" w:cs="Arial"/>
          <w:b/>
          <w:sz w:val="24"/>
        </w:rPr>
      </w:pPr>
      <w:r>
        <w:rPr>
          <w:rFonts w:hint="eastAsia" w:ascii="宋体" w:hAnsi="宋体" w:cs="Arial"/>
          <w:b/>
          <w:sz w:val="24"/>
        </w:rPr>
        <w:t xml:space="preserve">1.4.2 </w:t>
      </w:r>
      <w:r>
        <w:rPr>
          <w:rFonts w:ascii="宋体" w:hAnsi="宋体" w:cs="Arial"/>
          <w:b/>
          <w:sz w:val="24"/>
        </w:rPr>
        <w:t>进度控制</w:t>
      </w:r>
    </w:p>
    <w:p>
      <w:pPr>
        <w:spacing w:line="360" w:lineRule="auto"/>
        <w:ind w:left="900" w:leftChars="57" w:hanging="780" w:hangingChars="325"/>
        <w:rPr>
          <w:rFonts w:ascii="宋体" w:hAnsi="宋体" w:cs="Arial"/>
          <w:sz w:val="24"/>
        </w:rPr>
      </w:pPr>
      <w:r>
        <w:rPr>
          <w:rFonts w:ascii="宋体" w:hAnsi="宋体" w:cs="Arial"/>
          <w:sz w:val="24"/>
        </w:rPr>
        <w:t>按照业主单位与承建单位签订的合同及其补充协议进行</w:t>
      </w:r>
      <w:r>
        <w:rPr>
          <w:rFonts w:hint="eastAsia" w:ascii="宋体" w:hAnsi="宋体" w:cs="Arial"/>
          <w:sz w:val="24"/>
        </w:rPr>
        <w:t>系统建设</w:t>
      </w:r>
      <w:r>
        <w:rPr>
          <w:rFonts w:ascii="宋体" w:hAnsi="宋体" w:cs="Arial"/>
          <w:sz w:val="24"/>
        </w:rPr>
        <w:t>的进度控制</w:t>
      </w:r>
      <w:r>
        <w:rPr>
          <w:rFonts w:hint="eastAsia" w:ascii="宋体" w:hAnsi="宋体" w:cs="Arial"/>
          <w:sz w:val="24"/>
        </w:rPr>
        <w:t>。</w:t>
      </w:r>
    </w:p>
    <w:p>
      <w:pPr>
        <w:spacing w:line="360" w:lineRule="auto"/>
        <w:ind w:left="900" w:leftChars="57" w:hanging="780" w:hangingChars="325"/>
        <w:rPr>
          <w:rFonts w:ascii="宋体" w:hAnsi="宋体" w:cs="Arial"/>
          <w:sz w:val="24"/>
        </w:rPr>
      </w:pPr>
      <w:r>
        <w:rPr>
          <w:rFonts w:ascii="宋体" w:hAnsi="宋体" w:cs="Arial"/>
          <w:sz w:val="24"/>
        </w:rPr>
        <w:t>对于</w:t>
      </w:r>
      <w:r>
        <w:rPr>
          <w:rFonts w:hint="eastAsia" w:ascii="宋体" w:hAnsi="宋体" w:cs="Arial"/>
          <w:sz w:val="24"/>
        </w:rPr>
        <w:t>系统建设</w:t>
      </w:r>
      <w:r>
        <w:rPr>
          <w:rFonts w:ascii="宋体" w:hAnsi="宋体" w:cs="Arial"/>
          <w:sz w:val="24"/>
        </w:rPr>
        <w:t>过程中出现的可能影响</w:t>
      </w:r>
      <w:r>
        <w:rPr>
          <w:rFonts w:hint="eastAsia" w:ascii="宋体" w:hAnsi="宋体" w:cs="Arial"/>
          <w:sz w:val="24"/>
        </w:rPr>
        <w:t>工程</w:t>
      </w:r>
      <w:r>
        <w:rPr>
          <w:rFonts w:ascii="宋体" w:hAnsi="宋体" w:cs="Arial"/>
          <w:sz w:val="24"/>
        </w:rPr>
        <w:t>进度的情况，及时向业主单位通报</w:t>
      </w:r>
      <w:r>
        <w:rPr>
          <w:rFonts w:hint="eastAsia" w:ascii="宋体" w:hAnsi="宋体" w:cs="Arial"/>
          <w:sz w:val="24"/>
        </w:rPr>
        <w:t>。</w:t>
      </w:r>
    </w:p>
    <w:p>
      <w:pPr>
        <w:spacing w:line="360" w:lineRule="auto"/>
        <w:ind w:left="993" w:hanging="993" w:hangingChars="412"/>
        <w:rPr>
          <w:rFonts w:ascii="宋体" w:hAnsi="宋体" w:cs="Arial"/>
          <w:b/>
          <w:sz w:val="24"/>
        </w:rPr>
      </w:pPr>
      <w:r>
        <w:rPr>
          <w:rFonts w:hint="eastAsia" w:ascii="宋体" w:hAnsi="宋体" w:cs="Arial"/>
          <w:b/>
          <w:sz w:val="24"/>
        </w:rPr>
        <w:t xml:space="preserve">1.4.3 </w:t>
      </w:r>
      <w:r>
        <w:rPr>
          <w:rFonts w:ascii="宋体" w:hAnsi="宋体" w:cs="Arial"/>
          <w:b/>
          <w:sz w:val="24"/>
        </w:rPr>
        <w:t>质量控制</w:t>
      </w:r>
    </w:p>
    <w:p>
      <w:pPr>
        <w:spacing w:line="360" w:lineRule="auto"/>
        <w:ind w:firstLine="120" w:firstLineChars="50"/>
        <w:rPr>
          <w:rFonts w:ascii="宋体" w:hAnsi="宋体"/>
          <w:sz w:val="24"/>
        </w:rPr>
      </w:pPr>
      <w:r>
        <w:rPr>
          <w:rFonts w:hint="eastAsia" w:ascii="宋体" w:hAnsi="宋体"/>
          <w:sz w:val="24"/>
        </w:rPr>
        <w:t>审核承建单位制订的技术方案。</w:t>
      </w:r>
    </w:p>
    <w:p>
      <w:pPr>
        <w:spacing w:line="360" w:lineRule="auto"/>
        <w:ind w:firstLine="120" w:firstLineChars="50"/>
        <w:rPr>
          <w:rFonts w:ascii="宋体" w:hAnsi="宋体"/>
          <w:sz w:val="24"/>
        </w:rPr>
      </w:pPr>
      <w:r>
        <w:rPr>
          <w:rFonts w:hint="eastAsia" w:ascii="宋体" w:hAnsi="宋体"/>
          <w:sz w:val="24"/>
        </w:rPr>
        <w:t>审核承建单位制订的采购方案，协助业主验收采购货物。</w:t>
      </w:r>
    </w:p>
    <w:p>
      <w:pPr>
        <w:spacing w:line="360" w:lineRule="auto"/>
        <w:ind w:left="993" w:hanging="993" w:hangingChars="412"/>
        <w:rPr>
          <w:rFonts w:ascii="宋体" w:hAnsi="宋体" w:cs="Arial"/>
          <w:b/>
          <w:sz w:val="24"/>
        </w:rPr>
      </w:pPr>
      <w:r>
        <w:rPr>
          <w:rFonts w:hint="eastAsia" w:ascii="宋体" w:hAnsi="宋体" w:cs="Arial"/>
          <w:b/>
          <w:sz w:val="24"/>
        </w:rPr>
        <w:t xml:space="preserve"> 1.4.4</w:t>
      </w:r>
      <w:r>
        <w:rPr>
          <w:rFonts w:ascii="宋体" w:hAnsi="宋体" w:cs="Arial"/>
          <w:b/>
          <w:sz w:val="24"/>
        </w:rPr>
        <w:t>合同管理</w:t>
      </w:r>
    </w:p>
    <w:p>
      <w:pPr>
        <w:spacing w:line="360" w:lineRule="auto"/>
        <w:ind w:left="987" w:leftChars="228" w:hanging="508" w:hangingChars="212"/>
        <w:rPr>
          <w:rFonts w:ascii="宋体" w:hAnsi="宋体" w:cs="Arial"/>
          <w:sz w:val="24"/>
        </w:rPr>
      </w:pPr>
      <w:r>
        <w:rPr>
          <w:rFonts w:ascii="宋体" w:hAnsi="宋体" w:cs="Arial"/>
          <w:sz w:val="24"/>
        </w:rPr>
        <w:t>合同执行的监理</w:t>
      </w:r>
      <w:r>
        <w:rPr>
          <w:rFonts w:hint="eastAsia" w:ascii="宋体" w:hAnsi="宋体" w:cs="Arial"/>
          <w:sz w:val="24"/>
        </w:rPr>
        <w:t>。</w:t>
      </w:r>
    </w:p>
    <w:p>
      <w:pPr>
        <w:spacing w:line="360" w:lineRule="auto"/>
        <w:ind w:left="993" w:hanging="993" w:hangingChars="412"/>
        <w:rPr>
          <w:rFonts w:ascii="宋体" w:hAnsi="宋体" w:cs="Arial"/>
          <w:b/>
          <w:sz w:val="24"/>
        </w:rPr>
      </w:pPr>
      <w:r>
        <w:rPr>
          <w:rFonts w:hint="eastAsia" w:ascii="宋体" w:hAnsi="宋体" w:cs="Arial"/>
          <w:b/>
          <w:sz w:val="24"/>
        </w:rPr>
        <w:t>1.4.5文档</w:t>
      </w:r>
      <w:r>
        <w:rPr>
          <w:rFonts w:ascii="宋体" w:hAnsi="宋体" w:cs="Arial"/>
          <w:b/>
          <w:sz w:val="24"/>
        </w:rPr>
        <w:t>管理</w:t>
      </w:r>
    </w:p>
    <w:p>
      <w:pPr>
        <w:spacing w:line="360" w:lineRule="auto"/>
        <w:ind w:left="2" w:leftChars="1" w:firstLine="240" w:firstLineChars="100"/>
        <w:rPr>
          <w:rFonts w:ascii="宋体" w:hAnsi="宋体" w:cs="Arial"/>
          <w:sz w:val="24"/>
        </w:rPr>
      </w:pPr>
      <w:r>
        <w:rPr>
          <w:rFonts w:ascii="宋体" w:hAnsi="宋体" w:cs="Arial"/>
          <w:sz w:val="24"/>
        </w:rPr>
        <w:t>整理记录归档业主单位与承建单位来往的文件、合同、协议及会议记录、电话记录等各种文档</w:t>
      </w:r>
      <w:r>
        <w:rPr>
          <w:rFonts w:hint="eastAsia" w:ascii="宋体" w:hAnsi="宋体" w:cs="Arial"/>
          <w:sz w:val="24"/>
        </w:rPr>
        <w:t>，</w:t>
      </w:r>
      <w:r>
        <w:rPr>
          <w:rFonts w:ascii="宋体" w:hAnsi="宋体" w:cs="Arial"/>
          <w:sz w:val="24"/>
        </w:rPr>
        <w:t>文档的审查工作</w:t>
      </w:r>
      <w:r>
        <w:rPr>
          <w:rFonts w:hint="eastAsia" w:ascii="宋体" w:hAnsi="宋体" w:cs="Arial"/>
          <w:sz w:val="24"/>
        </w:rPr>
        <w:t>，</w:t>
      </w:r>
      <w:r>
        <w:rPr>
          <w:rFonts w:ascii="宋体" w:hAnsi="宋体" w:cs="Arial"/>
          <w:sz w:val="24"/>
        </w:rPr>
        <w:t>建立管理平台监理工作文件，按时提供业主单位</w:t>
      </w:r>
      <w:r>
        <w:rPr>
          <w:rFonts w:hint="eastAsia" w:ascii="宋体" w:hAnsi="宋体" w:cs="Arial"/>
          <w:sz w:val="24"/>
        </w:rPr>
        <w:t>。</w:t>
      </w:r>
    </w:p>
    <w:p>
      <w:pPr>
        <w:spacing w:line="360" w:lineRule="auto"/>
        <w:ind w:left="993" w:hanging="993" w:hangingChars="412"/>
        <w:rPr>
          <w:rFonts w:ascii="宋体" w:hAnsi="宋体" w:cs="Arial"/>
          <w:b/>
          <w:sz w:val="24"/>
        </w:rPr>
      </w:pPr>
      <w:r>
        <w:rPr>
          <w:rFonts w:hint="eastAsia" w:ascii="宋体" w:hAnsi="宋体" w:cs="Arial"/>
          <w:b/>
          <w:sz w:val="24"/>
        </w:rPr>
        <w:t>1.4．6</w:t>
      </w:r>
      <w:r>
        <w:rPr>
          <w:rFonts w:ascii="宋体" w:hAnsi="宋体" w:cs="Arial"/>
          <w:b/>
          <w:sz w:val="24"/>
        </w:rPr>
        <w:t>组织协调</w:t>
      </w:r>
    </w:p>
    <w:p>
      <w:pPr>
        <w:spacing w:line="360" w:lineRule="auto"/>
        <w:ind w:firstLine="480" w:firstLineChars="200"/>
        <w:rPr>
          <w:rFonts w:ascii="宋体" w:hAnsi="宋体" w:cs="Arial"/>
          <w:sz w:val="24"/>
        </w:rPr>
      </w:pPr>
      <w:r>
        <w:rPr>
          <w:rFonts w:ascii="宋体" w:hAnsi="宋体" w:cs="Arial"/>
          <w:sz w:val="24"/>
        </w:rPr>
        <w:t>对于系统的工作中出现的可能影响工程进度和质量的情况，及时予以通报并召开相关会议</w:t>
      </w:r>
      <w:r>
        <w:rPr>
          <w:rFonts w:hint="eastAsia" w:ascii="宋体" w:hAnsi="宋体" w:cs="Arial"/>
          <w:sz w:val="24"/>
        </w:rPr>
        <w:t>，</w:t>
      </w:r>
      <w:r>
        <w:rPr>
          <w:rFonts w:ascii="宋体" w:hAnsi="宋体" w:cs="Arial"/>
          <w:sz w:val="24"/>
        </w:rPr>
        <w:t>进行组织协调</w:t>
      </w:r>
      <w:r>
        <w:rPr>
          <w:rFonts w:hint="eastAsia" w:ascii="宋体" w:hAnsi="宋体" w:cs="Arial"/>
          <w:sz w:val="24"/>
        </w:rPr>
        <w:t>。</w:t>
      </w:r>
    </w:p>
    <w:p>
      <w:pPr>
        <w:spacing w:line="360" w:lineRule="auto"/>
        <w:ind w:left="993" w:hanging="993" w:hangingChars="412"/>
        <w:rPr>
          <w:rFonts w:ascii="宋体" w:hAnsi="宋体" w:cs="Arial"/>
          <w:b/>
          <w:sz w:val="24"/>
        </w:rPr>
      </w:pPr>
      <w:r>
        <w:rPr>
          <w:rFonts w:hint="eastAsia" w:ascii="宋体" w:hAnsi="宋体" w:cs="Arial"/>
          <w:b/>
          <w:sz w:val="24"/>
        </w:rPr>
        <w:t>1.4.7项目验收</w:t>
      </w:r>
    </w:p>
    <w:p>
      <w:pPr>
        <w:spacing w:line="360" w:lineRule="auto"/>
        <w:ind w:firstLine="480" w:firstLineChars="200"/>
        <w:rPr>
          <w:rFonts w:ascii="宋体" w:hAnsi="宋体" w:cs="Arial"/>
          <w:sz w:val="24"/>
        </w:rPr>
      </w:pPr>
      <w:r>
        <w:rPr>
          <w:rFonts w:hint="eastAsia" w:ascii="宋体" w:hAnsi="宋体" w:cs="Arial"/>
          <w:sz w:val="24"/>
        </w:rPr>
        <w:t>按照相关规定，组织和协调有关测评单位的测评和验收工作。</w:t>
      </w:r>
    </w:p>
    <w:p>
      <w:pPr>
        <w:rPr>
          <w:rFonts w:ascii="宋体" w:hAnsi="宋体"/>
          <w:sz w:val="24"/>
        </w:rPr>
      </w:pPr>
    </w:p>
    <w:p>
      <w:pPr>
        <w:pStyle w:val="6"/>
        <w:rPr>
          <w:rFonts w:ascii="宋体" w:hAnsi="宋体"/>
          <w:kern w:val="44"/>
          <w:sz w:val="24"/>
          <w:szCs w:val="24"/>
        </w:rPr>
      </w:pPr>
      <w:bookmarkStart w:id="33" w:name="_Toc40954363"/>
      <w:r>
        <w:rPr>
          <w:rFonts w:hint="eastAsia" w:ascii="宋体" w:hAnsi="宋体"/>
          <w:kern w:val="44"/>
          <w:sz w:val="24"/>
          <w:szCs w:val="24"/>
        </w:rPr>
        <w:t>1.5监理工作质量要求</w:t>
      </w:r>
      <w:bookmarkEnd w:id="33"/>
    </w:p>
    <w:p>
      <w:pPr>
        <w:spacing w:after="156" w:line="360" w:lineRule="auto"/>
        <w:ind w:firstLine="420"/>
        <w:rPr>
          <w:rFonts w:ascii="宋体" w:hAnsi="宋体"/>
          <w:color w:val="000000"/>
          <w:sz w:val="24"/>
        </w:rPr>
      </w:pPr>
      <w:r>
        <w:rPr>
          <w:rFonts w:hint="eastAsia" w:ascii="宋体" w:hAnsi="宋体"/>
          <w:color w:val="000000"/>
          <w:sz w:val="24"/>
        </w:rPr>
        <w:t>监理单位应该在成本控制、进度控制、质量控制、安全保密控制、合同管理、文档管理、组织协调和其他工作这拔个方面对监理工程采取必要和完善的监督、控制和管理措施，保证监理工程能够按时、按质、按量竣工。</w:t>
      </w:r>
    </w:p>
    <w:p>
      <w:pPr>
        <w:spacing w:after="156" w:line="360" w:lineRule="auto"/>
        <w:ind w:firstLine="461"/>
        <w:rPr>
          <w:rFonts w:ascii="宋体" w:hAnsi="宋体"/>
          <w:color w:val="000000"/>
          <w:sz w:val="24"/>
        </w:rPr>
      </w:pPr>
      <w:r>
        <w:rPr>
          <w:rFonts w:hint="eastAsia" w:ascii="宋体" w:hAnsi="宋体"/>
          <w:color w:val="000000"/>
          <w:sz w:val="24"/>
        </w:rPr>
        <w:t>监理单位必须定时向项目业主单位通报工程进展情况及工程实施过程中所遇到的问题。</w:t>
      </w:r>
    </w:p>
    <w:p>
      <w:pPr>
        <w:pStyle w:val="6"/>
        <w:rPr>
          <w:rFonts w:ascii="宋体" w:hAnsi="宋体"/>
          <w:kern w:val="44"/>
          <w:sz w:val="24"/>
          <w:szCs w:val="24"/>
        </w:rPr>
      </w:pPr>
      <w:bookmarkStart w:id="34" w:name="_Toc36982870"/>
      <w:bookmarkStart w:id="35" w:name="_Toc40954364"/>
      <w:r>
        <w:rPr>
          <w:rFonts w:hint="eastAsia" w:ascii="宋体" w:hAnsi="宋体"/>
          <w:kern w:val="44"/>
          <w:sz w:val="24"/>
          <w:szCs w:val="24"/>
        </w:rPr>
        <w:t>1.6监理工作期限</w:t>
      </w:r>
      <w:bookmarkEnd w:id="34"/>
      <w:bookmarkEnd w:id="35"/>
    </w:p>
    <w:p>
      <w:pPr>
        <w:spacing w:after="156" w:line="360" w:lineRule="auto"/>
        <w:ind w:firstLine="461"/>
        <w:rPr>
          <w:rFonts w:ascii="宋体" w:hAnsi="宋体"/>
          <w:color w:val="000000"/>
          <w:sz w:val="24"/>
        </w:rPr>
      </w:pPr>
      <w:r>
        <w:rPr>
          <w:rFonts w:hint="eastAsia" w:ascii="宋体" w:hAnsi="宋体"/>
          <w:color w:val="000000"/>
          <w:sz w:val="24"/>
        </w:rPr>
        <w:t>监理工作期</w:t>
      </w:r>
      <w:r>
        <w:rPr>
          <w:rFonts w:hint="eastAsia" w:ascii="宋体" w:hAnsi="宋体"/>
          <w:sz w:val="24"/>
        </w:rPr>
        <w:t>限：</w:t>
      </w:r>
      <w:r>
        <w:rPr>
          <w:rFonts w:hint="eastAsia" w:ascii="宋体" w:hAnsi="宋体" w:cs="宋体"/>
          <w:color w:val="000000"/>
          <w:kern w:val="0"/>
          <w:sz w:val="24"/>
          <w:shd w:val="clear" w:color="auto" w:fill="FFFFFF"/>
        </w:rPr>
        <w:t>自合同签署之日至本项目终验结束止</w:t>
      </w:r>
      <w:r>
        <w:rPr>
          <w:rFonts w:hint="eastAsia" w:ascii="宋体" w:hAnsi="宋体"/>
          <w:color w:val="000000"/>
          <w:sz w:val="24"/>
        </w:rPr>
        <w:t>。</w:t>
      </w:r>
    </w:p>
    <w:p>
      <w:pPr>
        <w:pStyle w:val="6"/>
        <w:rPr>
          <w:rFonts w:ascii="宋体" w:hAnsi="宋体"/>
          <w:kern w:val="44"/>
          <w:sz w:val="24"/>
          <w:szCs w:val="24"/>
        </w:rPr>
      </w:pPr>
      <w:bookmarkStart w:id="36" w:name="_Toc40954365"/>
      <w:r>
        <w:rPr>
          <w:rFonts w:hint="eastAsia" w:ascii="宋体" w:hAnsi="宋体"/>
          <w:kern w:val="44"/>
          <w:sz w:val="24"/>
          <w:szCs w:val="24"/>
        </w:rPr>
        <w:t>1.7监理的责任</w:t>
      </w:r>
      <w:bookmarkEnd w:id="36"/>
    </w:p>
    <w:p>
      <w:pPr>
        <w:spacing w:after="156" w:line="360" w:lineRule="auto"/>
        <w:ind w:firstLine="459"/>
        <w:rPr>
          <w:rFonts w:ascii="宋体" w:hAnsi="宋体"/>
          <w:color w:val="000000"/>
          <w:sz w:val="24"/>
        </w:rPr>
      </w:pPr>
      <w:r>
        <w:rPr>
          <w:rFonts w:ascii="宋体" w:hAnsi="宋体"/>
          <w:color w:val="000000"/>
          <w:sz w:val="24"/>
        </w:rPr>
        <w:t>1</w:t>
      </w:r>
      <w:r>
        <w:rPr>
          <w:rFonts w:hint="eastAsia" w:ascii="宋体" w:hAnsi="宋体"/>
          <w:color w:val="000000"/>
          <w:sz w:val="24"/>
        </w:rPr>
        <w:t>、监理单位有责任为业主单位提供项目顾问咨询意见，有义务帮助承建单位实现合同所规定的目标，公正维护各方的合法权益。</w:t>
      </w:r>
    </w:p>
    <w:p>
      <w:pPr>
        <w:spacing w:after="156" w:line="360" w:lineRule="auto"/>
        <w:ind w:firstLine="459"/>
        <w:rPr>
          <w:rFonts w:ascii="宋体" w:hAnsi="宋体"/>
          <w:color w:val="000000"/>
          <w:sz w:val="24"/>
        </w:rPr>
      </w:pPr>
      <w:r>
        <w:rPr>
          <w:rFonts w:ascii="宋体" w:hAnsi="宋体"/>
          <w:color w:val="000000"/>
          <w:sz w:val="24"/>
        </w:rPr>
        <w:t>2</w:t>
      </w:r>
      <w:r>
        <w:rPr>
          <w:rFonts w:hint="eastAsia" w:ascii="宋体" w:hAnsi="宋体"/>
          <w:color w:val="000000"/>
          <w:sz w:val="24"/>
        </w:rPr>
        <w:t>、在本合同期内及合同终止后，未征得业主单位同意，不得泄露与本工程项目有关的资料。</w:t>
      </w:r>
    </w:p>
    <w:p>
      <w:pPr>
        <w:spacing w:after="156" w:line="360" w:lineRule="auto"/>
        <w:ind w:firstLine="459"/>
        <w:rPr>
          <w:rFonts w:ascii="宋体" w:hAnsi="宋体"/>
          <w:color w:val="000000"/>
          <w:sz w:val="24"/>
        </w:rPr>
      </w:pPr>
      <w:r>
        <w:rPr>
          <w:rFonts w:ascii="宋体" w:hAnsi="宋体"/>
          <w:color w:val="000000"/>
          <w:sz w:val="24"/>
        </w:rPr>
        <w:t>3</w:t>
      </w:r>
      <w:r>
        <w:rPr>
          <w:rFonts w:hint="eastAsia" w:ascii="宋体" w:hAnsi="宋体"/>
          <w:color w:val="000000"/>
          <w:sz w:val="24"/>
        </w:rPr>
        <w:t>、由于承建单位在工程实施中不符合工程规范和质量要求，监理单位要监督承建单位停工整改或返工。如承建单位人员工作不力，可提出调换有关人员。</w:t>
      </w:r>
    </w:p>
    <w:p>
      <w:pPr>
        <w:spacing w:after="156" w:line="360" w:lineRule="auto"/>
        <w:ind w:firstLine="459"/>
        <w:rPr>
          <w:rFonts w:ascii="宋体" w:hAnsi="宋体"/>
          <w:color w:val="000000"/>
          <w:sz w:val="24"/>
        </w:rPr>
      </w:pPr>
      <w:r>
        <w:rPr>
          <w:rFonts w:ascii="宋体" w:hAnsi="宋体"/>
          <w:color w:val="000000"/>
          <w:sz w:val="24"/>
        </w:rPr>
        <w:t>4</w:t>
      </w:r>
      <w:r>
        <w:rPr>
          <w:rFonts w:hint="eastAsia" w:ascii="宋体" w:hAnsi="宋体"/>
          <w:color w:val="000000"/>
          <w:sz w:val="24"/>
        </w:rPr>
        <w:t>、如果承建单位违反合同规定的质量要求和完工时限，监理单位应协助业主单位追究有关承建单位的责任。</w:t>
      </w:r>
    </w:p>
    <w:p>
      <w:pPr>
        <w:spacing w:after="156" w:line="360" w:lineRule="auto"/>
        <w:ind w:firstLine="459"/>
        <w:rPr>
          <w:rFonts w:ascii="宋体" w:hAnsi="宋体"/>
          <w:color w:val="000000"/>
          <w:sz w:val="24"/>
        </w:rPr>
      </w:pPr>
      <w:r>
        <w:rPr>
          <w:rFonts w:ascii="宋体" w:hAnsi="宋体"/>
          <w:color w:val="000000"/>
          <w:sz w:val="24"/>
        </w:rPr>
        <w:t>5</w:t>
      </w:r>
      <w:r>
        <w:rPr>
          <w:rFonts w:hint="eastAsia" w:ascii="宋体" w:hAnsi="宋体"/>
          <w:color w:val="000000"/>
          <w:sz w:val="24"/>
        </w:rPr>
        <w:t>、如果因监理单位监督不力，造成业主单位经济损失的，监理单位要向业主单位赔偿承建单位造成的损失。</w:t>
      </w:r>
    </w:p>
    <w:p>
      <w:pPr>
        <w:spacing w:after="156" w:line="360" w:lineRule="auto"/>
        <w:ind w:firstLine="459"/>
        <w:rPr>
          <w:rFonts w:ascii="宋体" w:hAnsi="宋体"/>
          <w:color w:val="000000"/>
          <w:sz w:val="24"/>
        </w:rPr>
      </w:pPr>
      <w:r>
        <w:rPr>
          <w:rFonts w:ascii="宋体" w:hAnsi="宋体"/>
          <w:color w:val="000000"/>
          <w:sz w:val="24"/>
        </w:rPr>
        <w:t>6</w:t>
      </w:r>
      <w:r>
        <w:rPr>
          <w:rFonts w:hint="eastAsia" w:ascii="宋体" w:hAnsi="宋体"/>
          <w:color w:val="000000"/>
          <w:sz w:val="24"/>
        </w:rPr>
        <w:t>、监理单位使用业主单位提供的设备和物品属业主单位所有，在监理工作完成或终止时，应将设备和剩余物品在合同规定的时间和方式移交给业主单位。</w:t>
      </w:r>
    </w:p>
    <w:p>
      <w:pPr>
        <w:pStyle w:val="6"/>
        <w:rPr>
          <w:rFonts w:ascii="宋体" w:hAnsi="宋体"/>
          <w:kern w:val="44"/>
          <w:sz w:val="24"/>
          <w:szCs w:val="24"/>
        </w:rPr>
      </w:pPr>
      <w:bookmarkStart w:id="37" w:name="_Toc40954366"/>
      <w:r>
        <w:rPr>
          <w:rFonts w:hint="eastAsia" w:ascii="宋体" w:hAnsi="宋体"/>
          <w:kern w:val="44"/>
          <w:sz w:val="24"/>
          <w:szCs w:val="24"/>
        </w:rPr>
        <w:t>1.8保密要求</w:t>
      </w:r>
      <w:bookmarkEnd w:id="37"/>
    </w:p>
    <w:p>
      <w:pPr>
        <w:spacing w:line="360" w:lineRule="auto"/>
        <w:ind w:firstLine="480"/>
        <w:rPr>
          <w:rFonts w:ascii="宋体" w:hAnsi="宋体"/>
          <w:sz w:val="24"/>
        </w:rPr>
      </w:pPr>
      <w:r>
        <w:rPr>
          <w:rFonts w:hint="eastAsia" w:ascii="宋体" w:hAnsi="宋体"/>
          <w:sz w:val="24"/>
        </w:rPr>
        <w:t>1、中标人应严守采购人的商业秘密，对采购人提供的所有资料和实施任务过程中接触的资料均予以保密。</w:t>
      </w:r>
    </w:p>
    <w:p>
      <w:pPr>
        <w:spacing w:line="440" w:lineRule="exact"/>
        <w:ind w:firstLine="480" w:firstLineChars="200"/>
        <w:jc w:val="left"/>
        <w:rPr>
          <w:rFonts w:ascii="宋体" w:hAnsi="宋体"/>
          <w:sz w:val="24"/>
        </w:rPr>
      </w:pPr>
      <w:r>
        <w:rPr>
          <w:rFonts w:hint="eastAsia" w:ascii="宋体" w:hAnsi="宋体"/>
          <w:sz w:val="24"/>
        </w:rPr>
        <w:t>2、本项目的相关建设、开发资料必须严格保密，未经采购人同意，不得向第三方透露。</w:t>
      </w:r>
    </w:p>
    <w:p>
      <w:pPr>
        <w:widowControl/>
        <w:shd w:val="clear" w:color="auto" w:fill="FFFFFF"/>
        <w:spacing w:before="100" w:beforeAutospacing="1" w:after="100" w:afterAutospacing="1" w:line="360" w:lineRule="atLeast"/>
        <w:ind w:firstLine="480"/>
        <w:rPr>
          <w:rFonts w:ascii="宋体" w:hAnsi="宋体" w:cs="宋体"/>
          <w:color w:val="000000"/>
          <w:sz w:val="27"/>
          <w:szCs w:val="27"/>
        </w:rPr>
      </w:pPr>
      <w:r>
        <w:rPr>
          <w:rFonts w:hint="eastAsia" w:ascii="宋体" w:hAnsi="宋体" w:cs="宋体"/>
          <w:color w:val="000000"/>
          <w:kern w:val="0"/>
          <w:sz w:val="24"/>
          <w:shd w:val="clear" w:color="auto" w:fill="FFFFFF"/>
        </w:rPr>
        <w:t>3、监理服务应遵守的基本准则</w:t>
      </w:r>
    </w:p>
    <w:p>
      <w:pPr>
        <w:widowControl/>
        <w:shd w:val="clear" w:color="auto" w:fill="FFFFFF"/>
        <w:spacing w:before="100" w:beforeAutospacing="1" w:after="100" w:afterAutospacing="1" w:line="360" w:lineRule="atLeast"/>
        <w:ind w:firstLine="480"/>
        <w:rPr>
          <w:rFonts w:ascii="宋体" w:hAnsi="宋体" w:cs="宋体"/>
          <w:color w:val="000000"/>
          <w:sz w:val="27"/>
          <w:szCs w:val="27"/>
        </w:rPr>
      </w:pPr>
      <w:r>
        <w:rPr>
          <w:rFonts w:hint="eastAsia" w:ascii="宋体" w:hAnsi="宋体" w:cs="宋体"/>
          <w:color w:val="000000"/>
          <w:kern w:val="0"/>
          <w:sz w:val="24"/>
          <w:shd w:val="clear" w:color="auto" w:fill="FFFFFF"/>
        </w:rPr>
        <w:t>遵照国家信息产业部信部信[2002]570号《信息系统项目监理暂行规定》的规定，以“守法、诚信、公正、科学”的准则执业，维护采购人与承建方的合法权益。工程监理应做到：</w:t>
      </w:r>
    </w:p>
    <w:p>
      <w:pPr>
        <w:widowControl/>
        <w:shd w:val="clear" w:color="auto" w:fill="FFFFFF"/>
        <w:spacing w:before="100" w:beforeAutospacing="1" w:after="100" w:afterAutospacing="1" w:line="360" w:lineRule="atLeast"/>
        <w:ind w:firstLine="480"/>
        <w:rPr>
          <w:rFonts w:ascii="宋体" w:hAnsi="宋体" w:cs="宋体"/>
          <w:color w:val="000000"/>
          <w:sz w:val="27"/>
          <w:szCs w:val="27"/>
        </w:rPr>
      </w:pPr>
      <w:r>
        <w:rPr>
          <w:rFonts w:hint="eastAsia" w:ascii="宋体" w:hAnsi="宋体" w:cs="宋体"/>
          <w:color w:val="000000"/>
          <w:kern w:val="0"/>
          <w:sz w:val="24"/>
          <w:shd w:val="clear" w:color="auto" w:fill="FFFFFF"/>
        </w:rPr>
        <w:t>3.1、执行有关项目建设的国家法律、法规、规范、标准和制度，履行监理合同规定的义务和职责；</w:t>
      </w:r>
    </w:p>
    <w:p>
      <w:pPr>
        <w:widowControl/>
        <w:shd w:val="clear" w:color="auto" w:fill="FFFFFF"/>
        <w:spacing w:before="100" w:beforeAutospacing="1" w:after="100" w:afterAutospacing="1" w:line="360" w:lineRule="atLeast"/>
        <w:ind w:firstLine="480"/>
        <w:rPr>
          <w:rFonts w:ascii="宋体" w:hAnsi="宋体" w:cs="宋体"/>
          <w:color w:val="000000"/>
          <w:sz w:val="27"/>
          <w:szCs w:val="27"/>
        </w:rPr>
      </w:pPr>
      <w:r>
        <w:rPr>
          <w:rFonts w:hint="eastAsia" w:ascii="宋体" w:hAnsi="宋体" w:cs="宋体"/>
          <w:color w:val="000000"/>
          <w:kern w:val="0"/>
          <w:sz w:val="24"/>
          <w:shd w:val="clear" w:color="auto" w:fill="FFFFFF"/>
        </w:rPr>
        <w:t>3.2、不得收受被监理单位的任何礼金；</w:t>
      </w:r>
    </w:p>
    <w:p>
      <w:pPr>
        <w:widowControl/>
        <w:shd w:val="clear" w:color="auto" w:fill="FFFFFF"/>
        <w:spacing w:before="100" w:beforeAutospacing="1" w:after="100" w:afterAutospacing="1" w:line="360" w:lineRule="atLeast"/>
        <w:ind w:firstLine="480"/>
        <w:rPr>
          <w:rFonts w:ascii="宋体" w:hAnsi="宋体" w:cs="宋体"/>
          <w:color w:val="000000"/>
          <w:sz w:val="27"/>
          <w:szCs w:val="27"/>
        </w:rPr>
      </w:pPr>
      <w:r>
        <w:rPr>
          <w:rFonts w:hint="eastAsia" w:ascii="宋体" w:hAnsi="宋体" w:cs="宋体"/>
          <w:color w:val="000000"/>
          <w:kern w:val="0"/>
          <w:sz w:val="24"/>
          <w:shd w:val="clear" w:color="auto" w:fill="FFFFFF"/>
        </w:rPr>
        <w:t>3.3、不得泄漏所监理项目各方认为需要保密的事项；</w:t>
      </w:r>
    </w:p>
    <w:p>
      <w:pPr>
        <w:widowControl/>
        <w:shd w:val="clear" w:color="auto" w:fill="FFFFFF"/>
        <w:spacing w:before="100" w:beforeAutospacing="1" w:after="100" w:afterAutospacing="1" w:line="360" w:lineRule="atLeast"/>
        <w:ind w:firstLine="480"/>
        <w:rPr>
          <w:rFonts w:ascii="宋体" w:hAnsi="宋体" w:cs="宋体"/>
          <w:color w:val="000000"/>
          <w:sz w:val="27"/>
          <w:szCs w:val="27"/>
        </w:rPr>
      </w:pPr>
      <w:r>
        <w:rPr>
          <w:rFonts w:hint="eastAsia" w:ascii="宋体" w:hAnsi="宋体" w:cs="宋体"/>
          <w:color w:val="000000"/>
          <w:kern w:val="0"/>
          <w:sz w:val="24"/>
          <w:shd w:val="clear" w:color="auto" w:fill="FFFFFF"/>
        </w:rPr>
        <w:t>3.4、遵守国家的法律和政府的有关条例、规定和办法等；</w:t>
      </w:r>
    </w:p>
    <w:p>
      <w:pPr>
        <w:widowControl/>
        <w:shd w:val="clear" w:color="auto" w:fill="FFFFFF"/>
        <w:spacing w:before="100" w:beforeAutospacing="1" w:after="100" w:afterAutospacing="1" w:line="360" w:lineRule="atLeast"/>
        <w:ind w:firstLine="480"/>
        <w:rPr>
          <w:rFonts w:ascii="宋体" w:hAnsi="宋体" w:cs="宋体"/>
          <w:color w:val="000000"/>
          <w:sz w:val="27"/>
          <w:szCs w:val="27"/>
        </w:rPr>
      </w:pPr>
      <w:r>
        <w:rPr>
          <w:rFonts w:hint="eastAsia" w:ascii="宋体" w:hAnsi="宋体" w:cs="宋体"/>
          <w:color w:val="000000"/>
          <w:kern w:val="0"/>
          <w:sz w:val="24"/>
          <w:shd w:val="clear" w:color="auto" w:fill="FFFFFF"/>
        </w:rPr>
        <w:t>3.5、坚持公正、公平、公开、独立地处理有关项目各方的争议；</w:t>
      </w:r>
    </w:p>
    <w:p>
      <w:pPr>
        <w:widowControl/>
        <w:shd w:val="clear" w:color="auto" w:fill="FFFFFF"/>
        <w:spacing w:before="100" w:beforeAutospacing="1" w:after="100" w:afterAutospacing="1" w:line="360" w:lineRule="atLeast"/>
        <w:ind w:firstLine="480"/>
        <w:rPr>
          <w:rFonts w:ascii="宋体" w:hAnsi="宋体" w:cs="宋体"/>
          <w:color w:val="000000"/>
          <w:sz w:val="27"/>
          <w:szCs w:val="27"/>
        </w:rPr>
      </w:pPr>
      <w:r>
        <w:rPr>
          <w:rFonts w:hint="eastAsia" w:ascii="宋体" w:hAnsi="宋体" w:cs="宋体"/>
          <w:color w:val="000000"/>
          <w:kern w:val="0"/>
          <w:sz w:val="24"/>
          <w:shd w:val="clear" w:color="auto" w:fill="FFFFFF"/>
        </w:rPr>
        <w:t>3.6、坚持科学的态度和实事求是的原则；</w:t>
      </w:r>
    </w:p>
    <w:p>
      <w:pPr>
        <w:widowControl/>
        <w:shd w:val="clear" w:color="auto" w:fill="FFFFFF"/>
        <w:spacing w:before="100" w:beforeAutospacing="1" w:after="100" w:afterAutospacing="1" w:line="360" w:lineRule="atLeast"/>
        <w:ind w:firstLine="48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3.7、在坚持按监理合同的规定向采购人提供技术服务的同时，帮助被监理者完成所担负</w:t>
      </w:r>
      <w:r>
        <w:rPr>
          <w:rFonts w:ascii="宋体" w:hAnsi="宋体" w:cs="宋体"/>
          <w:color w:val="000000"/>
          <w:kern w:val="0"/>
          <w:sz w:val="24"/>
          <w:shd w:val="clear" w:color="auto" w:fill="FFFFFF"/>
        </w:rPr>
        <w:t>的建设任务。</w:t>
      </w:r>
    </w:p>
    <w:p>
      <w:pPr>
        <w:tabs>
          <w:tab w:val="left" w:pos="540"/>
        </w:tabs>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1.9付款方式</w:t>
      </w:r>
    </w:p>
    <w:p>
      <w:pPr>
        <w:ind w:firstLine="480" w:firstLineChars="200"/>
        <w:rPr>
          <w:rFonts w:ascii="宋体" w:hAnsi="宋体" w:cs="宋体"/>
          <w:color w:val="000000"/>
          <w:kern w:val="0"/>
          <w:sz w:val="24"/>
          <w:shd w:val="clear" w:color="auto" w:fill="FFFFFF"/>
        </w:rPr>
      </w:pPr>
      <w:r>
        <w:rPr>
          <w:rFonts w:hint="eastAsia" w:ascii="宋体" w:hAnsi="宋体" w:cs="宋体"/>
          <w:sz w:val="24"/>
        </w:rPr>
        <w:t>付款方式由甲乙双方依据相关规定协商确定。</w:t>
      </w:r>
    </w:p>
    <w:p>
      <w:pPr>
        <w:rPr>
          <w:rFonts w:ascii="宋体" w:hAnsi="宋体" w:cs="宋体"/>
          <w:color w:val="000000"/>
          <w:kern w:val="0"/>
          <w:sz w:val="24"/>
          <w:shd w:val="clear" w:color="auto" w:fill="FFFFFF"/>
        </w:rPr>
      </w:pPr>
    </w:p>
    <w:p>
      <w:pPr>
        <w:pStyle w:val="5"/>
        <w:numPr>
          <w:ilvl w:val="0"/>
          <w:numId w:val="3"/>
        </w:numPr>
        <w:spacing w:line="240" w:lineRule="auto"/>
        <w:rPr>
          <w:rFonts w:ascii="宋体" w:hAnsi="宋体" w:eastAsia="宋体"/>
          <w:sz w:val="32"/>
          <w:szCs w:val="32"/>
        </w:rPr>
      </w:pPr>
      <w:bookmarkStart w:id="38" w:name="_Toc40954367"/>
      <w:r>
        <w:rPr>
          <w:rFonts w:hint="eastAsia" w:ascii="宋体" w:hAnsi="宋体" w:eastAsia="宋体"/>
          <w:sz w:val="32"/>
          <w:szCs w:val="32"/>
        </w:rPr>
        <w:t>谈判程序及方法</w:t>
      </w:r>
      <w:bookmarkEnd w:id="38"/>
    </w:p>
    <w:p>
      <w:pPr>
        <w:numPr>
          <w:ilvl w:val="1"/>
          <w:numId w:val="25"/>
        </w:numPr>
        <w:tabs>
          <w:tab w:val="left" w:pos="540"/>
          <w:tab w:val="clear" w:pos="840"/>
        </w:tabs>
        <w:spacing w:line="360" w:lineRule="auto"/>
        <w:rPr>
          <w:rFonts w:ascii="宋体" w:hAnsi="宋体"/>
          <w:sz w:val="24"/>
        </w:rPr>
      </w:pPr>
      <w:bookmarkStart w:id="39" w:name="_Toc487447832"/>
      <w:r>
        <w:rPr>
          <w:rFonts w:hint="eastAsia" w:ascii="宋体" w:hAnsi="宋体"/>
          <w:sz w:val="24"/>
        </w:rPr>
        <w:t>竞争性谈判的谈判程序</w:t>
      </w:r>
      <w:bookmarkEnd w:id="39"/>
    </w:p>
    <w:p>
      <w:pPr>
        <w:spacing w:line="360" w:lineRule="auto"/>
        <w:ind w:firstLine="480" w:firstLineChars="200"/>
        <w:rPr>
          <w:rFonts w:ascii="宋体" w:hAnsi="宋体"/>
          <w:sz w:val="24"/>
        </w:rPr>
      </w:pPr>
      <w:r>
        <w:rPr>
          <w:rFonts w:hint="eastAsia" w:ascii="宋体" w:hAnsi="宋体"/>
          <w:sz w:val="24"/>
        </w:rPr>
        <w:t>1.根据中华人民共和国财政部第18号令的规定，</w:t>
      </w:r>
      <w:r>
        <w:rPr>
          <w:rFonts w:ascii="宋体" w:hAnsi="宋体"/>
          <w:sz w:val="24"/>
        </w:rPr>
        <w:t>将组织谈判小组对邀请供应商逐一进行谈判</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2.参加谈判的供应商须携带本人身份证明、法人代表授权书原件，经工作人员查验核对后，方可参加正式谈判。</w:t>
      </w:r>
    </w:p>
    <w:p>
      <w:pPr>
        <w:spacing w:line="360" w:lineRule="auto"/>
        <w:ind w:firstLine="480" w:firstLineChars="200"/>
        <w:rPr>
          <w:rFonts w:ascii="宋体" w:hAnsi="宋体"/>
          <w:sz w:val="24"/>
        </w:rPr>
      </w:pPr>
      <w:r>
        <w:rPr>
          <w:rFonts w:hint="eastAsia" w:ascii="宋体" w:hAnsi="宋体"/>
          <w:sz w:val="24"/>
        </w:rPr>
        <w:t>3.在谈判过程中，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spacing w:line="360" w:lineRule="auto"/>
        <w:ind w:firstLine="480" w:firstLineChars="200"/>
        <w:rPr>
          <w:rFonts w:ascii="宋体" w:hAnsi="宋体"/>
          <w:bCs/>
          <w:kern w:val="44"/>
          <w:sz w:val="24"/>
        </w:rPr>
      </w:pPr>
      <w:r>
        <w:rPr>
          <w:rFonts w:hint="eastAsia" w:ascii="宋体" w:hAnsi="宋体"/>
          <w:sz w:val="24"/>
        </w:rPr>
        <w:t>4.</w:t>
      </w:r>
      <w:r>
        <w:rPr>
          <w:rFonts w:ascii="宋体" w:hAnsi="宋体"/>
          <w:sz w:val="24"/>
        </w:rPr>
        <w:t>在满足谈判文件要求的前提下，确定商务条款及各供应商提供的</w:t>
      </w:r>
      <w:r>
        <w:rPr>
          <w:rFonts w:hint="eastAsia" w:ascii="宋体" w:hAnsi="宋体"/>
          <w:sz w:val="24"/>
        </w:rPr>
        <w:t>产品</w:t>
      </w:r>
      <w:r>
        <w:rPr>
          <w:rFonts w:ascii="宋体" w:hAnsi="宋体"/>
          <w:sz w:val="24"/>
        </w:rPr>
        <w:t>质量、售前售后服务后，各供应商</w:t>
      </w:r>
      <w:r>
        <w:rPr>
          <w:rFonts w:hint="eastAsia" w:ascii="宋体" w:hAnsi="宋体"/>
          <w:sz w:val="24"/>
        </w:rPr>
        <w:t>按照谈判小组的要求在指定的时间内提交最终</w:t>
      </w:r>
      <w:r>
        <w:rPr>
          <w:rFonts w:ascii="宋体" w:hAnsi="宋体"/>
          <w:sz w:val="24"/>
        </w:rPr>
        <w:t>报价；根据符合采购需求、质量和服务相等且报价最低的原则确定成交供应商。</w:t>
      </w:r>
    </w:p>
    <w:p>
      <w:pPr>
        <w:numPr>
          <w:ilvl w:val="1"/>
          <w:numId w:val="25"/>
        </w:numPr>
        <w:tabs>
          <w:tab w:val="left" w:pos="540"/>
          <w:tab w:val="clear" w:pos="840"/>
        </w:tabs>
        <w:spacing w:line="360" w:lineRule="auto"/>
        <w:rPr>
          <w:rFonts w:ascii="宋体" w:hAnsi="宋体"/>
          <w:sz w:val="24"/>
        </w:rPr>
      </w:pPr>
      <w:bookmarkStart w:id="40" w:name="_Toc487447833"/>
      <w:r>
        <w:rPr>
          <w:rFonts w:hint="eastAsia" w:ascii="宋体" w:hAnsi="宋体"/>
          <w:sz w:val="24"/>
        </w:rPr>
        <w:t>谈判步骤</w:t>
      </w:r>
      <w:bookmarkEnd w:id="40"/>
    </w:p>
    <w:p>
      <w:pPr>
        <w:numPr>
          <w:ilvl w:val="0"/>
          <w:numId w:val="26"/>
        </w:numPr>
        <w:spacing w:line="360" w:lineRule="auto"/>
        <w:rPr>
          <w:rFonts w:ascii="宋体" w:hAnsi="宋体"/>
          <w:bCs/>
          <w:kern w:val="44"/>
          <w:sz w:val="24"/>
        </w:rPr>
      </w:pPr>
      <w:r>
        <w:rPr>
          <w:rFonts w:hint="eastAsia" w:ascii="宋体" w:hAnsi="宋体"/>
          <w:bCs/>
          <w:kern w:val="44"/>
          <w:sz w:val="24"/>
        </w:rPr>
        <w:t>第一轮谈判</w:t>
      </w:r>
    </w:p>
    <w:p>
      <w:pPr>
        <w:spacing w:line="360" w:lineRule="auto"/>
        <w:ind w:firstLine="480" w:firstLineChars="200"/>
        <w:rPr>
          <w:rFonts w:ascii="宋体" w:hAnsi="宋体"/>
          <w:bCs/>
          <w:kern w:val="44"/>
          <w:sz w:val="24"/>
        </w:rPr>
      </w:pPr>
      <w:r>
        <w:rPr>
          <w:rFonts w:hint="eastAsia" w:ascii="宋体" w:hAnsi="宋体"/>
          <w:bCs/>
          <w:kern w:val="44"/>
          <w:sz w:val="24"/>
        </w:rPr>
        <w:t>谈判小组按已确定的谈判顺序，与单一供应商分别就符合采购需求、质量和服务等进行谈判，并了解其报价组成情况。</w:t>
      </w:r>
    </w:p>
    <w:p>
      <w:pPr>
        <w:spacing w:line="360" w:lineRule="auto"/>
        <w:ind w:firstLine="480" w:firstLineChars="200"/>
        <w:rPr>
          <w:rFonts w:ascii="宋体" w:hAnsi="宋体"/>
          <w:bCs/>
          <w:kern w:val="44"/>
          <w:sz w:val="24"/>
        </w:rPr>
      </w:pPr>
      <w:r>
        <w:rPr>
          <w:rFonts w:hint="eastAsia" w:ascii="宋体" w:hAnsi="宋体"/>
          <w:bCs/>
          <w:kern w:val="44"/>
          <w:sz w:val="24"/>
        </w:rPr>
        <w:t>谈判中，谈判的任何一方不得透露与谈判有关的其他供应商的技术资料、价格和其它信息。</w:t>
      </w:r>
    </w:p>
    <w:p>
      <w:pPr>
        <w:spacing w:line="360" w:lineRule="auto"/>
        <w:ind w:firstLine="480" w:firstLineChars="200"/>
        <w:rPr>
          <w:rFonts w:ascii="宋体" w:hAnsi="宋体"/>
          <w:bCs/>
          <w:kern w:val="44"/>
          <w:sz w:val="24"/>
        </w:rPr>
      </w:pPr>
      <w:r>
        <w:rPr>
          <w:rFonts w:hint="eastAsia" w:ascii="宋体" w:hAnsi="宋体"/>
          <w:bCs/>
          <w:kern w:val="44"/>
          <w:sz w:val="24"/>
        </w:rPr>
        <w:t>代理机构对谈判过程和重要谈判内容进行记录，谈判双方在记录上签字确认。</w:t>
      </w:r>
    </w:p>
    <w:p>
      <w:pPr>
        <w:spacing w:line="360" w:lineRule="auto"/>
        <w:ind w:firstLine="480" w:firstLineChars="200"/>
        <w:rPr>
          <w:rFonts w:ascii="宋体" w:hAnsi="宋体"/>
          <w:bCs/>
          <w:kern w:val="44"/>
          <w:sz w:val="24"/>
        </w:rPr>
      </w:pPr>
      <w:r>
        <w:rPr>
          <w:rFonts w:hint="eastAsia" w:ascii="宋体" w:hAnsi="宋体"/>
          <w:bCs/>
          <w:kern w:val="44"/>
          <w:sz w:val="24"/>
        </w:rPr>
        <w:t>谈判小组一致确定响应供应商符合谈判文件要求的，按谈判文件设定的方法和标准确定成交候选人。第一轮谈判谈判小组未能确定成交候选人的，对谈判文件修正后进行第二轮谈判。</w:t>
      </w:r>
    </w:p>
    <w:p>
      <w:pPr>
        <w:numPr>
          <w:ilvl w:val="0"/>
          <w:numId w:val="26"/>
        </w:numPr>
        <w:spacing w:line="360" w:lineRule="auto"/>
        <w:rPr>
          <w:rFonts w:ascii="宋体" w:hAnsi="宋体"/>
          <w:bCs/>
          <w:kern w:val="44"/>
          <w:sz w:val="24"/>
        </w:rPr>
      </w:pPr>
      <w:r>
        <w:rPr>
          <w:rFonts w:hint="eastAsia" w:ascii="宋体" w:hAnsi="宋体"/>
          <w:bCs/>
          <w:kern w:val="44"/>
          <w:sz w:val="24"/>
        </w:rPr>
        <w:t>谈判文件修正</w:t>
      </w:r>
    </w:p>
    <w:p>
      <w:pPr>
        <w:spacing w:line="360" w:lineRule="auto"/>
        <w:ind w:firstLine="420"/>
        <w:rPr>
          <w:rFonts w:ascii="宋体" w:hAnsi="宋体"/>
          <w:bCs/>
          <w:kern w:val="44"/>
          <w:sz w:val="24"/>
        </w:rPr>
      </w:pPr>
      <w:r>
        <w:rPr>
          <w:rFonts w:hint="eastAsia" w:ascii="宋体" w:hAnsi="宋体"/>
          <w:bCs/>
          <w:kern w:val="44"/>
          <w:sz w:val="24"/>
        </w:rPr>
        <w:t>第一轮谈判结束后，各响应供应商退场等候，谈判小组进行合议。根据第一轮谈判掌握的情况，可以对谈判文件进行修改，确定采购内容的详细规格或具体要求，优化采购方案。</w:t>
      </w:r>
    </w:p>
    <w:p>
      <w:pPr>
        <w:spacing w:line="360" w:lineRule="auto"/>
        <w:ind w:firstLine="420"/>
        <w:rPr>
          <w:rFonts w:ascii="宋体" w:hAnsi="宋体"/>
          <w:bCs/>
          <w:kern w:val="44"/>
          <w:sz w:val="24"/>
        </w:rPr>
      </w:pPr>
      <w:r>
        <w:rPr>
          <w:rFonts w:hint="eastAsia" w:ascii="宋体" w:hAnsi="宋体"/>
          <w:bCs/>
          <w:kern w:val="44"/>
          <w:sz w:val="24"/>
        </w:rPr>
        <w:t>代理机构通知响应供应商集中，谈判小组强调调整后的采购要求，将谈判文件的修改结果以书面形式通知响应供应商，向响应供应商提供较充分的修正时间。</w:t>
      </w:r>
    </w:p>
    <w:p>
      <w:pPr>
        <w:spacing w:line="360" w:lineRule="auto"/>
        <w:ind w:firstLine="420"/>
        <w:rPr>
          <w:rFonts w:ascii="宋体" w:hAnsi="宋体"/>
          <w:bCs/>
          <w:kern w:val="44"/>
          <w:sz w:val="24"/>
        </w:rPr>
      </w:pPr>
      <w:r>
        <w:rPr>
          <w:rFonts w:hint="eastAsia" w:ascii="宋体" w:hAnsi="宋体"/>
          <w:bCs/>
          <w:kern w:val="44"/>
          <w:sz w:val="24"/>
        </w:rPr>
        <w:t>响应供应商根据第一轮谈判情况和谈判文件修改书面通知，对原响应文件进行修正，并将修正文件签字（盖章）后密封送交谈判小组。逾时不交的，视同放弃谈判。修正文件与响应文件同具法律效应。</w:t>
      </w:r>
    </w:p>
    <w:p>
      <w:pPr>
        <w:numPr>
          <w:ilvl w:val="0"/>
          <w:numId w:val="26"/>
        </w:numPr>
        <w:spacing w:line="360" w:lineRule="auto"/>
        <w:rPr>
          <w:rFonts w:ascii="宋体" w:hAnsi="宋体"/>
          <w:bCs/>
          <w:kern w:val="44"/>
          <w:sz w:val="24"/>
        </w:rPr>
      </w:pPr>
      <w:r>
        <w:rPr>
          <w:rFonts w:hint="eastAsia" w:ascii="宋体" w:hAnsi="宋体"/>
          <w:bCs/>
          <w:kern w:val="44"/>
          <w:sz w:val="24"/>
        </w:rPr>
        <w:t>第二轮谈判</w:t>
      </w:r>
    </w:p>
    <w:p>
      <w:pPr>
        <w:spacing w:line="360" w:lineRule="auto"/>
        <w:ind w:firstLine="420"/>
        <w:rPr>
          <w:rFonts w:ascii="宋体" w:hAnsi="宋体"/>
          <w:bCs/>
          <w:kern w:val="44"/>
          <w:sz w:val="24"/>
        </w:rPr>
      </w:pPr>
      <w:r>
        <w:rPr>
          <w:rFonts w:hint="eastAsia" w:ascii="宋体" w:hAnsi="宋体"/>
          <w:bCs/>
          <w:kern w:val="44"/>
          <w:sz w:val="24"/>
        </w:rPr>
        <w:t>谈判小组就修正后的响应文件与响应供应商分别进行谈判。代理机构对谈判过程和重要谈判内容进行记录，谈判双方在记录上签字确认。谈判小组按谈判文件设定的方法和标准确定成交候选人。</w:t>
      </w:r>
    </w:p>
    <w:p>
      <w:pPr>
        <w:spacing w:line="360" w:lineRule="auto"/>
        <w:ind w:firstLine="420"/>
        <w:rPr>
          <w:rFonts w:ascii="宋体" w:hAnsi="宋体"/>
          <w:bCs/>
          <w:kern w:val="44"/>
          <w:sz w:val="24"/>
        </w:rPr>
      </w:pPr>
      <w:r>
        <w:rPr>
          <w:rFonts w:hint="eastAsia" w:ascii="宋体" w:hAnsi="宋体"/>
          <w:bCs/>
          <w:kern w:val="44"/>
          <w:sz w:val="24"/>
        </w:rPr>
        <w:t>第二轮谈判小组未能确定成交候选人的，对谈判文件修正后进行第三轮谈判。以此类推。</w:t>
      </w:r>
    </w:p>
    <w:p>
      <w:pPr>
        <w:numPr>
          <w:ilvl w:val="0"/>
          <w:numId w:val="26"/>
        </w:numPr>
        <w:spacing w:line="360" w:lineRule="auto"/>
        <w:rPr>
          <w:rFonts w:ascii="宋体" w:hAnsi="宋体"/>
          <w:bCs/>
          <w:kern w:val="44"/>
          <w:sz w:val="24"/>
        </w:rPr>
      </w:pPr>
      <w:r>
        <w:rPr>
          <w:rFonts w:hint="eastAsia" w:ascii="宋体" w:hAnsi="宋体"/>
          <w:bCs/>
          <w:kern w:val="44"/>
          <w:sz w:val="24"/>
        </w:rPr>
        <w:t>最后报价</w:t>
      </w:r>
    </w:p>
    <w:p>
      <w:pPr>
        <w:spacing w:line="360" w:lineRule="auto"/>
        <w:rPr>
          <w:rFonts w:ascii="宋体" w:hAnsi="宋体"/>
          <w:bCs/>
          <w:kern w:val="44"/>
          <w:sz w:val="24"/>
        </w:rPr>
      </w:pPr>
      <w:r>
        <w:rPr>
          <w:rFonts w:hint="eastAsia" w:ascii="宋体" w:hAnsi="宋体"/>
          <w:bCs/>
          <w:kern w:val="44"/>
          <w:sz w:val="24"/>
        </w:rPr>
        <w:t xml:space="preserve">    成交候选人作最后报价，密封递交谈判小组。谈判小组按报价从低到高排序，推荐成交候选人顺序，形成谈判报告。</w:t>
      </w:r>
    </w:p>
    <w:p>
      <w:pPr>
        <w:numPr>
          <w:ilvl w:val="0"/>
          <w:numId w:val="26"/>
        </w:numPr>
        <w:spacing w:line="360" w:lineRule="auto"/>
        <w:rPr>
          <w:rFonts w:ascii="宋体" w:hAnsi="宋体"/>
          <w:bCs/>
          <w:kern w:val="44"/>
          <w:sz w:val="24"/>
        </w:rPr>
      </w:pPr>
      <w:r>
        <w:rPr>
          <w:rFonts w:hint="eastAsia" w:ascii="宋体" w:hAnsi="宋体"/>
          <w:bCs/>
          <w:kern w:val="44"/>
          <w:sz w:val="24"/>
        </w:rPr>
        <w:t>其它</w:t>
      </w:r>
    </w:p>
    <w:p>
      <w:pPr>
        <w:spacing w:line="360" w:lineRule="auto"/>
        <w:ind w:firstLine="420"/>
        <w:rPr>
          <w:rFonts w:ascii="宋体" w:hAnsi="宋体"/>
          <w:bCs/>
          <w:kern w:val="44"/>
          <w:sz w:val="24"/>
        </w:rPr>
      </w:pPr>
      <w:r>
        <w:rPr>
          <w:rFonts w:hint="eastAsia" w:ascii="宋体" w:hAnsi="宋体"/>
          <w:bCs/>
          <w:kern w:val="44"/>
          <w:sz w:val="24"/>
        </w:rPr>
        <w:t>响应供应商的报价均超过了政府采购预算，采购人不能支付的，谈判活动终止；终止后，采购人需要采取调整采购预算或项目配置标准等，或采取其他采购方式的，应当在采购活动开始前获得政府采购监督管理部门批准。</w:t>
      </w:r>
    </w:p>
    <w:p>
      <w:pPr>
        <w:spacing w:line="360" w:lineRule="auto"/>
        <w:ind w:firstLine="420"/>
        <w:rPr>
          <w:rFonts w:ascii="宋体" w:hAnsi="宋体"/>
          <w:bCs/>
          <w:kern w:val="44"/>
          <w:sz w:val="24"/>
        </w:rPr>
      </w:pPr>
    </w:p>
    <w:p>
      <w:pPr>
        <w:numPr>
          <w:ilvl w:val="1"/>
          <w:numId w:val="25"/>
        </w:numPr>
        <w:tabs>
          <w:tab w:val="left" w:pos="540"/>
          <w:tab w:val="clear" w:pos="840"/>
        </w:tabs>
        <w:spacing w:line="360" w:lineRule="auto"/>
        <w:rPr>
          <w:rFonts w:ascii="宋体" w:hAnsi="宋体"/>
          <w:sz w:val="24"/>
        </w:rPr>
      </w:pPr>
      <w:bookmarkStart w:id="41" w:name="_Toc487447834"/>
      <w:r>
        <w:rPr>
          <w:rFonts w:hint="eastAsia" w:ascii="宋体" w:hAnsi="宋体"/>
          <w:sz w:val="24"/>
        </w:rPr>
        <w:t>确定成交供应商办法</w:t>
      </w:r>
      <w:bookmarkEnd w:id="41"/>
    </w:p>
    <w:p>
      <w:pPr>
        <w:numPr>
          <w:ilvl w:val="2"/>
          <w:numId w:val="27"/>
        </w:numPr>
        <w:tabs>
          <w:tab w:val="left" w:pos="720"/>
          <w:tab w:val="clear" w:pos="1200"/>
        </w:tabs>
        <w:spacing w:line="360" w:lineRule="auto"/>
        <w:ind w:left="720"/>
        <w:rPr>
          <w:rFonts w:ascii="宋体" w:hAnsi="宋体"/>
          <w:bCs/>
          <w:kern w:val="44"/>
          <w:sz w:val="24"/>
        </w:rPr>
      </w:pPr>
      <w:r>
        <w:rPr>
          <w:rFonts w:hint="eastAsia" w:ascii="宋体" w:hAnsi="宋体"/>
          <w:bCs/>
          <w:kern w:val="44"/>
          <w:sz w:val="24"/>
        </w:rPr>
        <w:t>谈判小组只要求商务评审和技术（服务）评审合格的谈判供应商在规定的时间内进行报价。</w:t>
      </w:r>
    </w:p>
    <w:p>
      <w:pPr>
        <w:numPr>
          <w:ilvl w:val="2"/>
          <w:numId w:val="27"/>
        </w:numPr>
        <w:tabs>
          <w:tab w:val="left" w:pos="720"/>
          <w:tab w:val="clear" w:pos="1200"/>
        </w:tabs>
        <w:spacing w:line="360" w:lineRule="auto"/>
        <w:ind w:left="720"/>
        <w:rPr>
          <w:rFonts w:ascii="宋体" w:hAnsi="宋体"/>
          <w:bCs/>
          <w:kern w:val="44"/>
          <w:sz w:val="24"/>
        </w:rPr>
      </w:pPr>
      <w:r>
        <w:rPr>
          <w:rFonts w:hint="eastAsia" w:ascii="宋体" w:hAnsi="宋体"/>
          <w:bCs/>
          <w:kern w:val="44"/>
          <w:sz w:val="24"/>
        </w:rPr>
        <w:t>谈判小组将根据需要决定是否要求所有合格的谈判供应商在规定时间内进行第二次或最后报价，该最后报价将作为谈判小组评比的最终依据。</w:t>
      </w:r>
    </w:p>
    <w:p>
      <w:pPr>
        <w:numPr>
          <w:ilvl w:val="2"/>
          <w:numId w:val="27"/>
        </w:numPr>
        <w:tabs>
          <w:tab w:val="left" w:pos="720"/>
          <w:tab w:val="clear" w:pos="1200"/>
        </w:tabs>
        <w:spacing w:line="360" w:lineRule="auto"/>
        <w:ind w:left="720"/>
        <w:rPr>
          <w:rFonts w:ascii="宋体" w:hAnsi="宋体"/>
          <w:bCs/>
          <w:kern w:val="44"/>
          <w:sz w:val="24"/>
        </w:rPr>
      </w:pPr>
      <w:r>
        <w:rPr>
          <w:rFonts w:hint="eastAsia" w:ascii="宋体" w:hAnsi="宋体"/>
          <w:bCs/>
          <w:kern w:val="44"/>
          <w:sz w:val="24"/>
        </w:rPr>
        <w:t>根据符合采购需求、质量和服务相等且报价最低的原则确定成交供应商。</w:t>
      </w:r>
    </w:p>
    <w:p>
      <w:pPr>
        <w:pStyle w:val="5"/>
        <w:numPr>
          <w:ilvl w:val="0"/>
          <w:numId w:val="3"/>
        </w:numPr>
        <w:spacing w:line="240" w:lineRule="auto"/>
        <w:rPr>
          <w:rFonts w:ascii="宋体" w:hAnsi="宋体"/>
          <w:sz w:val="32"/>
          <w:szCs w:val="32"/>
        </w:rPr>
      </w:pPr>
      <w:r>
        <w:rPr>
          <w:rFonts w:ascii="宋体" w:hAnsi="宋体"/>
          <w:b w:val="0"/>
          <w:sz w:val="32"/>
          <w:szCs w:val="32"/>
        </w:rPr>
        <w:br w:type="page"/>
      </w:r>
      <w:bookmarkStart w:id="42" w:name="_Toc40954368"/>
      <w:r>
        <w:rPr>
          <w:rFonts w:hint="eastAsia" w:ascii="宋体" w:hAnsi="宋体" w:eastAsia="宋体"/>
          <w:sz w:val="32"/>
          <w:szCs w:val="32"/>
        </w:rPr>
        <w:t>合同书</w:t>
      </w:r>
      <w:bookmarkEnd w:id="42"/>
    </w:p>
    <w:p>
      <w:pPr>
        <w:adjustRightInd w:val="0"/>
        <w:snapToGrid w:val="0"/>
        <w:spacing w:line="360" w:lineRule="auto"/>
        <w:ind w:left="-88" w:leftChars="-42" w:firstLine="420" w:firstLineChars="200"/>
        <w:rPr>
          <w:rFonts w:ascii="宋体" w:hAnsi="宋体"/>
          <w:szCs w:val="21"/>
        </w:rPr>
      </w:pPr>
    </w:p>
    <w:p>
      <w:pPr>
        <w:spacing w:line="360" w:lineRule="auto"/>
        <w:ind w:firstLine="480" w:firstLineChars="200"/>
        <w:rPr>
          <w:rFonts w:ascii="宋体" w:hAnsi="宋体"/>
        </w:rPr>
      </w:pPr>
      <w:r>
        <w:rPr>
          <w:rFonts w:ascii="宋体" w:hAnsi="宋体"/>
          <w:sz w:val="24"/>
        </w:rPr>
        <w:t>（根据《中华人民共和国政府采购法》和《中华人民共和国合同法》，采购人和中标人（成交供应商）之间的权力和义务，应当按照平等、自愿的原则，依据招标文件要求和竞标文件响应，签订供货合同。</w:t>
      </w:r>
      <w:r>
        <w:rPr>
          <w:rFonts w:ascii="宋体" w:hAnsi="宋体"/>
        </w:rPr>
        <w:t>）</w:t>
      </w:r>
    </w:p>
    <w:p>
      <w:pPr>
        <w:autoSpaceDE w:val="0"/>
        <w:autoSpaceDN w:val="0"/>
        <w:adjustRightInd w:val="0"/>
        <w:spacing w:line="560" w:lineRule="exact"/>
        <w:jc w:val="center"/>
        <w:rPr>
          <w:rFonts w:ascii="方正小标宋_GBK" w:hAnsi="宋体" w:eastAsia="方正小标宋_GBK" w:cs="黑体"/>
          <w:sz w:val="42"/>
          <w:szCs w:val="42"/>
        </w:rPr>
      </w:pPr>
      <w:r>
        <w:rPr>
          <w:rFonts w:hint="eastAsia"/>
        </w:rPr>
        <w:t xml:space="preserve">. </w:t>
      </w:r>
      <w:bookmarkStart w:id="43" w:name="_Hlk47514818"/>
      <w:r>
        <w:rPr>
          <w:rFonts w:hint="eastAsia" w:ascii="方正小标宋_GBK" w:hAnsi="宋体" w:eastAsia="方正小标宋_GBK" w:cs="黑体"/>
          <w:sz w:val="42"/>
          <w:szCs w:val="42"/>
        </w:rPr>
        <w:t>宜昌市城市管理执法监督平台监理项目</w:t>
      </w:r>
      <w:bookmarkEnd w:id="43"/>
    </w:p>
    <w:p>
      <w:pPr>
        <w:autoSpaceDE w:val="0"/>
        <w:autoSpaceDN w:val="0"/>
        <w:adjustRightInd w:val="0"/>
        <w:spacing w:line="560" w:lineRule="exact"/>
        <w:jc w:val="center"/>
        <w:rPr>
          <w:rFonts w:ascii="方正小标宋_GBK" w:hAnsi="宋体" w:eastAsia="方正小标宋_GBK" w:cs="黑体"/>
          <w:sz w:val="42"/>
          <w:szCs w:val="42"/>
        </w:rPr>
      </w:pPr>
      <w:r>
        <w:rPr>
          <w:rFonts w:hint="eastAsia" w:ascii="方正小标宋_GBK" w:hAnsi="宋体" w:eastAsia="方正小标宋_GBK" w:cs="黑体"/>
          <w:sz w:val="42"/>
          <w:szCs w:val="42"/>
        </w:rPr>
        <w:t>合同</w:t>
      </w:r>
    </w:p>
    <w:p>
      <w:pPr>
        <w:autoSpaceDE w:val="0"/>
        <w:autoSpaceDN w:val="0"/>
        <w:adjustRightInd w:val="0"/>
        <w:spacing w:line="560" w:lineRule="exact"/>
        <w:ind w:hanging="1920"/>
        <w:rPr>
          <w:rFonts w:ascii="仿宋_GB2312" w:hAnsi="宋体" w:eastAsia="仿宋_GB2312"/>
          <w:sz w:val="29"/>
          <w:szCs w:val="29"/>
        </w:rPr>
      </w:pPr>
    </w:p>
    <w:p>
      <w:pPr>
        <w:autoSpaceDE w:val="0"/>
        <w:autoSpaceDN w:val="0"/>
        <w:adjustRightInd w:val="0"/>
        <w:spacing w:line="560" w:lineRule="exact"/>
        <w:ind w:firstLine="580" w:firstLineChars="200"/>
        <w:rPr>
          <w:rFonts w:ascii="仿宋_GB2312" w:hAnsi="宋体" w:eastAsia="仿宋_GB2312" w:cs="黑体"/>
          <w:sz w:val="29"/>
          <w:szCs w:val="29"/>
        </w:rPr>
      </w:pPr>
      <w:r>
        <w:rPr>
          <w:rFonts w:hint="eastAsia" w:ascii="仿宋_GB2312" w:hAnsi="宋体" w:eastAsia="仿宋_GB2312" w:cs="仿宋_GB2312"/>
          <w:bCs/>
          <w:sz w:val="29"/>
          <w:szCs w:val="29"/>
        </w:rPr>
        <w:t>业主单位</w:t>
      </w:r>
      <w:r>
        <w:rPr>
          <w:rFonts w:hint="eastAsia" w:ascii="仿宋_GB2312" w:hAnsi="宋体" w:eastAsia="仿宋_GB2312"/>
          <w:bCs/>
          <w:sz w:val="29"/>
          <w:szCs w:val="29"/>
        </w:rPr>
        <w:t>(</w:t>
      </w:r>
      <w:r>
        <w:rPr>
          <w:rFonts w:hint="eastAsia" w:ascii="仿宋_GB2312" w:hAnsi="宋体" w:eastAsia="仿宋_GB2312" w:cs="仿宋_GB2312"/>
          <w:bCs/>
          <w:sz w:val="29"/>
          <w:szCs w:val="29"/>
        </w:rPr>
        <w:t>甲方</w:t>
      </w:r>
      <w:r>
        <w:rPr>
          <w:rFonts w:hint="eastAsia" w:ascii="仿宋_GB2312" w:hAnsi="宋体" w:eastAsia="仿宋_GB2312"/>
          <w:bCs/>
          <w:sz w:val="29"/>
          <w:szCs w:val="29"/>
        </w:rPr>
        <w:t>)</w:t>
      </w:r>
      <w:r>
        <w:rPr>
          <w:rFonts w:hint="eastAsia" w:ascii="仿宋_GB2312" w:hAnsi="宋体" w:eastAsia="仿宋_GB2312" w:cs="仿宋_GB2312"/>
          <w:bCs/>
          <w:sz w:val="29"/>
          <w:szCs w:val="29"/>
        </w:rPr>
        <w:t>：</w:t>
      </w:r>
      <w:r>
        <w:rPr>
          <w:rFonts w:hint="eastAsia" w:ascii="仿宋_GB2312" w:hAnsi="宋体" w:eastAsia="仿宋_GB2312" w:cs="黑体"/>
          <w:sz w:val="29"/>
          <w:szCs w:val="29"/>
        </w:rPr>
        <w:t>宜昌市城市管理执法支队</w:t>
      </w:r>
    </w:p>
    <w:p>
      <w:pPr>
        <w:autoSpaceDE w:val="0"/>
        <w:autoSpaceDN w:val="0"/>
        <w:adjustRightInd w:val="0"/>
        <w:spacing w:line="560" w:lineRule="exact"/>
        <w:ind w:firstLine="580" w:firstLineChars="200"/>
        <w:rPr>
          <w:rFonts w:ascii="仿宋_GB2312" w:hAnsi="宋体" w:eastAsia="仿宋_GB2312"/>
          <w:sz w:val="29"/>
          <w:szCs w:val="29"/>
        </w:rPr>
      </w:pPr>
      <w:r>
        <w:rPr>
          <w:rFonts w:hint="eastAsia" w:ascii="仿宋_GB2312" w:hAnsi="宋体" w:eastAsia="仿宋_GB2312" w:cs="仿宋_GB2312"/>
          <w:bCs/>
          <w:sz w:val="29"/>
          <w:szCs w:val="29"/>
        </w:rPr>
        <w:t>监理单位</w:t>
      </w:r>
      <w:r>
        <w:rPr>
          <w:rFonts w:hint="eastAsia" w:ascii="仿宋_GB2312" w:hAnsi="宋体" w:eastAsia="仿宋_GB2312"/>
          <w:bCs/>
          <w:sz w:val="29"/>
          <w:szCs w:val="29"/>
        </w:rPr>
        <w:t>(</w:t>
      </w:r>
      <w:r>
        <w:rPr>
          <w:rFonts w:hint="eastAsia" w:ascii="仿宋_GB2312" w:hAnsi="宋体" w:eastAsia="仿宋_GB2312" w:cs="仿宋_GB2312"/>
          <w:bCs/>
          <w:sz w:val="29"/>
          <w:szCs w:val="29"/>
        </w:rPr>
        <w:t>乙方</w:t>
      </w:r>
      <w:r>
        <w:rPr>
          <w:rFonts w:hint="eastAsia" w:ascii="仿宋_GB2312" w:hAnsi="宋体" w:eastAsia="仿宋_GB2312"/>
          <w:bCs/>
          <w:sz w:val="29"/>
          <w:szCs w:val="29"/>
        </w:rPr>
        <w:t>)</w:t>
      </w:r>
      <w:r>
        <w:rPr>
          <w:rFonts w:hint="eastAsia" w:ascii="仿宋_GB2312" w:hAnsi="宋体" w:eastAsia="仿宋_GB2312" w:cs="仿宋_GB2312"/>
          <w:bCs/>
          <w:sz w:val="29"/>
          <w:szCs w:val="29"/>
        </w:rPr>
        <w:t>：</w:t>
      </w:r>
      <w:r>
        <w:rPr>
          <w:rFonts w:hint="eastAsia" w:ascii="仿宋_GB2312" w:hAnsi="宋体" w:eastAsia="仿宋_GB2312" w:cs="黑体"/>
          <w:sz w:val="29"/>
          <w:szCs w:val="29"/>
        </w:rPr>
        <w:t>******公司</w:t>
      </w:r>
      <w:r>
        <w:rPr>
          <w:rFonts w:hint="eastAsia" w:ascii="仿宋_GB2312" w:hAnsi="宋体" w:eastAsia="仿宋_GB2312"/>
          <w:sz w:val="29"/>
          <w:szCs w:val="29"/>
        </w:rPr>
        <w:t xml:space="preserve">  </w:t>
      </w:r>
    </w:p>
    <w:p>
      <w:pPr>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黑体"/>
          <w:sz w:val="29"/>
          <w:szCs w:val="29"/>
        </w:rPr>
        <w:t>宜昌市城市管理执法支队</w:t>
      </w:r>
      <w:r>
        <w:rPr>
          <w:rFonts w:hint="eastAsia" w:ascii="仿宋_GB2312" w:hAnsi="宋体" w:eastAsia="仿宋_GB2312" w:cs="仿宋_GB2312"/>
          <w:sz w:val="29"/>
          <w:szCs w:val="29"/>
        </w:rPr>
        <w:t>(以下简称甲方)与</w:t>
      </w:r>
      <w:r>
        <w:rPr>
          <w:rFonts w:hint="eastAsia" w:ascii="仿宋_GB2312" w:hAnsi="宋体" w:eastAsia="仿宋_GB2312" w:cs="仿宋_GB2312"/>
          <w:sz w:val="29"/>
          <w:szCs w:val="29"/>
          <w:u w:val="single"/>
        </w:rPr>
        <w:t>*******************　公司</w:t>
      </w:r>
      <w:r>
        <w:rPr>
          <w:rFonts w:hint="eastAsia" w:ascii="仿宋_GB2312" w:hAnsi="宋体" w:eastAsia="仿宋_GB2312" w:cs="仿宋_GB2312"/>
          <w:sz w:val="29"/>
          <w:szCs w:val="29"/>
        </w:rPr>
        <w:t>(以下简称乙方)依据《中华人民共和国合同法》，经甲乙双方协商一致，就</w:t>
      </w:r>
      <w:r>
        <w:rPr>
          <w:rFonts w:hint="eastAsia" w:ascii="仿宋_GB2312" w:hAnsi="宋体" w:eastAsia="仿宋_GB2312" w:cs="仿宋_GB2312"/>
          <w:sz w:val="29"/>
          <w:szCs w:val="29"/>
          <w:u w:val="single"/>
        </w:rPr>
        <w:t>宜昌市城市管理执法监督平台监理项目</w:t>
      </w:r>
      <w:r>
        <w:rPr>
          <w:rFonts w:hint="eastAsia" w:ascii="仿宋_GB2312" w:hAnsi="宋体" w:eastAsia="仿宋_GB2312" w:cs="仿宋_GB2312"/>
          <w:sz w:val="29"/>
          <w:szCs w:val="29"/>
        </w:rPr>
        <w:t>事宜，签订本合同。</w:t>
      </w:r>
    </w:p>
    <w:p>
      <w:pPr>
        <w:autoSpaceDE w:val="0"/>
        <w:autoSpaceDN w:val="0"/>
        <w:adjustRightInd w:val="0"/>
        <w:spacing w:line="560" w:lineRule="exact"/>
        <w:ind w:firstLine="561"/>
        <w:rPr>
          <w:rFonts w:ascii="仿宋_GB2312" w:hAnsi="宋体" w:eastAsia="仿宋_GB2312"/>
          <w:sz w:val="29"/>
          <w:szCs w:val="29"/>
        </w:rPr>
      </w:pPr>
      <w:r>
        <w:rPr>
          <w:rFonts w:hint="eastAsia" w:ascii="黑体" w:hAnsi="黑体" w:eastAsia="黑体" w:cs="仿宋_GB2312"/>
          <w:bCs/>
          <w:sz w:val="29"/>
          <w:szCs w:val="29"/>
        </w:rPr>
        <w:t>第一条</w:t>
      </w:r>
      <w:r>
        <w:rPr>
          <w:rFonts w:hint="eastAsia" w:ascii="黑体" w:hAnsi="黑体" w:eastAsia="黑体" w:cs="仿宋_GB2312"/>
          <w:sz w:val="29"/>
          <w:szCs w:val="29"/>
        </w:rPr>
        <w:t xml:space="preserve"> </w:t>
      </w:r>
      <w:r>
        <w:rPr>
          <w:rFonts w:hint="eastAsia" w:ascii="仿宋_GB2312" w:hAnsi="宋体" w:eastAsia="仿宋_GB2312" w:cs="仿宋_GB2312"/>
          <w:sz w:val="29"/>
          <w:szCs w:val="29"/>
        </w:rPr>
        <w:t xml:space="preserve"> 甲方委托乙方监理</w:t>
      </w:r>
      <w:bookmarkStart w:id="44" w:name="_Hlk47515099"/>
      <w:r>
        <w:rPr>
          <w:rFonts w:hint="eastAsia" w:ascii="仿宋_GB2312" w:hAnsi="宋体" w:eastAsia="仿宋_GB2312" w:cs="仿宋_GB2312"/>
          <w:sz w:val="29"/>
          <w:szCs w:val="29"/>
          <w:u w:val="single"/>
        </w:rPr>
        <w:t>宜昌市城市管理执法监督平台项目</w:t>
      </w:r>
      <w:bookmarkEnd w:id="44"/>
      <w:r>
        <w:rPr>
          <w:rFonts w:hint="eastAsia" w:ascii="仿宋_GB2312" w:hAnsi="宋体" w:eastAsia="仿宋_GB2312" w:cs="仿宋_GB2312"/>
          <w:sz w:val="29"/>
          <w:szCs w:val="29"/>
        </w:rPr>
        <w:t>。</w:t>
      </w:r>
    </w:p>
    <w:p>
      <w:pPr>
        <w:autoSpaceDE w:val="0"/>
        <w:autoSpaceDN w:val="0"/>
        <w:adjustRightInd w:val="0"/>
        <w:spacing w:line="560" w:lineRule="exact"/>
        <w:ind w:firstLine="560"/>
        <w:rPr>
          <w:rFonts w:ascii="仿宋_GB2312" w:hAnsi="宋体" w:eastAsia="仿宋_GB2312"/>
          <w:sz w:val="29"/>
          <w:szCs w:val="29"/>
        </w:rPr>
      </w:pPr>
      <w:r>
        <w:rPr>
          <w:rFonts w:hint="eastAsia" w:ascii="仿宋_GB2312" w:hAnsi="宋体" w:eastAsia="仿宋_GB2312" w:cs="仿宋_GB2312"/>
          <w:kern w:val="0"/>
          <w:sz w:val="29"/>
          <w:szCs w:val="29"/>
        </w:rPr>
        <w:t>1</w:t>
      </w:r>
      <w:r>
        <w:rPr>
          <w:rFonts w:hint="eastAsia" w:ascii="仿宋_GB2312" w:hAnsi="宋体" w:eastAsia="仿宋_GB2312" w:cs="仿宋_GB2312"/>
          <w:sz w:val="29"/>
          <w:szCs w:val="29"/>
        </w:rPr>
        <w:t>.1甲方委托乙方承担</w:t>
      </w:r>
      <w:r>
        <w:rPr>
          <w:rFonts w:hint="eastAsia" w:ascii="仿宋_GB2312" w:hAnsi="宋体" w:eastAsia="仿宋_GB2312" w:cs="仿宋_GB2312"/>
          <w:sz w:val="29"/>
          <w:szCs w:val="29"/>
          <w:u w:val="single"/>
        </w:rPr>
        <w:t>宜昌市城市管理执法监督平台项目</w:t>
      </w:r>
      <w:r>
        <w:rPr>
          <w:rFonts w:hint="eastAsia" w:ascii="仿宋_GB2312" w:hAnsi="宋体" w:eastAsia="仿宋_GB2312" w:cs="仿宋_GB2312"/>
          <w:sz w:val="29"/>
          <w:szCs w:val="29"/>
        </w:rPr>
        <w:t>的监理工作。</w:t>
      </w:r>
    </w:p>
    <w:p>
      <w:pPr>
        <w:autoSpaceDE w:val="0"/>
        <w:autoSpaceDN w:val="0"/>
        <w:adjustRightInd w:val="0"/>
        <w:spacing w:line="560" w:lineRule="exact"/>
        <w:ind w:firstLine="560"/>
        <w:rPr>
          <w:rFonts w:ascii="仿宋_GB2312" w:hAnsi="宋体" w:eastAsia="仿宋_GB2312"/>
          <w:sz w:val="29"/>
          <w:szCs w:val="29"/>
        </w:rPr>
      </w:pPr>
      <w:r>
        <w:rPr>
          <w:rFonts w:hint="eastAsia" w:ascii="仿宋_GB2312" w:hAnsi="宋体" w:eastAsia="仿宋_GB2312" w:cs="仿宋_GB2312"/>
          <w:sz w:val="29"/>
          <w:szCs w:val="29"/>
        </w:rPr>
        <w:t>1.2 项目地点：宜昌市</w:t>
      </w:r>
      <w:r>
        <w:rPr>
          <w:rFonts w:hint="eastAsia" w:ascii="仿宋_GB2312" w:hAnsi="宋体" w:eastAsia="仿宋_GB2312" w:cs="黑体"/>
          <w:sz w:val="29"/>
          <w:szCs w:val="29"/>
        </w:rPr>
        <w:t>城市管理监督指挥中心</w:t>
      </w:r>
    </w:p>
    <w:p>
      <w:pPr>
        <w:autoSpaceDE w:val="0"/>
        <w:autoSpaceDN w:val="0"/>
        <w:adjustRightInd w:val="0"/>
        <w:spacing w:line="560" w:lineRule="exact"/>
        <w:ind w:firstLine="587"/>
        <w:rPr>
          <w:rFonts w:ascii="仿宋_GB2312" w:hAnsi="宋体" w:eastAsia="仿宋_GB2312"/>
          <w:sz w:val="29"/>
          <w:szCs w:val="29"/>
        </w:rPr>
      </w:pPr>
      <w:r>
        <w:rPr>
          <w:rFonts w:hint="eastAsia" w:ascii="仿宋_GB2312" w:hAnsi="宋体" w:eastAsia="仿宋_GB2312" w:cs="仿宋_GB2312"/>
          <w:sz w:val="29"/>
          <w:szCs w:val="29"/>
        </w:rPr>
        <w:t>1.3 项目委托监理范围：遵照国家和本省有关政策、法律、法规，遵循国内外有关的标准和规范，自本合同签署之日起对</w:t>
      </w:r>
      <w:r>
        <w:rPr>
          <w:rFonts w:hint="eastAsia" w:ascii="仿宋_GB2312" w:hAnsi="宋体" w:eastAsia="仿宋_GB2312" w:cs="仿宋_GB2312"/>
          <w:sz w:val="29"/>
          <w:szCs w:val="29"/>
          <w:u w:val="single"/>
        </w:rPr>
        <w:t>宜昌市城市管理执法监督平台项目</w:t>
      </w:r>
      <w:r>
        <w:rPr>
          <w:rFonts w:hint="eastAsia" w:ascii="仿宋_GB2312" w:hAnsi="宋体" w:eastAsia="仿宋_GB2312" w:cs="仿宋_GB2312"/>
          <w:sz w:val="29"/>
          <w:szCs w:val="29"/>
        </w:rPr>
        <w:t>的系统软件开发、网络集成与应用系统集成、安装调试、系统测试、业务应用软件开发、基础数据准备、技术培训等所有项目建设内容提供项目监理和咨询服务。</w:t>
      </w:r>
    </w:p>
    <w:p>
      <w:pPr>
        <w:autoSpaceDE w:val="0"/>
        <w:autoSpaceDN w:val="0"/>
        <w:adjustRightInd w:val="0"/>
        <w:spacing w:line="560" w:lineRule="exact"/>
        <w:ind w:firstLine="630"/>
        <w:rPr>
          <w:rFonts w:ascii="仿宋_GB2312" w:hAnsi="宋体" w:eastAsia="仿宋_GB2312" w:cs="仿宋_GB2312"/>
          <w:sz w:val="29"/>
          <w:szCs w:val="29"/>
        </w:rPr>
      </w:pPr>
      <w:r>
        <w:rPr>
          <w:rFonts w:hint="eastAsia" w:ascii="仿宋_GB2312" w:hAnsi="宋体" w:eastAsia="仿宋_GB2312" w:cs="仿宋_GB2312"/>
          <w:sz w:val="29"/>
          <w:szCs w:val="29"/>
        </w:rPr>
        <w:t>1.4 监理工期自本合同签署之日至本项目终验结束止。</w:t>
      </w:r>
    </w:p>
    <w:p>
      <w:pPr>
        <w:autoSpaceDE w:val="0"/>
        <w:autoSpaceDN w:val="0"/>
        <w:adjustRightInd w:val="0"/>
        <w:spacing w:line="560" w:lineRule="exact"/>
        <w:ind w:firstLine="561"/>
        <w:rPr>
          <w:rFonts w:ascii="仿宋_GB2312" w:hAnsi="宋体" w:eastAsia="仿宋_GB2312"/>
          <w:sz w:val="29"/>
          <w:szCs w:val="29"/>
        </w:rPr>
      </w:pPr>
      <w:r>
        <w:rPr>
          <w:rFonts w:hint="eastAsia" w:ascii="黑体" w:hAnsi="黑体" w:eastAsia="黑体" w:cs="仿宋_GB2312"/>
          <w:bCs/>
          <w:sz w:val="29"/>
          <w:szCs w:val="29"/>
        </w:rPr>
        <w:t>第二条</w:t>
      </w:r>
      <w:r>
        <w:rPr>
          <w:rFonts w:hint="eastAsia" w:ascii="仿宋_GB2312" w:hAnsi="宋体" w:eastAsia="仿宋_GB2312" w:cs="仿宋_GB2312"/>
          <w:sz w:val="29"/>
          <w:szCs w:val="29"/>
        </w:rPr>
        <w:t xml:space="preserve">  主要监理与咨询服务内容</w:t>
      </w:r>
    </w:p>
    <w:p>
      <w:pPr>
        <w:autoSpaceDE w:val="0"/>
        <w:autoSpaceDN w:val="0"/>
        <w:adjustRightInd w:val="0"/>
        <w:spacing w:line="560" w:lineRule="exact"/>
        <w:ind w:firstLine="560"/>
        <w:rPr>
          <w:rFonts w:ascii="仿宋_GB2312" w:hAnsi="宋体" w:eastAsia="仿宋_GB2312"/>
          <w:sz w:val="29"/>
          <w:szCs w:val="29"/>
        </w:rPr>
      </w:pPr>
      <w:r>
        <w:rPr>
          <w:rFonts w:hint="eastAsia" w:ascii="仿宋_GB2312" w:hAnsi="宋体" w:eastAsia="仿宋_GB2312" w:cs="仿宋_GB2312"/>
          <w:sz w:val="29"/>
          <w:szCs w:val="29"/>
        </w:rPr>
        <w:t>包括工程项目组织管理、质量控制、进度控制、投资控制、合同管理、信息文档管理等六个方面。</w:t>
      </w:r>
    </w:p>
    <w:p>
      <w:pPr>
        <w:autoSpaceDE w:val="0"/>
        <w:autoSpaceDN w:val="0"/>
        <w:adjustRightInd w:val="0"/>
        <w:spacing w:line="560" w:lineRule="exact"/>
        <w:ind w:firstLine="560"/>
        <w:rPr>
          <w:rFonts w:ascii="仿宋_GB2312" w:hAnsi="宋体" w:eastAsia="仿宋_GB2312"/>
          <w:sz w:val="29"/>
          <w:szCs w:val="29"/>
        </w:rPr>
      </w:pPr>
      <w:r>
        <w:rPr>
          <w:rFonts w:hint="eastAsia" w:ascii="仿宋_GB2312" w:hAnsi="宋体" w:eastAsia="仿宋_GB2312" w:cs="仿宋_GB2312"/>
          <w:kern w:val="0"/>
          <w:sz w:val="29"/>
          <w:szCs w:val="29"/>
        </w:rPr>
        <w:t>2.1 管理工程项目组织工程实施总体方案；</w:t>
      </w:r>
    </w:p>
    <w:p>
      <w:pPr>
        <w:autoSpaceDE w:val="0"/>
        <w:autoSpaceDN w:val="0"/>
        <w:adjustRightInd w:val="0"/>
        <w:spacing w:line="560" w:lineRule="exact"/>
        <w:ind w:firstLine="580" w:firstLineChars="200"/>
        <w:rPr>
          <w:rFonts w:ascii="仿宋_GB2312" w:hAnsi="宋体" w:eastAsia="仿宋_GB2312"/>
          <w:sz w:val="29"/>
          <w:szCs w:val="29"/>
        </w:rPr>
      </w:pPr>
      <w:r>
        <w:rPr>
          <w:rFonts w:hint="eastAsia" w:ascii="仿宋_GB2312" w:hAnsi="宋体" w:eastAsia="仿宋_GB2312" w:cs="仿宋_GB2312"/>
          <w:sz w:val="29"/>
          <w:szCs w:val="29"/>
        </w:rPr>
        <w:t>2.1.1 审核和确认承包商的组织实施方案与《项目计划》；</w:t>
      </w:r>
    </w:p>
    <w:p>
      <w:pPr>
        <w:autoSpaceDE w:val="0"/>
        <w:autoSpaceDN w:val="0"/>
        <w:adjustRightInd w:val="0"/>
        <w:spacing w:line="560" w:lineRule="exact"/>
        <w:ind w:firstLine="580" w:firstLineChars="200"/>
        <w:rPr>
          <w:rFonts w:ascii="仿宋_GB2312" w:hAnsi="宋体" w:eastAsia="仿宋_GB2312"/>
          <w:sz w:val="29"/>
          <w:szCs w:val="29"/>
        </w:rPr>
      </w:pPr>
      <w:r>
        <w:rPr>
          <w:rFonts w:hint="eastAsia" w:ascii="仿宋_GB2312" w:hAnsi="宋体" w:eastAsia="仿宋_GB2312" w:cs="仿宋_GB2312"/>
          <w:sz w:val="29"/>
          <w:szCs w:val="29"/>
        </w:rPr>
        <w:t>2.1.2 审核和确认承包商的工程质量保证计划及质量控制体系；</w:t>
      </w:r>
    </w:p>
    <w:p>
      <w:pPr>
        <w:autoSpaceDE w:val="0"/>
        <w:autoSpaceDN w:val="0"/>
        <w:adjustRightInd w:val="0"/>
        <w:spacing w:line="560" w:lineRule="exact"/>
        <w:ind w:firstLine="580" w:firstLineChars="200"/>
        <w:rPr>
          <w:rFonts w:ascii="仿宋_GB2312" w:hAnsi="宋体" w:eastAsia="仿宋_GB2312"/>
          <w:sz w:val="29"/>
          <w:szCs w:val="29"/>
        </w:rPr>
      </w:pPr>
      <w:r>
        <w:rPr>
          <w:rFonts w:hint="eastAsia" w:ascii="仿宋_GB2312" w:hAnsi="宋体" w:eastAsia="仿宋_GB2312" w:cs="仿宋_GB2312"/>
          <w:sz w:val="29"/>
          <w:szCs w:val="29"/>
        </w:rPr>
        <w:t>2.1.3 审核和确认承包商的源代码管理方案；</w:t>
      </w:r>
    </w:p>
    <w:p>
      <w:pPr>
        <w:autoSpaceDE w:val="0"/>
        <w:autoSpaceDN w:val="0"/>
        <w:adjustRightInd w:val="0"/>
        <w:spacing w:line="560" w:lineRule="exact"/>
        <w:ind w:firstLine="580" w:firstLineChars="200"/>
        <w:rPr>
          <w:rFonts w:ascii="仿宋_GB2312" w:hAnsi="宋体" w:eastAsia="仿宋_GB2312"/>
          <w:sz w:val="29"/>
          <w:szCs w:val="29"/>
        </w:rPr>
      </w:pPr>
      <w:r>
        <w:rPr>
          <w:rFonts w:hint="eastAsia" w:ascii="仿宋_GB2312" w:hAnsi="宋体" w:eastAsia="仿宋_GB2312" w:cs="仿宋_GB2312"/>
          <w:sz w:val="29"/>
          <w:szCs w:val="29"/>
        </w:rPr>
        <w:t>2.1.4 审核和确认承包商的测试计划；</w:t>
      </w:r>
    </w:p>
    <w:p>
      <w:pPr>
        <w:autoSpaceDE w:val="0"/>
        <w:autoSpaceDN w:val="0"/>
        <w:adjustRightInd w:val="0"/>
        <w:spacing w:line="560" w:lineRule="exact"/>
        <w:ind w:firstLine="580" w:firstLineChars="200"/>
        <w:rPr>
          <w:rFonts w:ascii="仿宋_GB2312" w:hAnsi="宋体" w:eastAsia="仿宋_GB2312"/>
          <w:sz w:val="29"/>
          <w:szCs w:val="29"/>
        </w:rPr>
      </w:pPr>
      <w:r>
        <w:rPr>
          <w:rFonts w:hint="eastAsia" w:ascii="仿宋_GB2312" w:hAnsi="宋体" w:eastAsia="仿宋_GB2312" w:cs="仿宋_GB2312"/>
          <w:sz w:val="29"/>
          <w:szCs w:val="29"/>
        </w:rPr>
        <w:t>2.1.5 审核和确认承包商的工程进度计划；</w:t>
      </w:r>
    </w:p>
    <w:p>
      <w:pPr>
        <w:autoSpaceDE w:val="0"/>
        <w:autoSpaceDN w:val="0"/>
        <w:adjustRightInd w:val="0"/>
        <w:spacing w:line="560" w:lineRule="exact"/>
        <w:ind w:firstLine="580" w:firstLineChars="200"/>
        <w:rPr>
          <w:rFonts w:ascii="仿宋_GB2312" w:hAnsi="宋体" w:eastAsia="仿宋_GB2312"/>
          <w:sz w:val="29"/>
          <w:szCs w:val="29"/>
        </w:rPr>
      </w:pPr>
      <w:r>
        <w:rPr>
          <w:rFonts w:hint="eastAsia" w:ascii="仿宋_GB2312" w:hAnsi="宋体" w:eastAsia="仿宋_GB2312" w:cs="仿宋_GB2312"/>
          <w:sz w:val="29"/>
          <w:szCs w:val="29"/>
        </w:rPr>
        <w:t>2.1.6 明确项目质量控制的关键性节点。</w:t>
      </w:r>
    </w:p>
    <w:p>
      <w:pPr>
        <w:autoSpaceDE w:val="0"/>
        <w:autoSpaceDN w:val="0"/>
        <w:adjustRightInd w:val="0"/>
        <w:spacing w:line="560" w:lineRule="exact"/>
        <w:ind w:firstLine="560"/>
        <w:rPr>
          <w:rFonts w:ascii="仿宋_GB2312" w:hAnsi="宋体" w:eastAsia="仿宋_GB2312"/>
          <w:sz w:val="29"/>
          <w:szCs w:val="29"/>
        </w:rPr>
      </w:pPr>
      <w:r>
        <w:rPr>
          <w:rFonts w:hint="eastAsia" w:ascii="仿宋_GB2312" w:hAnsi="宋体" w:eastAsia="仿宋_GB2312" w:cs="仿宋_GB2312"/>
          <w:sz w:val="29"/>
          <w:szCs w:val="29"/>
        </w:rPr>
        <w:t>2.2 工程质量控制</w:t>
      </w:r>
    </w:p>
    <w:p>
      <w:pPr>
        <w:autoSpaceDE w:val="0"/>
        <w:autoSpaceDN w:val="0"/>
        <w:adjustRightInd w:val="0"/>
        <w:spacing w:line="560" w:lineRule="exact"/>
        <w:ind w:firstLine="580" w:firstLineChars="200"/>
        <w:rPr>
          <w:rFonts w:ascii="仿宋_GB2312" w:hAnsi="宋体" w:eastAsia="仿宋_GB2312"/>
          <w:sz w:val="29"/>
          <w:szCs w:val="29"/>
        </w:rPr>
      </w:pPr>
      <w:r>
        <w:rPr>
          <w:rFonts w:hint="eastAsia" w:ascii="仿宋_GB2312" w:hAnsi="宋体" w:eastAsia="仿宋_GB2312" w:cs="仿宋_GB2312"/>
          <w:sz w:val="29"/>
          <w:szCs w:val="29"/>
        </w:rPr>
        <w:t>2.2.1 系统集成质量的控制</w:t>
      </w:r>
    </w:p>
    <w:p>
      <w:pPr>
        <w:tabs>
          <w:tab w:val="left" w:pos="1270"/>
        </w:tabs>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2.2.1.1 系统集成方案的审核和确认；</w:t>
      </w:r>
    </w:p>
    <w:p>
      <w:pPr>
        <w:tabs>
          <w:tab w:val="left" w:pos="1270"/>
        </w:tabs>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2.2.1.2 对采购的硬件设备的质量进行检验、测试和验收；</w:t>
      </w:r>
    </w:p>
    <w:p>
      <w:pPr>
        <w:tabs>
          <w:tab w:val="left" w:pos="1270"/>
        </w:tabs>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2.2.1.3 对设备安装、系统软件的安装调试进行验收；</w:t>
      </w:r>
    </w:p>
    <w:p>
      <w:pPr>
        <w:tabs>
          <w:tab w:val="left" w:pos="1270"/>
        </w:tabs>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2.2.1.4 对系统集成进行总体验收。</w:t>
      </w:r>
    </w:p>
    <w:p>
      <w:pPr>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2.2.2 应用软件开发质量的控制</w:t>
      </w:r>
    </w:p>
    <w:p>
      <w:pPr>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2.2.2.1 软件开发计划的审核和确认；</w:t>
      </w:r>
    </w:p>
    <w:p>
      <w:pPr>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2.2.2.2 对软件开发的需求分析、概要设计、详细设计、编码测试、应用测试等每个开发阶段进行规范；</w:t>
      </w:r>
    </w:p>
    <w:p>
      <w:pPr>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2.2.2.3 对承包商的开发质量记录进行审核；</w:t>
      </w:r>
    </w:p>
    <w:p>
      <w:pPr>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2.2.2.4 应用程序及针对本项目单独开发的源代码移交验收等。</w:t>
      </w:r>
    </w:p>
    <w:p>
      <w:pPr>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2.2.3 系统应用培训的质量控制</w:t>
      </w:r>
    </w:p>
    <w:p>
      <w:pPr>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2.2.3.1 审核确认项目承包商的培训计划；</w:t>
      </w:r>
    </w:p>
    <w:p>
      <w:pPr>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2.2.3.2 监督项目承包商实施培训计划，并征求用户反馈意见；</w:t>
      </w:r>
    </w:p>
    <w:p>
      <w:pPr>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2.2.3.3 审核确认项目承包商的培训效果总结报告。</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2.3 工程进度控制</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2.3.1 审核承包商的进度分解计划，确认分解计划可以保证总体进度目标；</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2.3.2 对项目实施进度进行跟踪，并要求承包商对进度计划进行动态调整，以确保项目的阶段和总体进度目标的实现；</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2.3.3 当工期目标严重偏离总体进度目标时，应及时指出，并提出对策建议，同时督促承包商尽快采取措施。</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2.4 工程投资控制</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2.4.1 通过对项目实施中的方案及设计的优化，确保投资控制在承包商的中标价之内；</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2.4.2 协助业主单位做好项目支付预算的现金流量表，将工程款付款进度与工程质量、进度结合起来。</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2.5 工程合同管理</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2.5.1 跟踪检查与项目建设有关的合同的执行情况，确保承包商按合同履约；</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2.5.2 对上述合同工期的延误和延期进行审核确认；</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2.5.3 对上述合同变更、索赔等事宜进行审核确认；</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2.5.4 根据上述合同约定，审核承包商提交的支付申请，签发付款凭证。</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2.6 信息管理/工程文档管理</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2.6.1 做好监理日记及工程大事记；</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2.6.2 做好合同批复等各类往来文件的批复与存档；</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2.6.3 做好项目协调会、技术专题会的会议纪要；</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2.6.4 管理好实施期间的各类技术文档。</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2.7 项目咨询服务</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2.7.1 对于项目所涉及的产品，为业主方提供相关的技术咨询；</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2.7.2 对于项目的实施方法，为业主方提供相关的管理性建议；</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2.7.3 对于项目实施过程中需要研究和出现的问题提供解决性建议；</w:t>
      </w:r>
    </w:p>
    <w:p>
      <w:pPr>
        <w:autoSpaceDE w:val="0"/>
        <w:autoSpaceDN w:val="0"/>
        <w:adjustRightInd w:val="0"/>
        <w:spacing w:line="560" w:lineRule="exact"/>
        <w:ind w:firstLine="560"/>
        <w:rPr>
          <w:rFonts w:ascii="仿宋_GB2312" w:hAnsi="宋体" w:eastAsia="仿宋_GB2312" w:cs="仿宋_GB2312"/>
          <w:sz w:val="29"/>
          <w:szCs w:val="29"/>
        </w:rPr>
      </w:pPr>
      <w:r>
        <w:rPr>
          <w:rFonts w:hint="eastAsia" w:ascii="仿宋_GB2312" w:hAnsi="宋体" w:eastAsia="仿宋_GB2312" w:cs="仿宋_GB2312"/>
          <w:sz w:val="29"/>
          <w:szCs w:val="29"/>
        </w:rPr>
        <w:t>2.7.4 对于项目实施需要，协助甲方承担其他相关咨询工作。</w:t>
      </w:r>
    </w:p>
    <w:p>
      <w:pPr>
        <w:autoSpaceDE w:val="0"/>
        <w:autoSpaceDN w:val="0"/>
        <w:adjustRightInd w:val="0"/>
        <w:spacing w:line="560" w:lineRule="exact"/>
        <w:ind w:firstLine="561"/>
        <w:rPr>
          <w:rFonts w:ascii="仿宋_GB2312" w:hAnsi="宋体" w:eastAsia="仿宋_GB2312" w:cs="仿宋_GB2312"/>
          <w:sz w:val="29"/>
          <w:szCs w:val="29"/>
        </w:rPr>
      </w:pPr>
      <w:r>
        <w:rPr>
          <w:rFonts w:hint="eastAsia" w:ascii="黑体" w:hAnsi="黑体" w:eastAsia="黑体" w:cs="仿宋_GB2312"/>
          <w:bCs/>
          <w:sz w:val="29"/>
          <w:szCs w:val="29"/>
        </w:rPr>
        <w:t xml:space="preserve">第三条 </w:t>
      </w:r>
      <w:r>
        <w:rPr>
          <w:rFonts w:hint="eastAsia" w:ascii="仿宋_GB2312" w:hAnsi="宋体" w:eastAsia="仿宋_GB2312" w:cs="仿宋_GB2312"/>
          <w:sz w:val="29"/>
          <w:szCs w:val="29"/>
        </w:rPr>
        <w:t xml:space="preserve"> 本合同书中的措词和用语应具有“合同通用条款”和“合同专用条款”中分别赋予它们的含义。</w:t>
      </w:r>
    </w:p>
    <w:p>
      <w:pPr>
        <w:autoSpaceDE w:val="0"/>
        <w:autoSpaceDN w:val="0"/>
        <w:adjustRightInd w:val="0"/>
        <w:spacing w:line="560" w:lineRule="exact"/>
        <w:ind w:firstLine="561"/>
        <w:rPr>
          <w:rFonts w:ascii="仿宋_GB2312" w:hAnsi="宋体" w:eastAsia="仿宋_GB2312"/>
          <w:sz w:val="29"/>
          <w:szCs w:val="29"/>
        </w:rPr>
      </w:pPr>
      <w:r>
        <w:rPr>
          <w:rFonts w:hint="eastAsia" w:ascii="黑体" w:hAnsi="黑体" w:eastAsia="黑体" w:cs="仿宋_GB2312"/>
          <w:bCs/>
          <w:sz w:val="29"/>
          <w:szCs w:val="29"/>
        </w:rPr>
        <w:t xml:space="preserve">第四条 </w:t>
      </w:r>
      <w:r>
        <w:rPr>
          <w:rFonts w:hint="eastAsia" w:ascii="仿宋_GB2312" w:hAnsi="宋体" w:eastAsia="仿宋_GB2312" w:cs="仿宋_GB2312"/>
          <w:sz w:val="29"/>
          <w:szCs w:val="29"/>
        </w:rPr>
        <w:t xml:space="preserve"> 下列文件视为本合同的组成部分：</w:t>
      </w:r>
    </w:p>
    <w:p>
      <w:pPr>
        <w:tabs>
          <w:tab w:val="left" w:pos="1758"/>
        </w:tabs>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(1)合同通用条款；</w:t>
      </w:r>
    </w:p>
    <w:p>
      <w:pPr>
        <w:tabs>
          <w:tab w:val="left" w:pos="1758"/>
        </w:tabs>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(2)《招标文件》、《响应文件》及乙方在竞争性谈判中的承诺；</w:t>
      </w:r>
    </w:p>
    <w:p>
      <w:pPr>
        <w:tabs>
          <w:tab w:val="left" w:pos="1758"/>
        </w:tabs>
        <w:autoSpaceDE w:val="0"/>
        <w:autoSpaceDN w:val="0"/>
        <w:adjustRightInd w:val="0"/>
        <w:spacing w:line="560" w:lineRule="exact"/>
        <w:ind w:firstLine="580" w:firstLineChars="200"/>
        <w:rPr>
          <w:rFonts w:ascii="仿宋_GB2312" w:hAnsi="宋体" w:eastAsia="仿宋_GB2312" w:cs="仿宋_GB2312"/>
          <w:sz w:val="29"/>
          <w:szCs w:val="29"/>
        </w:rPr>
      </w:pPr>
      <w:r>
        <w:rPr>
          <w:rFonts w:hint="eastAsia" w:ascii="仿宋_GB2312" w:hAnsi="宋体" w:eastAsia="仿宋_GB2312" w:cs="仿宋_GB2312"/>
          <w:sz w:val="29"/>
          <w:szCs w:val="29"/>
        </w:rPr>
        <w:t>(3)在合同实施过程中双方共同签署的补充与修正文件。</w:t>
      </w:r>
    </w:p>
    <w:p>
      <w:pPr>
        <w:autoSpaceDE w:val="0"/>
        <w:autoSpaceDN w:val="0"/>
        <w:adjustRightInd w:val="0"/>
        <w:spacing w:line="560" w:lineRule="exact"/>
        <w:ind w:firstLine="561"/>
        <w:rPr>
          <w:rFonts w:ascii="仿宋_GB2312" w:hAnsi="宋体" w:eastAsia="仿宋_GB2312"/>
          <w:sz w:val="29"/>
          <w:szCs w:val="29"/>
        </w:rPr>
      </w:pPr>
      <w:r>
        <w:rPr>
          <w:rFonts w:hint="eastAsia" w:ascii="黑体" w:hAnsi="黑体" w:eastAsia="黑体" w:cs="仿宋_GB2312"/>
          <w:bCs/>
          <w:sz w:val="29"/>
          <w:szCs w:val="29"/>
        </w:rPr>
        <w:t>第五条</w:t>
      </w:r>
      <w:r>
        <w:rPr>
          <w:rFonts w:hint="eastAsia" w:ascii="仿宋_GB2312" w:hAnsi="宋体" w:eastAsia="仿宋_GB2312" w:cs="仿宋_GB2312"/>
          <w:sz w:val="29"/>
          <w:szCs w:val="29"/>
        </w:rPr>
        <w:t xml:space="preserve">  乙方同意按照本合同的规定，承担本合同中议定范围内的监理服务业务,乙方承诺并保证其具有必要的有关资质资格提供本合同项下的监理任务。</w:t>
      </w:r>
    </w:p>
    <w:p>
      <w:pPr>
        <w:autoSpaceDE w:val="0"/>
        <w:autoSpaceDN w:val="0"/>
        <w:adjustRightInd w:val="0"/>
        <w:spacing w:line="560" w:lineRule="exact"/>
        <w:ind w:firstLine="561"/>
        <w:rPr>
          <w:rFonts w:ascii="仿宋_GB2312" w:hAnsi="宋体" w:eastAsia="仿宋_GB2312"/>
          <w:sz w:val="29"/>
          <w:szCs w:val="29"/>
        </w:rPr>
      </w:pPr>
      <w:r>
        <w:rPr>
          <w:rFonts w:hint="eastAsia" w:ascii="黑体" w:hAnsi="黑体" w:eastAsia="黑体" w:cs="仿宋_GB2312"/>
          <w:bCs/>
          <w:sz w:val="29"/>
          <w:szCs w:val="29"/>
        </w:rPr>
        <w:t>第六条</w:t>
      </w:r>
      <w:r>
        <w:rPr>
          <w:rFonts w:hint="eastAsia" w:ascii="仿宋_GB2312" w:hAnsi="宋体" w:eastAsia="仿宋_GB2312" w:cs="仿宋_GB2312"/>
          <w:bCs/>
          <w:sz w:val="29"/>
          <w:szCs w:val="29"/>
        </w:rPr>
        <w:t xml:space="preserve"> </w:t>
      </w:r>
      <w:r>
        <w:rPr>
          <w:rFonts w:hint="eastAsia" w:ascii="仿宋_GB2312" w:hAnsi="宋体" w:eastAsia="仿宋_GB2312" w:cs="仿宋_GB2312"/>
          <w:sz w:val="29"/>
          <w:szCs w:val="29"/>
        </w:rPr>
        <w:t xml:space="preserve"> 监理费采用</w:t>
      </w:r>
      <w:r>
        <w:rPr>
          <w:rFonts w:hint="eastAsia" w:ascii="仿宋_GB2312" w:hAnsi="宋体" w:eastAsia="仿宋_GB2312" w:cs="仿宋_GB2312"/>
          <w:sz w:val="29"/>
          <w:szCs w:val="29"/>
          <w:lang w:eastAsia="zh-CN"/>
        </w:rPr>
        <w:t>包干</w:t>
      </w:r>
      <w:r>
        <w:rPr>
          <w:rFonts w:hint="eastAsia" w:ascii="仿宋_GB2312" w:hAnsi="宋体" w:eastAsia="仿宋_GB2312" w:cs="仿宋_GB2312"/>
          <w:sz w:val="29"/>
          <w:szCs w:val="29"/>
        </w:rPr>
        <w:t>制，监理费为人民币******万元。</w:t>
      </w:r>
    </w:p>
    <w:p>
      <w:pPr>
        <w:autoSpaceDE w:val="0"/>
        <w:autoSpaceDN w:val="0"/>
        <w:adjustRightInd w:val="0"/>
        <w:spacing w:line="560" w:lineRule="exact"/>
        <w:ind w:firstLine="561"/>
        <w:rPr>
          <w:rFonts w:ascii="仿宋_GB2312" w:hAnsi="宋体" w:eastAsia="仿宋_GB2312" w:cs="仿宋_GB2312"/>
          <w:bCs/>
          <w:sz w:val="29"/>
          <w:szCs w:val="29"/>
          <w:highlight w:val="red"/>
        </w:rPr>
      </w:pPr>
      <w:r>
        <w:rPr>
          <w:rFonts w:hint="eastAsia" w:ascii="黑体" w:hAnsi="黑体" w:eastAsia="黑体" w:cs="仿宋_GB2312"/>
          <w:bCs/>
          <w:sz w:val="29"/>
          <w:szCs w:val="29"/>
        </w:rPr>
        <w:t>第七条</w:t>
      </w:r>
      <w:r>
        <w:rPr>
          <w:rFonts w:hint="eastAsia" w:ascii="仿宋_GB2312" w:hAnsi="宋体" w:eastAsia="仿宋_GB2312" w:cs="仿宋_GB2312"/>
          <w:bCs/>
          <w:sz w:val="29"/>
          <w:szCs w:val="29"/>
        </w:rPr>
        <w:t xml:space="preserve">  所监理项目通过</w:t>
      </w:r>
      <w:r>
        <w:rPr>
          <w:rFonts w:hint="eastAsia" w:ascii="仿宋_GB2312" w:hAnsi="宋体" w:eastAsia="仿宋_GB2312" w:cs="仿宋_GB2312"/>
          <w:bCs/>
          <w:sz w:val="29"/>
          <w:szCs w:val="29"/>
          <w:lang w:eastAsia="zh-CN"/>
        </w:rPr>
        <w:t>初</w:t>
      </w:r>
      <w:r>
        <w:rPr>
          <w:rFonts w:hint="eastAsia" w:ascii="仿宋_GB2312" w:hAnsi="宋体" w:eastAsia="仿宋_GB2312" w:cs="仿宋_GB2312"/>
          <w:bCs/>
          <w:sz w:val="29"/>
          <w:szCs w:val="29"/>
        </w:rPr>
        <w:t>验后支付</w:t>
      </w:r>
      <w:r>
        <w:rPr>
          <w:rFonts w:hint="eastAsia" w:ascii="仿宋_GB2312" w:hAnsi="宋体" w:eastAsia="仿宋_GB2312" w:cs="仿宋_GB2312"/>
          <w:bCs/>
          <w:sz w:val="29"/>
          <w:szCs w:val="29"/>
          <w:lang w:val="en-US" w:eastAsia="zh-CN"/>
        </w:rPr>
        <w:t>80%，通过终验后支付</w:t>
      </w:r>
      <w:r>
        <w:rPr>
          <w:rFonts w:hint="eastAsia" w:ascii="仿宋_GB2312" w:hAnsi="宋体" w:eastAsia="仿宋_GB2312" w:cs="仿宋_GB2312"/>
          <w:bCs/>
          <w:sz w:val="29"/>
          <w:szCs w:val="29"/>
          <w:lang w:eastAsia="zh-CN"/>
        </w:rPr>
        <w:t>全部</w:t>
      </w:r>
      <w:r>
        <w:rPr>
          <w:rFonts w:hint="eastAsia" w:ascii="仿宋_GB2312" w:hAnsi="宋体" w:eastAsia="仿宋_GB2312" w:cs="仿宋_GB2312"/>
          <w:bCs/>
          <w:sz w:val="29"/>
          <w:szCs w:val="29"/>
        </w:rPr>
        <w:t>监理费。</w:t>
      </w:r>
    </w:p>
    <w:p>
      <w:pPr>
        <w:autoSpaceDE w:val="0"/>
        <w:autoSpaceDN w:val="0"/>
        <w:adjustRightInd w:val="0"/>
        <w:spacing w:line="560" w:lineRule="exact"/>
        <w:ind w:firstLine="561"/>
        <w:rPr>
          <w:rFonts w:ascii="仿宋_GB2312" w:hAnsi="宋体" w:eastAsia="仿宋_GB2312" w:cs="仿宋_GB2312"/>
          <w:sz w:val="29"/>
          <w:szCs w:val="29"/>
        </w:rPr>
      </w:pPr>
      <w:r>
        <w:rPr>
          <w:rFonts w:hint="eastAsia" w:ascii="黑体" w:hAnsi="黑体" w:eastAsia="黑体" w:cs="仿宋_GB2312"/>
          <w:bCs/>
          <w:sz w:val="29"/>
          <w:szCs w:val="29"/>
        </w:rPr>
        <w:t xml:space="preserve">第八条 </w:t>
      </w:r>
      <w:r>
        <w:rPr>
          <w:rFonts w:hint="eastAsia" w:ascii="仿宋_GB2312" w:hAnsi="宋体" w:eastAsia="仿宋_GB2312"/>
          <w:sz w:val="29"/>
          <w:szCs w:val="29"/>
        </w:rPr>
        <w:t xml:space="preserve"> </w:t>
      </w:r>
      <w:r>
        <w:rPr>
          <w:rFonts w:hint="eastAsia" w:ascii="仿宋_GB2312" w:hAnsi="宋体" w:eastAsia="仿宋_GB2312" w:cs="仿宋_GB2312"/>
          <w:sz w:val="29"/>
          <w:szCs w:val="29"/>
        </w:rPr>
        <w:t>支付方式：银行转账。</w:t>
      </w:r>
    </w:p>
    <w:p>
      <w:pPr>
        <w:tabs>
          <w:tab w:val="left" w:pos="1647"/>
        </w:tabs>
        <w:autoSpaceDE w:val="0"/>
        <w:autoSpaceDN w:val="0"/>
        <w:adjustRightInd w:val="0"/>
        <w:spacing w:line="560" w:lineRule="exact"/>
        <w:ind w:firstLine="601"/>
        <w:rPr>
          <w:rFonts w:ascii="仿宋_GB2312" w:hAnsi="宋体" w:eastAsia="仿宋_GB2312"/>
          <w:sz w:val="29"/>
          <w:szCs w:val="29"/>
        </w:rPr>
      </w:pPr>
      <w:r>
        <w:rPr>
          <w:rFonts w:hint="eastAsia" w:ascii="黑体" w:hAnsi="黑体" w:eastAsia="黑体" w:cs="仿宋_GB2312"/>
          <w:bCs/>
          <w:sz w:val="29"/>
          <w:szCs w:val="29"/>
        </w:rPr>
        <w:t>第九条</w:t>
      </w:r>
      <w:r>
        <w:rPr>
          <w:rFonts w:hint="eastAsia" w:ascii="仿宋_GB2312" w:hAnsi="宋体" w:eastAsia="仿宋_GB2312" w:cs="仿宋_GB2312"/>
          <w:bCs/>
          <w:sz w:val="29"/>
          <w:szCs w:val="29"/>
        </w:rPr>
        <w:t xml:space="preserve">  </w:t>
      </w:r>
      <w:r>
        <w:rPr>
          <w:rFonts w:hint="eastAsia" w:ascii="仿宋_GB2312" w:hAnsi="宋体" w:eastAsia="仿宋_GB2312" w:cs="仿宋_GB2312"/>
          <w:sz w:val="29"/>
          <w:szCs w:val="29"/>
        </w:rPr>
        <w:t>乙方在监理工期内，应当履行本合同中约定的义务。如果由于监理工程师对设计、施工、材料设备和保密等方面的直接指示或违反本合同或违法行为、或侵犯了第三方的权益，而造成甲方经济损失，乙方应当向甲方进行赔偿。触及法律的，还应承担相应的法律责任。</w:t>
      </w:r>
    </w:p>
    <w:p>
      <w:pPr>
        <w:autoSpaceDE w:val="0"/>
        <w:autoSpaceDN w:val="0"/>
        <w:adjustRightInd w:val="0"/>
        <w:spacing w:line="560" w:lineRule="exact"/>
        <w:ind w:firstLine="563"/>
        <w:rPr>
          <w:rFonts w:ascii="仿宋_GB2312" w:hAnsi="宋体" w:eastAsia="仿宋_GB2312" w:cs="仿宋_GB2312"/>
          <w:sz w:val="29"/>
          <w:szCs w:val="29"/>
        </w:rPr>
      </w:pPr>
      <w:r>
        <w:rPr>
          <w:rFonts w:hint="eastAsia" w:ascii="仿宋_GB2312" w:hAnsi="宋体" w:eastAsia="仿宋_GB2312" w:cs="仿宋_GB2312"/>
          <w:sz w:val="29"/>
          <w:szCs w:val="29"/>
        </w:rPr>
        <w:t>本合同经双方签署盖章后，生效执行。在乙方完成本合同约定的监理工作，并支付全部监理费用后，本合同自行终止。</w:t>
      </w:r>
    </w:p>
    <w:p>
      <w:pPr>
        <w:autoSpaceDE w:val="0"/>
        <w:autoSpaceDN w:val="0"/>
        <w:adjustRightInd w:val="0"/>
        <w:spacing w:line="560" w:lineRule="exact"/>
        <w:ind w:firstLine="561"/>
        <w:rPr>
          <w:rFonts w:ascii="仿宋_GB2312" w:hAnsi="宋体" w:eastAsia="仿宋_GB2312" w:cs="仿宋_GB2312"/>
          <w:sz w:val="29"/>
          <w:szCs w:val="29"/>
        </w:rPr>
      </w:pPr>
      <w:r>
        <w:rPr>
          <w:rFonts w:hint="eastAsia" w:ascii="黑体" w:hAnsi="黑体" w:eastAsia="黑体" w:cs="仿宋_GB2312"/>
          <w:bCs/>
          <w:sz w:val="29"/>
          <w:szCs w:val="29"/>
        </w:rPr>
        <w:t>第十条</w:t>
      </w:r>
      <w:r>
        <w:rPr>
          <w:rFonts w:hint="eastAsia" w:ascii="仿宋_GB2312" w:hAnsi="宋体" w:eastAsia="仿宋_GB2312" w:cs="仿宋_GB2312"/>
          <w:bCs/>
          <w:sz w:val="29"/>
          <w:szCs w:val="29"/>
        </w:rPr>
        <w:t xml:space="preserve">  </w:t>
      </w:r>
      <w:r>
        <w:rPr>
          <w:rFonts w:hint="eastAsia" w:ascii="仿宋_GB2312" w:hAnsi="宋体" w:eastAsia="仿宋_GB2312" w:cs="仿宋_GB2312"/>
          <w:sz w:val="29"/>
          <w:szCs w:val="29"/>
        </w:rPr>
        <w:t>本合同壹式陆份，甲方执叁份，乙方执叁份。</w:t>
      </w:r>
    </w:p>
    <w:p>
      <w:pPr>
        <w:autoSpaceDE w:val="0"/>
        <w:autoSpaceDN w:val="0"/>
        <w:adjustRightInd w:val="0"/>
        <w:spacing w:line="560" w:lineRule="exact"/>
        <w:ind w:firstLine="560"/>
        <w:rPr>
          <w:rFonts w:ascii="仿宋_GB2312" w:hAnsi="宋体" w:eastAsia="仿宋_GB2312"/>
          <w:sz w:val="29"/>
          <w:szCs w:val="29"/>
        </w:rPr>
      </w:pPr>
      <w:r>
        <w:rPr>
          <w:rFonts w:hint="eastAsia" w:ascii="黑体" w:hAnsi="黑体" w:eastAsia="黑体" w:cs="仿宋_GB2312"/>
          <w:bCs/>
          <w:sz w:val="29"/>
          <w:szCs w:val="29"/>
        </w:rPr>
        <w:t>第十一条</w:t>
      </w:r>
      <w:r>
        <w:rPr>
          <w:rFonts w:hint="eastAsia" w:ascii="仿宋_GB2312" w:hAnsi="宋体" w:eastAsia="仿宋_GB2312" w:cs="仿宋_GB2312"/>
          <w:sz w:val="29"/>
          <w:szCs w:val="29"/>
        </w:rPr>
        <w:t xml:space="preserve">  本合同未尽事宜，由双方协商并签订补充协议。</w:t>
      </w:r>
    </w:p>
    <w:tbl>
      <w:tblPr>
        <w:tblStyle w:val="52"/>
        <w:tblW w:w="8934"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5" w:type="dxa"/>
          <w:left w:w="105" w:type="dxa"/>
          <w:bottom w:w="105" w:type="dxa"/>
          <w:right w:w="105" w:type="dxa"/>
        </w:tblCellMar>
      </w:tblPr>
      <w:tblGrid>
        <w:gridCol w:w="3973"/>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5" w:type="dxa"/>
            <w:left w:w="105" w:type="dxa"/>
            <w:bottom w:w="105" w:type="dxa"/>
            <w:right w:w="105" w:type="dxa"/>
          </w:tblCellMar>
        </w:tblPrEx>
        <w:trPr>
          <w:tblCellSpacing w:w="15" w:type="dxa"/>
        </w:trPr>
        <w:tc>
          <w:tcPr>
            <w:tcW w:w="392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rPr>
            </w:pPr>
            <w:r>
              <w:rPr>
                <w:rFonts w:hint="eastAsia" w:ascii="宋体" w:hAnsi="宋体"/>
              </w:rPr>
              <w:t>委</w:t>
            </w:r>
            <w:r>
              <w:t xml:space="preserve"> </w:t>
            </w:r>
            <w:r>
              <w:rPr>
                <w:rFonts w:hint="eastAsia" w:ascii="宋体" w:hAnsi="宋体"/>
              </w:rPr>
              <w:t>托</w:t>
            </w:r>
            <w:r>
              <w:t xml:space="preserve"> </w:t>
            </w:r>
            <w:r>
              <w:rPr>
                <w:rFonts w:hint="eastAsia" w:ascii="宋体" w:hAnsi="宋体"/>
              </w:rPr>
              <w:t>人：宜昌市城市管理执法支队</w:t>
            </w:r>
          </w:p>
        </w:tc>
        <w:tc>
          <w:tcPr>
            <w:tcW w:w="491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rPr>
            </w:pPr>
            <w:r>
              <w:rPr>
                <w:rFonts w:hint="eastAsia"/>
              </w:rPr>
              <w:t>监</w:t>
            </w:r>
            <w:r>
              <w:t xml:space="preserve"> </w:t>
            </w:r>
            <w:r>
              <w:rPr>
                <w:rFonts w:hint="eastAsia"/>
              </w:rPr>
              <w:t>理</w:t>
            </w:r>
            <w:r>
              <w:t xml:space="preserve"> </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5" w:type="dxa"/>
            <w:left w:w="105" w:type="dxa"/>
            <w:bottom w:w="105" w:type="dxa"/>
            <w:right w:w="105" w:type="dxa"/>
          </w:tblCellMar>
        </w:tblPrEx>
        <w:trPr>
          <w:tblCellSpacing w:w="15" w:type="dxa"/>
        </w:trPr>
        <w:tc>
          <w:tcPr>
            <w:tcW w:w="392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pPr>
            <w:r>
              <w:rPr>
                <w:rFonts w:hint="eastAsia"/>
              </w:rPr>
              <w:t>单位名称：（盖章）</w:t>
            </w:r>
          </w:p>
        </w:tc>
        <w:tc>
          <w:tcPr>
            <w:tcW w:w="491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pPr>
            <w:r>
              <w:rPr>
                <w:rFonts w:hint="eastAsia"/>
              </w:rPr>
              <w:t>单位名称：（盖章）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5" w:type="dxa"/>
            <w:left w:w="105" w:type="dxa"/>
            <w:bottom w:w="105" w:type="dxa"/>
            <w:right w:w="105" w:type="dxa"/>
          </w:tblCellMar>
        </w:tblPrEx>
        <w:trPr>
          <w:trHeight w:val="1125" w:hRule="atLeast"/>
          <w:tblCellSpacing w:w="15" w:type="dxa"/>
        </w:trPr>
        <w:tc>
          <w:tcPr>
            <w:tcW w:w="392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rPr>
            </w:pPr>
            <w:r>
              <w:rPr>
                <w:rFonts w:hint="eastAsia"/>
              </w:rPr>
              <w:t>代表人（签字）：</w:t>
            </w:r>
            <w:r>
              <w:rPr>
                <w:rFonts w:hint="eastAsia" w:ascii="宋体" w:hAnsi="宋体"/>
              </w:rPr>
              <w:t xml:space="preserve"> </w:t>
            </w:r>
          </w:p>
        </w:tc>
        <w:tc>
          <w:tcPr>
            <w:tcW w:w="491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rPr>
            </w:pPr>
            <w:r>
              <w:rPr>
                <w:rFonts w:hint="eastAsia"/>
              </w:rPr>
              <w:t>法定代表授权人（签字）：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5" w:type="dxa"/>
            <w:left w:w="105" w:type="dxa"/>
            <w:bottom w:w="105" w:type="dxa"/>
            <w:right w:w="105" w:type="dxa"/>
          </w:tblCellMar>
        </w:tblPrEx>
        <w:trPr>
          <w:tblCellSpacing w:w="15" w:type="dxa"/>
        </w:trPr>
        <w:tc>
          <w:tcPr>
            <w:tcW w:w="392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pPr>
          </w:p>
        </w:tc>
        <w:tc>
          <w:tcPr>
            <w:tcW w:w="491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left="248" w:leftChars="1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5" w:type="dxa"/>
            <w:left w:w="105" w:type="dxa"/>
            <w:bottom w:w="105" w:type="dxa"/>
            <w:right w:w="105" w:type="dxa"/>
          </w:tblCellMar>
        </w:tblPrEx>
        <w:trPr>
          <w:tblCellSpacing w:w="15" w:type="dxa"/>
        </w:trPr>
        <w:tc>
          <w:tcPr>
            <w:tcW w:w="3928" w:type="dxa"/>
            <w:tcBorders>
              <w:top w:val="single" w:color="auto" w:sz="4" w:space="0"/>
              <w:left w:val="single" w:color="auto" w:sz="4" w:space="0"/>
              <w:bottom w:val="single" w:color="auto" w:sz="4" w:space="0"/>
              <w:right w:val="single" w:color="auto" w:sz="4" w:space="0"/>
              <w:tl2br w:val="nil"/>
              <w:tr2bl w:val="nil"/>
            </w:tcBorders>
            <w:vAlign w:val="center"/>
          </w:tcPr>
          <w:p>
            <w:pPr>
              <w:spacing w:line="276" w:lineRule="auto"/>
            </w:pPr>
            <w:r>
              <w:rPr>
                <w:rFonts w:hint="eastAsia"/>
              </w:rPr>
              <w:t>付款方信息如下：</w:t>
            </w:r>
          </w:p>
        </w:tc>
        <w:tc>
          <w:tcPr>
            <w:tcW w:w="4916" w:type="dxa"/>
            <w:tcBorders>
              <w:top w:val="single" w:color="auto" w:sz="4" w:space="0"/>
              <w:left w:val="single" w:color="auto" w:sz="4" w:space="0"/>
              <w:bottom w:val="single" w:color="auto" w:sz="4" w:space="0"/>
              <w:right w:val="single" w:color="auto" w:sz="4" w:space="0"/>
              <w:tl2br w:val="nil"/>
              <w:tr2bl w:val="nil"/>
            </w:tcBorders>
            <w:vAlign w:val="center"/>
          </w:tcPr>
          <w:p>
            <w:pPr>
              <w:spacing w:line="276" w:lineRule="auto"/>
            </w:pPr>
            <w:r>
              <w:rPr>
                <w:rFonts w:hint="eastAsia"/>
              </w:rPr>
              <w:t>收款方信息如下：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5" w:type="dxa"/>
            <w:left w:w="105" w:type="dxa"/>
            <w:bottom w:w="105" w:type="dxa"/>
            <w:right w:w="105" w:type="dxa"/>
          </w:tblCellMar>
        </w:tblPrEx>
        <w:trPr>
          <w:tblCellSpacing w:w="15" w:type="dxa"/>
        </w:trPr>
        <w:tc>
          <w:tcPr>
            <w:tcW w:w="3928" w:type="dxa"/>
            <w:tcBorders>
              <w:top w:val="single" w:color="auto" w:sz="4" w:space="0"/>
              <w:left w:val="single" w:color="auto" w:sz="4" w:space="0"/>
              <w:bottom w:val="single" w:color="auto" w:sz="4" w:space="0"/>
              <w:right w:val="single" w:color="auto" w:sz="4" w:space="0"/>
              <w:tl2br w:val="nil"/>
              <w:tr2bl w:val="nil"/>
            </w:tcBorders>
            <w:vAlign w:val="center"/>
          </w:tcPr>
          <w:p>
            <w:pPr>
              <w:spacing w:line="276" w:lineRule="auto"/>
            </w:pPr>
            <w:r>
              <w:rPr>
                <w:rFonts w:hint="eastAsia"/>
              </w:rPr>
              <w:t xml:space="preserve">单位名称： </w:t>
            </w:r>
          </w:p>
        </w:tc>
        <w:tc>
          <w:tcPr>
            <w:tcW w:w="4916" w:type="dxa"/>
            <w:tcBorders>
              <w:top w:val="single" w:color="auto" w:sz="4" w:space="0"/>
              <w:left w:val="single" w:color="auto" w:sz="4" w:space="0"/>
              <w:bottom w:val="single" w:color="auto" w:sz="4" w:space="0"/>
              <w:right w:val="single" w:color="auto" w:sz="4" w:space="0"/>
              <w:tl2br w:val="nil"/>
              <w:tr2bl w:val="nil"/>
            </w:tcBorders>
            <w:vAlign w:val="center"/>
          </w:tcPr>
          <w:p>
            <w:pPr>
              <w:spacing w:line="276" w:lineRule="auto"/>
            </w:pPr>
            <w:r>
              <w:rPr>
                <w:rFonts w:hint="eastAsia"/>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5" w:type="dxa"/>
            <w:left w:w="105" w:type="dxa"/>
            <w:bottom w:w="105" w:type="dxa"/>
            <w:right w:w="105" w:type="dxa"/>
          </w:tblCellMar>
        </w:tblPrEx>
        <w:trPr>
          <w:tblCellSpacing w:w="15" w:type="dxa"/>
        </w:trPr>
        <w:tc>
          <w:tcPr>
            <w:tcW w:w="3928" w:type="dxa"/>
            <w:tcBorders>
              <w:top w:val="single" w:color="auto" w:sz="4" w:space="0"/>
              <w:left w:val="single" w:color="auto" w:sz="4" w:space="0"/>
              <w:bottom w:val="single" w:color="auto" w:sz="4" w:space="0"/>
              <w:right w:val="single" w:color="auto" w:sz="4" w:space="0"/>
              <w:tl2br w:val="nil"/>
              <w:tr2bl w:val="nil"/>
            </w:tcBorders>
            <w:vAlign w:val="center"/>
          </w:tcPr>
          <w:p>
            <w:pPr>
              <w:spacing w:line="276" w:lineRule="auto"/>
            </w:pPr>
            <w:r>
              <w:rPr>
                <w:rFonts w:hint="eastAsia"/>
              </w:rPr>
              <w:t>纳税人识别号：</w:t>
            </w:r>
          </w:p>
        </w:tc>
        <w:tc>
          <w:tcPr>
            <w:tcW w:w="4916" w:type="dxa"/>
            <w:tcBorders>
              <w:top w:val="single" w:color="auto" w:sz="4" w:space="0"/>
              <w:left w:val="single" w:color="auto" w:sz="4" w:space="0"/>
              <w:bottom w:val="single" w:color="auto" w:sz="4" w:space="0"/>
              <w:right w:val="single" w:color="auto" w:sz="4" w:space="0"/>
              <w:tl2br w:val="nil"/>
              <w:tr2bl w:val="nil"/>
            </w:tcBorders>
            <w:vAlign w:val="center"/>
          </w:tcPr>
          <w:p>
            <w:pPr>
              <w:spacing w:line="276" w:lineRule="auto"/>
            </w:pPr>
            <w:r>
              <w:rPr>
                <w:rFonts w:hint="eastAsia"/>
              </w:rPr>
              <w:t>开户银行：</w:t>
            </w:r>
            <w:r>
              <w:rPr>
                <w:rFonts w:hint="eastAsia" w:ascii="宋体" w:hAnsi="宋体"/>
                <w:sz w:val="32"/>
              </w:rPr>
              <w:t xml:space="preserve"> </w:t>
            </w:r>
          </w:p>
          <w:p>
            <w:pPr>
              <w:spacing w:line="276" w:lineRule="auto"/>
            </w:pPr>
            <w:r>
              <w:rPr>
                <w:rFonts w:hint="eastAsia"/>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5" w:type="dxa"/>
            <w:left w:w="105" w:type="dxa"/>
            <w:bottom w:w="105" w:type="dxa"/>
            <w:right w:w="105" w:type="dxa"/>
          </w:tblCellMar>
        </w:tblPrEx>
        <w:trPr>
          <w:tblCellSpacing w:w="15" w:type="dxa"/>
        </w:trPr>
        <w:tc>
          <w:tcPr>
            <w:tcW w:w="3928" w:type="dxa"/>
            <w:tcBorders>
              <w:top w:val="single" w:color="auto" w:sz="4" w:space="0"/>
              <w:left w:val="single" w:color="auto" w:sz="4" w:space="0"/>
              <w:bottom w:val="single" w:color="auto" w:sz="4" w:space="0"/>
              <w:right w:val="single" w:color="auto" w:sz="4" w:space="0"/>
              <w:tl2br w:val="nil"/>
              <w:tr2bl w:val="nil"/>
            </w:tcBorders>
            <w:vAlign w:val="center"/>
          </w:tcPr>
          <w:p>
            <w:pPr>
              <w:spacing w:line="276" w:lineRule="auto"/>
            </w:pPr>
            <w:r>
              <w:rPr>
                <w:rFonts w:hint="eastAsia"/>
              </w:rPr>
              <w:t xml:space="preserve">地址、电话：                                     </w:t>
            </w:r>
          </w:p>
          <w:p>
            <w:pPr>
              <w:spacing w:line="276" w:lineRule="auto"/>
            </w:pPr>
            <w:r>
              <w:rPr>
                <w:rFonts w:hint="eastAsia"/>
              </w:rPr>
              <w:t>开户行：</w:t>
            </w:r>
          </w:p>
          <w:p>
            <w:pPr>
              <w:spacing w:line="276" w:lineRule="auto"/>
            </w:pPr>
            <w:r>
              <w:rPr>
                <w:rFonts w:hint="eastAsia"/>
              </w:rPr>
              <w:t>银行账号：</w:t>
            </w:r>
          </w:p>
        </w:tc>
        <w:tc>
          <w:tcPr>
            <w:tcW w:w="4916" w:type="dxa"/>
            <w:tcBorders>
              <w:top w:val="single" w:color="auto" w:sz="4" w:space="0"/>
              <w:left w:val="single" w:color="auto" w:sz="4" w:space="0"/>
              <w:bottom w:val="single" w:color="auto" w:sz="4" w:space="0"/>
              <w:right w:val="single" w:color="auto" w:sz="4" w:space="0"/>
              <w:tl2br w:val="nil"/>
              <w:tr2bl w:val="nil"/>
            </w:tcBorders>
            <w:vAlign w:val="center"/>
          </w:tcPr>
          <w:p>
            <w:pPr>
              <w:spacing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5" w:type="dxa"/>
            <w:left w:w="105" w:type="dxa"/>
            <w:bottom w:w="105" w:type="dxa"/>
            <w:right w:w="105" w:type="dxa"/>
          </w:tblCellMar>
        </w:tblPrEx>
        <w:trPr>
          <w:tblCellSpacing w:w="15" w:type="dxa"/>
        </w:trPr>
        <w:tc>
          <w:tcPr>
            <w:tcW w:w="3928" w:type="dxa"/>
            <w:tcBorders>
              <w:top w:val="single" w:color="auto" w:sz="4" w:space="0"/>
              <w:left w:val="single" w:color="auto" w:sz="4" w:space="0"/>
              <w:bottom w:val="single" w:color="auto" w:sz="4" w:space="0"/>
              <w:right w:val="single" w:color="auto" w:sz="4" w:space="0"/>
              <w:tl2br w:val="nil"/>
              <w:tr2bl w:val="nil"/>
            </w:tcBorders>
            <w:vAlign w:val="center"/>
          </w:tcPr>
          <w:p>
            <w:pPr>
              <w:spacing w:line="276" w:lineRule="auto"/>
              <w:rPr>
                <w:rFonts w:ascii="宋体" w:hAnsi="宋体"/>
              </w:rPr>
            </w:pPr>
          </w:p>
          <w:p>
            <w:pPr>
              <w:spacing w:line="276" w:lineRule="auto"/>
              <w:rPr>
                <w:rFonts w:ascii="宋体" w:hAnsi="宋体"/>
              </w:rPr>
            </w:pPr>
            <w:r>
              <w:rPr>
                <w:rFonts w:hint="eastAsia" w:ascii="宋体" w:hAnsi="宋体"/>
              </w:rPr>
              <w:t>日期：    年     月     日</w:t>
            </w:r>
          </w:p>
        </w:tc>
        <w:tc>
          <w:tcPr>
            <w:tcW w:w="4916" w:type="dxa"/>
            <w:tcBorders>
              <w:top w:val="single" w:color="auto" w:sz="4" w:space="0"/>
              <w:left w:val="single" w:color="auto" w:sz="4" w:space="0"/>
              <w:bottom w:val="single" w:color="auto" w:sz="4" w:space="0"/>
              <w:right w:val="single" w:color="auto" w:sz="4" w:space="0"/>
              <w:tl2br w:val="nil"/>
              <w:tr2bl w:val="nil"/>
            </w:tcBorders>
            <w:vAlign w:val="center"/>
          </w:tcPr>
          <w:p>
            <w:pPr>
              <w:spacing w:line="276" w:lineRule="auto"/>
              <w:ind w:left="248" w:leftChars="118"/>
            </w:pPr>
            <w:r>
              <w:t xml:space="preserve">           </w:t>
            </w:r>
          </w:p>
          <w:p>
            <w:pPr>
              <w:spacing w:line="276" w:lineRule="auto"/>
              <w:ind w:left="248" w:leftChars="118" w:firstLine="210" w:firstLineChars="100"/>
            </w:pPr>
            <w:r>
              <w:rPr>
                <w:rFonts w:hint="eastAsia"/>
              </w:rPr>
              <w:t>日期：    年      月    日</w:t>
            </w:r>
          </w:p>
        </w:tc>
      </w:tr>
    </w:tbl>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sz w:val="29"/>
          <w:szCs w:val="29"/>
        </w:rPr>
        <w:br w:type="page"/>
      </w:r>
    </w:p>
    <w:p>
      <w:pPr>
        <w:autoSpaceDE w:val="0"/>
        <w:autoSpaceDN w:val="0"/>
        <w:adjustRightInd w:val="0"/>
        <w:spacing w:line="560" w:lineRule="exact"/>
        <w:jc w:val="center"/>
        <w:rPr>
          <w:rFonts w:ascii="方正小标宋_GBK" w:hAnsi="宋体" w:eastAsia="方正小标宋_GBK" w:cs="黑体"/>
          <w:sz w:val="40"/>
          <w:szCs w:val="40"/>
        </w:rPr>
      </w:pPr>
      <w:r>
        <w:rPr>
          <w:rFonts w:hint="eastAsia" w:ascii="方正小标宋_GBK" w:hAnsi="宋体" w:eastAsia="方正小标宋_GBK" w:cs="黑体"/>
          <w:sz w:val="40"/>
          <w:szCs w:val="40"/>
        </w:rPr>
        <w:t>宜昌市城市管理执法监督平台监理项目</w:t>
      </w:r>
    </w:p>
    <w:p>
      <w:pPr>
        <w:autoSpaceDE w:val="0"/>
        <w:autoSpaceDN w:val="0"/>
        <w:adjustRightInd w:val="0"/>
        <w:spacing w:line="560" w:lineRule="exact"/>
        <w:jc w:val="center"/>
        <w:rPr>
          <w:rFonts w:ascii="方正小标宋_GBK" w:hAnsi="宋体" w:eastAsia="方正小标宋_GBK" w:cs="黑体"/>
          <w:sz w:val="40"/>
          <w:szCs w:val="40"/>
        </w:rPr>
      </w:pPr>
      <w:r>
        <w:rPr>
          <w:rFonts w:hint="eastAsia" w:ascii="方正小标宋_GBK" w:hAnsi="宋体" w:eastAsia="方正小标宋_GBK" w:cs="黑体"/>
          <w:sz w:val="40"/>
          <w:szCs w:val="40"/>
        </w:rPr>
        <w:t>合同通用条款</w:t>
      </w:r>
    </w:p>
    <w:p>
      <w:pPr>
        <w:autoSpaceDE w:val="0"/>
        <w:autoSpaceDN w:val="0"/>
        <w:adjustRightInd w:val="0"/>
        <w:spacing w:line="560" w:lineRule="exact"/>
        <w:rPr>
          <w:rFonts w:ascii="仿宋_GB2312" w:hAnsi="宋体" w:eastAsia="仿宋_GB2312" w:cs="黑体"/>
          <w:sz w:val="29"/>
          <w:szCs w:val="29"/>
        </w:rPr>
      </w:pPr>
    </w:p>
    <w:p>
      <w:pPr>
        <w:tabs>
          <w:tab w:val="left" w:pos="1647"/>
        </w:tabs>
        <w:autoSpaceDE w:val="0"/>
        <w:autoSpaceDN w:val="0"/>
        <w:adjustRightInd w:val="0"/>
        <w:spacing w:line="560" w:lineRule="exact"/>
        <w:ind w:firstLine="601"/>
        <w:rPr>
          <w:rFonts w:ascii="黑体" w:hAnsi="黑体" w:eastAsia="黑体" w:cs="仿宋_GB2312"/>
          <w:bCs/>
          <w:sz w:val="29"/>
          <w:szCs w:val="29"/>
        </w:rPr>
      </w:pPr>
      <w:r>
        <w:rPr>
          <w:rFonts w:hint="eastAsia" w:ascii="黑体" w:hAnsi="黑体" w:eastAsia="黑体" w:cs="仿宋_GB2312"/>
          <w:bCs/>
          <w:sz w:val="29"/>
          <w:szCs w:val="29"/>
        </w:rPr>
        <w:t>一、词语定义、适用语言和法规</w:t>
      </w:r>
    </w:p>
    <w:p>
      <w:pPr>
        <w:tabs>
          <w:tab w:val="left" w:pos="1647"/>
        </w:tabs>
        <w:autoSpaceDE w:val="0"/>
        <w:autoSpaceDN w:val="0"/>
        <w:adjustRightInd w:val="0"/>
        <w:spacing w:line="560" w:lineRule="exact"/>
        <w:ind w:left="-1" w:firstLine="567"/>
        <w:rPr>
          <w:rFonts w:ascii="仿宋_GB2312" w:hAnsi="宋体" w:eastAsia="仿宋_GB2312"/>
          <w:sz w:val="29"/>
          <w:szCs w:val="29"/>
        </w:rPr>
      </w:pPr>
      <w:r>
        <w:rPr>
          <w:rFonts w:hint="eastAsia" w:ascii="楷体_GB2312" w:hAnsi="黑体" w:eastAsia="楷体_GB2312" w:cs="仿宋_GB2312"/>
          <w:bCs/>
          <w:sz w:val="29"/>
          <w:szCs w:val="29"/>
        </w:rPr>
        <w:t>第一条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下列名词和用语，除上下文另有规定外，应具有如下含义。</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(一)“项目”是指业主单位委托实施监理的项目。</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(二)“业主单位”是指承担直接投资责任的、委托监理业务的一方，以及其合法继承人。</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(三)“监理单位”是指承担监理业务和监理责任的一方，以及其合法继承人。</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(四)“监理机构”是指监理单位派驻项目现场实施监理业务的组织。</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(五)“第三方”是指除业主、监理单位以外与项目建设有关的当事人。</w:t>
      </w:r>
    </w:p>
    <w:p>
      <w:pPr>
        <w:autoSpaceDE w:val="0"/>
        <w:autoSpaceDN w:val="0"/>
        <w:adjustRightInd w:val="0"/>
        <w:spacing w:line="560" w:lineRule="exact"/>
        <w:ind w:left="-1" w:firstLine="580" w:firstLineChars="200"/>
        <w:rPr>
          <w:rFonts w:ascii="仿宋_GB2312" w:hAnsi="宋体" w:eastAsia="仿宋_GB2312"/>
          <w:sz w:val="29"/>
          <w:szCs w:val="29"/>
        </w:rPr>
      </w:pPr>
      <w:r>
        <w:rPr>
          <w:rFonts w:hint="eastAsia" w:ascii="仿宋_GB2312" w:hAnsi="宋体" w:eastAsia="仿宋_GB2312" w:cs="仿宋_GB2312"/>
          <w:sz w:val="29"/>
          <w:szCs w:val="29"/>
        </w:rPr>
        <w:t>(六)“工程监理的正常工作”是指双方在专用条件中约定，委托单位委托的监理工作范围和内容。</w:t>
      </w:r>
    </w:p>
    <w:p>
      <w:pPr>
        <w:autoSpaceDE w:val="0"/>
        <w:autoSpaceDN w:val="0"/>
        <w:adjustRightInd w:val="0"/>
        <w:spacing w:line="560" w:lineRule="exact"/>
        <w:ind w:left="-1"/>
        <w:rPr>
          <w:rFonts w:ascii="仿宋_GB2312" w:hAnsi="宋体" w:eastAsia="仿宋_GB2312"/>
          <w:sz w:val="29"/>
          <w:szCs w:val="29"/>
        </w:rPr>
      </w:pPr>
      <w:r>
        <w:rPr>
          <w:rFonts w:hint="eastAsia" w:ascii="仿宋_GB2312" w:hAnsi="宋体" w:eastAsia="仿宋_GB2312" w:cs="仿宋_GB2312"/>
          <w:kern w:val="0"/>
          <w:sz w:val="29"/>
          <w:szCs w:val="29"/>
        </w:rPr>
        <w:t xml:space="preserve">    </w:t>
      </w:r>
      <w:r>
        <w:rPr>
          <w:rFonts w:hint="eastAsia" w:ascii="仿宋_GB2312" w:hAnsi="宋体" w:eastAsia="仿宋_GB2312" w:cs="仿宋_GB2312"/>
          <w:sz w:val="29"/>
          <w:szCs w:val="29"/>
        </w:rPr>
        <w:t>(七)“工程监理的附加工作”是指：①委托单位委托监理范围以外，通过双方书面协议另外增加的工作内容；②由于委托单位或承包单位原因，使监理工作受到阻碍或延误，因增加工作量或持续时间而增加的工作。</w:t>
      </w:r>
    </w:p>
    <w:p>
      <w:pPr>
        <w:autoSpaceDE w:val="0"/>
        <w:autoSpaceDN w:val="0"/>
        <w:adjustRightInd w:val="0"/>
        <w:spacing w:line="560" w:lineRule="exact"/>
        <w:ind w:left="-1" w:firstLine="580" w:firstLineChars="200"/>
        <w:rPr>
          <w:rFonts w:ascii="仿宋_GB2312" w:hAnsi="宋体" w:eastAsia="仿宋_GB2312"/>
          <w:sz w:val="29"/>
          <w:szCs w:val="29"/>
        </w:rPr>
      </w:pPr>
      <w:r>
        <w:rPr>
          <w:rFonts w:hint="eastAsia" w:ascii="仿宋_GB2312" w:hAnsi="宋体" w:eastAsia="仿宋_GB2312" w:cs="仿宋_GB2312"/>
          <w:sz w:val="29"/>
          <w:szCs w:val="29"/>
        </w:rPr>
        <w:t>(八)“工程监理的额外工作”是指正常工作和附加工作以外的工作。</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(九)“日”是指任何一个午夜至下一个午夜间的时间段。</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(十)“月”是指根据公历从一个月份中任何一天开始到下一个月相应日期的前一天的时间段。</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第二条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本监理合同适用国家法律、行政法规，部门规章以及项目所在地的地方性法规、地方政府规章。</w:t>
      </w:r>
    </w:p>
    <w:p>
      <w:pPr>
        <w:tabs>
          <w:tab w:val="left" w:pos="1647"/>
        </w:tabs>
        <w:autoSpaceDE w:val="0"/>
        <w:autoSpaceDN w:val="0"/>
        <w:adjustRightInd w:val="0"/>
        <w:spacing w:line="560" w:lineRule="exact"/>
        <w:ind w:left="-1" w:firstLine="600"/>
        <w:rPr>
          <w:rFonts w:ascii="仿宋_GB2312" w:hAnsi="宋体" w:eastAsia="仿宋_GB2312" w:cs="仿宋_GB2312"/>
          <w:kern w:val="0"/>
          <w:sz w:val="29"/>
          <w:szCs w:val="29"/>
        </w:rPr>
      </w:pPr>
      <w:r>
        <w:rPr>
          <w:rFonts w:hint="eastAsia" w:ascii="楷体_GB2312" w:hAnsi="黑体" w:eastAsia="楷体_GB2312" w:cs="仿宋_GB2312"/>
          <w:bCs/>
          <w:sz w:val="29"/>
          <w:szCs w:val="29"/>
        </w:rPr>
        <w:t>第三条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kern w:val="0"/>
          <w:sz w:val="29"/>
          <w:szCs w:val="29"/>
        </w:rPr>
        <w:t>监理合同的书写、解释和说明，以中文书写。</w:t>
      </w:r>
    </w:p>
    <w:p>
      <w:pPr>
        <w:tabs>
          <w:tab w:val="left" w:pos="1647"/>
        </w:tabs>
        <w:autoSpaceDE w:val="0"/>
        <w:autoSpaceDN w:val="0"/>
        <w:adjustRightInd w:val="0"/>
        <w:spacing w:line="560" w:lineRule="exact"/>
        <w:ind w:firstLine="601"/>
        <w:rPr>
          <w:rFonts w:ascii="黑体" w:hAnsi="黑体" w:eastAsia="黑体" w:cs="仿宋_GB2312"/>
          <w:bCs/>
          <w:sz w:val="29"/>
          <w:szCs w:val="29"/>
        </w:rPr>
      </w:pPr>
      <w:r>
        <w:rPr>
          <w:rFonts w:hint="eastAsia" w:ascii="黑体" w:hAnsi="黑体" w:eastAsia="黑体" w:cs="仿宋_GB2312"/>
          <w:bCs/>
          <w:sz w:val="29"/>
          <w:szCs w:val="29"/>
        </w:rPr>
        <w:t>二、监理单位的义务</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第四条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向业主单位报送其委派的总监理工程师及其监理机构主要成员名单、监理规划，完成监理合同中约定的委托监理范围内的监理业务。</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第五条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监理机构在履行本合同义务的期间，应运用合理的技能，认真、勤奋地工作,提供本合同项下的监理服务。帮助业主单位实现本合同预定的目标，公正地维护各方的合法权益。</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第六条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监理机构使用的业主单位提供的设施和物品属于业主单位的财产，在监理工作完成或本合同终止时，监理单位应将该设施和物品库存清单提交给业主单位，并按本合同约定的时间和方式向业主单位或其指定人移交此类设施和物品。</w:t>
      </w:r>
    </w:p>
    <w:p>
      <w:pPr>
        <w:tabs>
          <w:tab w:val="left" w:pos="1647"/>
        </w:tabs>
        <w:autoSpaceDE w:val="0"/>
        <w:autoSpaceDN w:val="0"/>
        <w:adjustRightInd w:val="0"/>
        <w:spacing w:line="560" w:lineRule="exact"/>
        <w:ind w:left="-1" w:firstLine="600"/>
        <w:rPr>
          <w:rFonts w:ascii="仿宋_GB2312" w:hAnsi="宋体" w:eastAsia="仿宋_GB2312" w:cs="仿宋_GB2312"/>
          <w:sz w:val="29"/>
          <w:szCs w:val="29"/>
        </w:rPr>
      </w:pPr>
      <w:r>
        <w:rPr>
          <w:rFonts w:hint="eastAsia" w:ascii="楷体_GB2312" w:hAnsi="黑体" w:eastAsia="楷体_GB2312" w:cs="仿宋_GB2312"/>
          <w:bCs/>
          <w:sz w:val="29"/>
          <w:szCs w:val="29"/>
        </w:rPr>
        <w:t>第七条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在本合同期内或合同终止后，未征得业主单位同意，不得泄露与本项目、本合同内容有关的信息。</w:t>
      </w:r>
    </w:p>
    <w:p>
      <w:pPr>
        <w:tabs>
          <w:tab w:val="left" w:pos="1647"/>
        </w:tabs>
        <w:autoSpaceDE w:val="0"/>
        <w:autoSpaceDN w:val="0"/>
        <w:adjustRightInd w:val="0"/>
        <w:spacing w:line="560" w:lineRule="exact"/>
        <w:ind w:firstLine="601"/>
        <w:rPr>
          <w:rFonts w:ascii="黑体" w:hAnsi="黑体" w:eastAsia="黑体" w:cs="仿宋_GB2312"/>
          <w:bCs/>
          <w:sz w:val="29"/>
          <w:szCs w:val="29"/>
        </w:rPr>
      </w:pPr>
      <w:r>
        <w:rPr>
          <w:rFonts w:hint="eastAsia" w:ascii="黑体" w:hAnsi="黑体" w:eastAsia="黑体" w:cs="仿宋_GB2312"/>
          <w:bCs/>
          <w:sz w:val="29"/>
          <w:szCs w:val="29"/>
        </w:rPr>
        <w:t>三、业主单位的义务</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第八条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业主单位应当在双方约定的时间内免费向监理机构提供与项目有关的为监理机构所需要的全部资料。</w:t>
      </w:r>
    </w:p>
    <w:p>
      <w:pPr>
        <w:autoSpaceDE w:val="0"/>
        <w:autoSpaceDN w:val="0"/>
        <w:adjustRightInd w:val="0"/>
        <w:spacing w:line="560" w:lineRule="exact"/>
        <w:ind w:left="-1" w:firstLine="600"/>
        <w:rPr>
          <w:rFonts w:ascii="仿宋_GB2312" w:hAnsi="宋体" w:eastAsia="仿宋_GB2312"/>
          <w:sz w:val="29"/>
          <w:szCs w:val="29"/>
        </w:rPr>
      </w:pPr>
      <w:r>
        <w:rPr>
          <w:rFonts w:hint="eastAsia" w:ascii="仿宋_GB2312" w:hAnsi="宋体" w:eastAsia="仿宋_GB2312" w:cs="仿宋_GB2312"/>
          <w:sz w:val="29"/>
          <w:szCs w:val="29"/>
        </w:rPr>
        <w:t>业主单位应当向监理机构提供业主单位与承包商签订的合同以及分包合同和订货合同的复印件。</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 xml:space="preserve">第九条 </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业主单位应当在约定的时间内就监理单位书面提交并要求做出决定的一切事宜做出书面决定。逾期应视为业主同意。</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第十条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pacing w:val="-6"/>
          <w:sz w:val="29"/>
          <w:szCs w:val="29"/>
        </w:rPr>
        <w:t>业主单位应授权有关熟悉本项目情况、能迅速做出决定的常驻代表，负责与监理单位联系。更换常驻代表，应提前通知监理单位。</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第十一条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业主单位应当将授予监理单位的监理权利，以及监理机构主要成员的主要职能分工，及时书面通知已选定的第三方。</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第十二条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业主单位应为监理机构提供如下资料：</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(一)本项目的材料设备的制造商、供应商名单；</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(二)与本项目有关的协作单位、配合单位名单。</w:t>
      </w:r>
    </w:p>
    <w:p>
      <w:pPr>
        <w:tabs>
          <w:tab w:val="left" w:pos="1647"/>
        </w:tabs>
        <w:autoSpaceDE w:val="0"/>
        <w:autoSpaceDN w:val="0"/>
        <w:adjustRightInd w:val="0"/>
        <w:spacing w:line="560" w:lineRule="exact"/>
        <w:ind w:left="-1" w:firstLine="600"/>
        <w:rPr>
          <w:rFonts w:ascii="仿宋_GB2312" w:hAnsi="宋体" w:eastAsia="仿宋_GB2312"/>
          <w:spacing w:val="-4"/>
          <w:sz w:val="29"/>
          <w:szCs w:val="29"/>
        </w:rPr>
      </w:pPr>
      <w:r>
        <w:rPr>
          <w:rFonts w:hint="eastAsia" w:ascii="楷体_GB2312" w:hAnsi="黑体" w:eastAsia="楷体_GB2312" w:cs="仿宋_GB2312"/>
          <w:bCs/>
          <w:spacing w:val="-4"/>
          <w:sz w:val="29"/>
          <w:szCs w:val="29"/>
        </w:rPr>
        <w:t>第十三条</w:t>
      </w:r>
      <w:r>
        <w:rPr>
          <w:rFonts w:hint="eastAsia" w:ascii="仿宋_GB2312" w:hAnsi="宋体" w:eastAsia="仿宋_GB2312" w:cs="仿宋_GB2312"/>
          <w:bCs/>
          <w:spacing w:val="-4"/>
          <w:kern w:val="0"/>
          <w:sz w:val="29"/>
          <w:szCs w:val="29"/>
        </w:rPr>
        <w:t xml:space="preserve">  </w:t>
      </w:r>
      <w:r>
        <w:rPr>
          <w:rFonts w:hint="eastAsia" w:ascii="仿宋_GB2312" w:hAnsi="宋体" w:eastAsia="仿宋_GB2312" w:cs="仿宋_GB2312"/>
          <w:spacing w:val="-4"/>
          <w:sz w:val="29"/>
          <w:szCs w:val="29"/>
        </w:rPr>
        <w:t>业主单位免费向监理机构提供合同专用条款约定的设施。</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第十四条</w:t>
      </w:r>
      <w:r>
        <w:rPr>
          <w:rFonts w:hint="eastAsia" w:ascii="仿宋_GB2312" w:hAnsi="宋体" w:eastAsia="仿宋_GB2312" w:cs="仿宋_GB2312"/>
          <w:b/>
          <w:bCs/>
          <w:sz w:val="29"/>
          <w:szCs w:val="29"/>
        </w:rPr>
        <w:t xml:space="preserve">  </w:t>
      </w:r>
      <w:r>
        <w:rPr>
          <w:rFonts w:hint="eastAsia" w:ascii="仿宋_GB2312" w:hAnsi="宋体" w:eastAsia="仿宋_GB2312" w:cs="仿宋_GB2312"/>
          <w:sz w:val="29"/>
          <w:szCs w:val="29"/>
        </w:rPr>
        <w:t>如果双方约定，由业主单位免费向监理机构提供服务人员，则应在监理合同专用条款中增加与此相应的条款。</w:t>
      </w:r>
    </w:p>
    <w:p>
      <w:pPr>
        <w:tabs>
          <w:tab w:val="left" w:pos="1647"/>
        </w:tabs>
        <w:autoSpaceDE w:val="0"/>
        <w:autoSpaceDN w:val="0"/>
        <w:adjustRightInd w:val="0"/>
        <w:spacing w:line="560" w:lineRule="exact"/>
        <w:ind w:firstLine="601"/>
        <w:rPr>
          <w:rFonts w:ascii="黑体" w:hAnsi="黑体" w:eastAsia="黑体" w:cs="仿宋_GB2312"/>
          <w:bCs/>
          <w:sz w:val="29"/>
          <w:szCs w:val="29"/>
        </w:rPr>
      </w:pPr>
      <w:r>
        <w:rPr>
          <w:rFonts w:hint="eastAsia" w:ascii="黑体" w:hAnsi="黑体" w:eastAsia="黑体" w:cs="仿宋_GB2312"/>
          <w:bCs/>
          <w:sz w:val="29"/>
          <w:szCs w:val="29"/>
        </w:rPr>
        <w:t>四、监理单位的权利</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第十五条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业主单位在委托的工程项目范围内，授予监理单位以下监理权利：</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 xml:space="preserve"> (一)就项目建设中包括工程规模、设计标准、规划设计和使用功能要求事项，向业主单位的建议权；</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(二)就设计中的技术问题，按照安全和优化的原则，提出建议，并向业主单位提出书面报告。如果由于拟提出的建议会增加项目投资，或延长工期，应当事先取得业主单位的书面同意；</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三)就施工组织设计和技术方案，按照保质量、保工期和降低成本的原则，提出审查意见并及时通知承包商，并向业主单位提出书面报告。如果由于拟提出建议会增加项目投资、延长工期，应事先取得业主单位的书面同意；</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(四)项目建设有关协作单位的组织协调的主持权，重要协调事项应当事先向业主单位报告；</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(五)监理单位发布开工令、停工令和复工令应当事先取得业主单位同意，如在紧急情况下未能取得事先同意时，则应在发出后24小时内向业主单位做出书面报告；</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六)对项目使用的材料设备和项目施工质量的检验权和确认权。对于不符合设计要求及国家质量标准的材料设备，应通知承包商停止使用或更换；对于不符合规范和质量标准的工序、分项、分部工程和不安全的施工作业，应通知承包商停工整改、返工。承包商取得监理机构复工令后才能复工；</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(七)对项目施工进度的检查、监督权，以及项目实际竣工日期提前或超过工程合同规定的竣工期限的签认权；</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(八)在工程合同约定的工程价格范围内，对项目工程款支付的审核和签认权，以及结算工程款的复核确认权或否决权。未经监理机构签字确认，业主单位不支付工程款；</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(九)在监理过程中如发现承包商工作不力，监理机构应提出调换有关人员的建议；</w:t>
      </w:r>
    </w:p>
    <w:p>
      <w:pPr>
        <w:autoSpaceDE w:val="0"/>
        <w:autoSpaceDN w:val="0"/>
        <w:adjustRightInd w:val="0"/>
        <w:spacing w:line="560" w:lineRule="exact"/>
        <w:ind w:left="-1" w:firstLine="560"/>
        <w:rPr>
          <w:rFonts w:ascii="仿宋_GB2312" w:hAnsi="宋体" w:eastAsia="仿宋_GB2312"/>
          <w:sz w:val="29"/>
          <w:szCs w:val="29"/>
        </w:rPr>
      </w:pPr>
      <w:r>
        <w:rPr>
          <w:rFonts w:hint="eastAsia" w:ascii="仿宋_GB2312" w:hAnsi="宋体" w:eastAsia="仿宋_GB2312" w:cs="仿宋_GB2312"/>
          <w:sz w:val="29"/>
          <w:szCs w:val="29"/>
        </w:rPr>
        <w:t>(十)监理单位依本合同行使监理权力不妨碍业主单位行使其在其他与项目有关的合同(包括业主单位与承包商和/或第三方签订的合同)项下的权利,亦不构成对前述合同的变更。</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第十六条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监理机构在业主单位授权下，可对任何业主单位与第三方之间的合同的条款提出变更建议。</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第十七条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在委托的项目范围内，业主单位或第三方对对方的任何意见和要求(包括索赔要求)，均必须首先向监理机构提出，由监理机构研究处置意见，再向双方协商确定。当业主单位和第三方发生争议时，监理机构应根据自己的职能，以独立的身份判断，公正地进行调解。当其双方的争议由政府建设行政主管部门或仲裁机关进行调解和仲裁时，监理机构应当提供其掌握的事实材料作为证据。</w:t>
      </w:r>
    </w:p>
    <w:p>
      <w:pPr>
        <w:tabs>
          <w:tab w:val="left" w:pos="1647"/>
        </w:tabs>
        <w:autoSpaceDE w:val="0"/>
        <w:autoSpaceDN w:val="0"/>
        <w:adjustRightInd w:val="0"/>
        <w:spacing w:line="560" w:lineRule="exact"/>
        <w:ind w:firstLine="601"/>
        <w:rPr>
          <w:rFonts w:ascii="黑体" w:hAnsi="黑体" w:eastAsia="黑体" w:cs="仿宋_GB2312"/>
          <w:bCs/>
          <w:sz w:val="29"/>
          <w:szCs w:val="29"/>
        </w:rPr>
      </w:pPr>
      <w:r>
        <w:rPr>
          <w:rFonts w:hint="eastAsia" w:ascii="黑体" w:hAnsi="黑体" w:eastAsia="黑体" w:cs="仿宋_GB2312"/>
          <w:bCs/>
          <w:sz w:val="29"/>
          <w:szCs w:val="29"/>
        </w:rPr>
        <w:t>五、业主单位权利</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 xml:space="preserve">第十八条 </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业主单位有选定工程总设计单位和总承包商，以及与其订立合同的权利。</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第十九条</w:t>
      </w:r>
      <w:r>
        <w:rPr>
          <w:rFonts w:hint="eastAsia" w:ascii="仿宋_GB2312" w:hAnsi="宋体" w:eastAsia="仿宋_GB2312" w:cs="仿宋_GB2312"/>
          <w:b/>
          <w:bCs/>
          <w:sz w:val="29"/>
          <w:szCs w:val="29"/>
        </w:rPr>
        <w:t xml:space="preserve">  </w:t>
      </w:r>
      <w:r>
        <w:rPr>
          <w:rFonts w:hint="eastAsia" w:ascii="仿宋_GB2312" w:hAnsi="宋体" w:eastAsia="仿宋_GB2312" w:cs="仿宋_GB2312"/>
          <w:sz w:val="29"/>
          <w:szCs w:val="29"/>
        </w:rPr>
        <w:t>业主单位有权对项目建设规模、设计标准、规划设计和设计使用功能要求的认定权，以及对在本项目中标价范围内的设计变更审批权。</w:t>
      </w:r>
    </w:p>
    <w:p>
      <w:pPr>
        <w:tabs>
          <w:tab w:val="left" w:pos="1647"/>
        </w:tabs>
        <w:autoSpaceDE w:val="0"/>
        <w:autoSpaceDN w:val="0"/>
        <w:adjustRightInd w:val="0"/>
        <w:spacing w:line="560" w:lineRule="exact"/>
        <w:ind w:left="-1" w:firstLine="600"/>
        <w:rPr>
          <w:rFonts w:ascii="仿宋_GB2312" w:hAnsi="宋体" w:eastAsia="仿宋_GB2312" w:cs="仿宋_GB2312"/>
          <w:sz w:val="29"/>
          <w:szCs w:val="29"/>
        </w:rPr>
      </w:pPr>
      <w:r>
        <w:rPr>
          <w:rFonts w:hint="eastAsia" w:ascii="楷体_GB2312" w:hAnsi="黑体" w:eastAsia="楷体_GB2312" w:cs="仿宋_GB2312"/>
          <w:bCs/>
          <w:sz w:val="29"/>
          <w:szCs w:val="29"/>
        </w:rPr>
        <w:t>第二十条</w:t>
      </w:r>
      <w:r>
        <w:rPr>
          <w:rFonts w:hint="eastAsia" w:ascii="仿宋_GB2312" w:hAnsi="宋体" w:eastAsia="仿宋_GB2312" w:cs="仿宋_GB2312"/>
          <w:sz w:val="29"/>
          <w:szCs w:val="29"/>
        </w:rPr>
        <w:t xml:space="preserve">  业主单位有权对监理单位监理规划、项目成员和总体监理方案等内容进行审查,并做出相关意见,对监理实施情况进行检查、监督。对违反《监理合同专用条款》第十条规定，可延迟监理酬金的支付时间或提出赔偿。</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第二十一条</w:t>
      </w:r>
      <w:r>
        <w:rPr>
          <w:rFonts w:hint="eastAsia" w:ascii="仿宋_GB2312" w:hAnsi="宋体" w:eastAsia="仿宋_GB2312" w:cs="仿宋_GB2312"/>
          <w:b/>
          <w:bCs/>
          <w:sz w:val="29"/>
          <w:szCs w:val="29"/>
        </w:rPr>
        <w:t xml:space="preserve">  </w:t>
      </w:r>
      <w:r>
        <w:rPr>
          <w:rFonts w:hint="eastAsia" w:ascii="仿宋_GB2312" w:hAnsi="宋体" w:eastAsia="仿宋_GB2312" w:cs="仿宋_GB2312"/>
          <w:sz w:val="29"/>
          <w:szCs w:val="29"/>
        </w:rPr>
        <w:t>业主单位有权要求监理机构提交监理工作月度报告及监理业务范围内的专项报告。</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第二十二条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监理单位调换总监理工程师应事先征得业主单位同意。业主单位有权要求监理单位更换不称职的监理人员，直到终止合同。</w:t>
      </w:r>
      <w:r>
        <w:rPr>
          <w:rFonts w:hint="eastAsia" w:ascii="仿宋_GB2312" w:hAnsi="宋体" w:eastAsia="仿宋_GB2312"/>
          <w:sz w:val="29"/>
          <w:szCs w:val="29"/>
        </w:rPr>
        <w:t xml:space="preserve"> </w:t>
      </w:r>
    </w:p>
    <w:p>
      <w:pPr>
        <w:tabs>
          <w:tab w:val="left" w:pos="1647"/>
        </w:tabs>
        <w:autoSpaceDE w:val="0"/>
        <w:autoSpaceDN w:val="0"/>
        <w:adjustRightInd w:val="0"/>
        <w:spacing w:line="560" w:lineRule="exact"/>
        <w:ind w:firstLine="601"/>
        <w:rPr>
          <w:rFonts w:ascii="黑体" w:hAnsi="黑体" w:eastAsia="黑体" w:cs="仿宋_GB2312"/>
          <w:bCs/>
          <w:sz w:val="29"/>
          <w:szCs w:val="29"/>
        </w:rPr>
      </w:pPr>
      <w:r>
        <w:rPr>
          <w:rFonts w:hint="eastAsia" w:ascii="黑体" w:hAnsi="黑体" w:eastAsia="黑体" w:cs="仿宋_GB2312"/>
          <w:bCs/>
          <w:sz w:val="29"/>
          <w:szCs w:val="29"/>
        </w:rPr>
        <w:t>六、监理单位责任</w:t>
      </w:r>
    </w:p>
    <w:p>
      <w:pPr>
        <w:tabs>
          <w:tab w:val="left" w:pos="1647"/>
        </w:tabs>
        <w:autoSpaceDE w:val="0"/>
        <w:autoSpaceDN w:val="0"/>
        <w:adjustRightInd w:val="0"/>
        <w:spacing w:line="560" w:lineRule="exact"/>
        <w:ind w:left="-1" w:firstLine="600"/>
        <w:rPr>
          <w:rFonts w:ascii="仿宋_GB2312" w:hAnsi="宋体" w:eastAsia="仿宋_GB2312" w:cs="仿宋_GB2312"/>
          <w:sz w:val="29"/>
          <w:szCs w:val="29"/>
        </w:rPr>
      </w:pPr>
      <w:r>
        <w:rPr>
          <w:rFonts w:hint="eastAsia" w:ascii="楷体_GB2312" w:hAnsi="黑体" w:eastAsia="楷体_GB2312" w:cs="仿宋_GB2312"/>
          <w:bCs/>
          <w:sz w:val="29"/>
          <w:szCs w:val="29"/>
        </w:rPr>
        <w:t>第二十三条</w:t>
      </w:r>
      <w:r>
        <w:rPr>
          <w:rFonts w:hint="eastAsia" w:ascii="仿宋_GB2312" w:hAnsi="宋体" w:eastAsia="仿宋_GB2312" w:cs="仿宋_GB2312"/>
          <w:b/>
          <w:bCs/>
          <w:kern w:val="0"/>
          <w:sz w:val="29"/>
          <w:szCs w:val="29"/>
        </w:rPr>
        <w:t xml:space="preserve">  </w:t>
      </w:r>
      <w:r>
        <w:rPr>
          <w:rFonts w:hint="eastAsia" w:ascii="仿宋_GB2312" w:hAnsi="宋体" w:eastAsia="仿宋_GB2312" w:cs="仿宋_GB2312"/>
          <w:sz w:val="29"/>
          <w:szCs w:val="29"/>
        </w:rPr>
        <w:t>监理单位应当履行本合同约定的义务，如有违反应当承担相应违约责任。触及法律的，还应承担相应的法律责任。</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第二十四条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监理单位在责任期内，应当履行本合同中约定的义务。如果由于监理工程师对设计、施工、材料和设备等方面的直接指示或违反本合同或违法行为、或侵犯了第三方的权益，而造成业主单位经济损失，监理单位应当向业主单位进行赔偿。累计赔偿总额不应超过监理酬金总数(除去税金)。触及法律的，还应承担相应的法律责任。</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第二十五条</w:t>
      </w:r>
      <w:r>
        <w:rPr>
          <w:rFonts w:hint="eastAsia" w:ascii="仿宋_GB2312" w:hAnsi="宋体" w:eastAsia="仿宋_GB2312" w:cs="仿宋_GB2312"/>
          <w:b/>
          <w:bCs/>
          <w:sz w:val="29"/>
          <w:szCs w:val="29"/>
        </w:rPr>
        <w:t xml:space="preserve">  </w:t>
      </w:r>
      <w:r>
        <w:rPr>
          <w:rFonts w:hint="eastAsia" w:ascii="仿宋_GB2312" w:hAnsi="宋体" w:eastAsia="仿宋_GB2312" w:cs="仿宋_GB2312"/>
          <w:sz w:val="29"/>
          <w:szCs w:val="29"/>
        </w:rPr>
        <w:t>监理单位在履行相应的监理责任后对业主单位或第三方违反合同规定的质量要求和完工(交图、交货)时限，不承担责任。</w:t>
      </w:r>
    </w:p>
    <w:p>
      <w:pPr>
        <w:autoSpaceDE w:val="0"/>
        <w:autoSpaceDN w:val="0"/>
        <w:adjustRightInd w:val="0"/>
        <w:spacing w:line="560" w:lineRule="exact"/>
        <w:ind w:left="-1" w:firstLine="600"/>
        <w:rPr>
          <w:rFonts w:ascii="仿宋_GB2312" w:hAnsi="宋体" w:eastAsia="仿宋_GB2312"/>
          <w:sz w:val="29"/>
          <w:szCs w:val="29"/>
        </w:rPr>
      </w:pPr>
      <w:r>
        <w:rPr>
          <w:rFonts w:hint="eastAsia" w:ascii="仿宋_GB2312" w:hAnsi="宋体" w:eastAsia="仿宋_GB2312" w:cs="仿宋_GB2312"/>
          <w:sz w:val="29"/>
          <w:szCs w:val="29"/>
        </w:rPr>
        <w:t>因不可抗力导致监理合同不能全部或部分履行，监理单位不承担责任。</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第二十六条</w:t>
      </w:r>
      <w:r>
        <w:rPr>
          <w:rFonts w:hint="eastAsia" w:ascii="仿宋_GB2312" w:hAnsi="宋体" w:eastAsia="仿宋_GB2312" w:cs="仿宋_GB2312"/>
          <w:b/>
          <w:bCs/>
          <w:sz w:val="29"/>
          <w:szCs w:val="29"/>
        </w:rPr>
        <w:t xml:space="preserve">  </w:t>
      </w:r>
      <w:r>
        <w:rPr>
          <w:rFonts w:hint="eastAsia" w:ascii="仿宋_GB2312" w:hAnsi="宋体" w:eastAsia="仿宋_GB2312" w:cs="仿宋_GB2312"/>
          <w:sz w:val="29"/>
          <w:szCs w:val="29"/>
        </w:rPr>
        <w:t>在监理过程中，如果因工程项目建设进度的推迟或延误而使监理工作超过本合同约定的期间，双方协商约定相应延长的合同期。</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仿宋_GB2312" w:hAnsi="宋体" w:eastAsia="仿宋_GB2312" w:cs="仿宋_GB2312"/>
          <w:sz w:val="29"/>
          <w:szCs w:val="29"/>
        </w:rPr>
        <w:t>监理单位向业主单位提出索赔要求不成立时，监理单位应当补偿由于该索赔所导致业主单位的直接费用支出。</w:t>
      </w:r>
    </w:p>
    <w:p>
      <w:pPr>
        <w:tabs>
          <w:tab w:val="left" w:pos="1647"/>
        </w:tabs>
        <w:autoSpaceDE w:val="0"/>
        <w:autoSpaceDN w:val="0"/>
        <w:adjustRightInd w:val="0"/>
        <w:spacing w:line="560" w:lineRule="exact"/>
        <w:ind w:firstLine="601"/>
        <w:rPr>
          <w:rFonts w:ascii="黑体" w:hAnsi="黑体" w:eastAsia="黑体" w:cs="仿宋_GB2312"/>
          <w:bCs/>
          <w:sz w:val="29"/>
          <w:szCs w:val="29"/>
        </w:rPr>
      </w:pPr>
      <w:r>
        <w:rPr>
          <w:rFonts w:hint="eastAsia" w:ascii="黑体" w:hAnsi="黑体" w:eastAsia="黑体" w:cs="仿宋_GB2312"/>
          <w:bCs/>
          <w:sz w:val="29"/>
          <w:szCs w:val="29"/>
        </w:rPr>
        <w:t>七、业主单位责任</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第二十七条</w:t>
      </w:r>
      <w:r>
        <w:rPr>
          <w:rFonts w:hint="eastAsia" w:ascii="仿宋_GB2312" w:hAnsi="宋体" w:eastAsia="仿宋_GB2312" w:cs="仿宋_GB2312"/>
          <w:b/>
          <w:bCs/>
          <w:kern w:val="0"/>
          <w:sz w:val="29"/>
          <w:szCs w:val="29"/>
        </w:rPr>
        <w:t xml:space="preserve">  </w:t>
      </w:r>
      <w:r>
        <w:rPr>
          <w:rFonts w:hint="eastAsia" w:ascii="仿宋_GB2312" w:hAnsi="宋体" w:eastAsia="仿宋_GB2312" w:cs="仿宋_GB2312"/>
          <w:sz w:val="29"/>
          <w:szCs w:val="29"/>
        </w:rPr>
        <w:t>业主单位应当履行本合同约定的义务，如有违反应当承担相应违约责任。触及法律的，还应承担相应的法律责任。</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第二十八条</w:t>
      </w:r>
      <w:r>
        <w:rPr>
          <w:rFonts w:hint="eastAsia" w:ascii="仿宋_GB2312" w:hAnsi="宋体" w:eastAsia="仿宋_GB2312" w:cs="仿宋_GB2312"/>
          <w:b/>
          <w:bCs/>
          <w:sz w:val="29"/>
          <w:szCs w:val="29"/>
        </w:rPr>
        <w:t xml:space="preserve">  </w:t>
      </w:r>
      <w:r>
        <w:rPr>
          <w:rFonts w:hint="eastAsia" w:ascii="仿宋_GB2312" w:hAnsi="宋体" w:eastAsia="仿宋_GB2312" w:cs="仿宋_GB2312"/>
          <w:sz w:val="29"/>
          <w:szCs w:val="29"/>
        </w:rPr>
        <w:t>业主单位如果向监理单位提出的赔偿要求不能成立，则应当补偿由索赔所引起的监理单位的直接费用支出。</w:t>
      </w:r>
    </w:p>
    <w:p>
      <w:pPr>
        <w:tabs>
          <w:tab w:val="left" w:pos="1647"/>
        </w:tabs>
        <w:autoSpaceDE w:val="0"/>
        <w:autoSpaceDN w:val="0"/>
        <w:adjustRightInd w:val="0"/>
        <w:spacing w:line="560" w:lineRule="exact"/>
        <w:ind w:firstLine="601"/>
        <w:rPr>
          <w:rFonts w:ascii="黑体" w:hAnsi="黑体" w:eastAsia="黑体" w:cs="仿宋_GB2312"/>
          <w:bCs/>
          <w:sz w:val="29"/>
          <w:szCs w:val="29"/>
        </w:rPr>
      </w:pPr>
      <w:r>
        <w:rPr>
          <w:rFonts w:hint="eastAsia" w:ascii="黑体" w:hAnsi="黑体" w:eastAsia="黑体" w:cs="仿宋_GB2312"/>
          <w:bCs/>
          <w:sz w:val="29"/>
          <w:szCs w:val="29"/>
        </w:rPr>
        <w:t>八、合同生效、变更与终止</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第二十九条</w:t>
      </w:r>
      <w:r>
        <w:rPr>
          <w:rFonts w:hint="eastAsia" w:ascii="仿宋_GB2312" w:hAnsi="宋体" w:eastAsia="仿宋_GB2312" w:cs="仿宋_GB2312"/>
          <w:b/>
          <w:bCs/>
          <w:kern w:val="0"/>
          <w:sz w:val="29"/>
          <w:szCs w:val="29"/>
        </w:rPr>
        <w:t xml:space="preserve">  </w:t>
      </w:r>
      <w:r>
        <w:rPr>
          <w:rFonts w:hint="eastAsia" w:ascii="仿宋_GB2312" w:hAnsi="宋体" w:eastAsia="仿宋_GB2312" w:cs="仿宋_GB2312"/>
          <w:sz w:val="29"/>
          <w:szCs w:val="29"/>
        </w:rPr>
        <w:t>本合同自签字之日起生效。</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 xml:space="preserve">第三十条 </w:t>
      </w:r>
      <w:r>
        <w:rPr>
          <w:rFonts w:hint="eastAsia" w:ascii="仿宋_GB2312" w:hAnsi="宋体" w:eastAsia="仿宋_GB2312" w:cs="仿宋_GB2312"/>
          <w:b/>
          <w:bCs/>
          <w:sz w:val="29"/>
          <w:szCs w:val="29"/>
        </w:rPr>
        <w:t xml:space="preserve"> </w:t>
      </w:r>
      <w:r>
        <w:rPr>
          <w:rFonts w:hint="eastAsia" w:ascii="仿宋_GB2312" w:hAnsi="宋体" w:eastAsia="仿宋_GB2312" w:cs="仿宋_GB2312"/>
          <w:sz w:val="29"/>
          <w:szCs w:val="29"/>
        </w:rPr>
        <w:t>监理项目全部通过业主单位组织的专项验收、承包商完成向业主单位的系统正式交付、监理单位收到监理费尾款后，本合同即告终止。</w:t>
      </w:r>
    </w:p>
    <w:p>
      <w:pPr>
        <w:tabs>
          <w:tab w:val="left" w:pos="1647"/>
        </w:tabs>
        <w:autoSpaceDE w:val="0"/>
        <w:autoSpaceDN w:val="0"/>
        <w:adjustRightInd w:val="0"/>
        <w:spacing w:line="560" w:lineRule="exact"/>
        <w:ind w:left="-1" w:firstLine="600"/>
        <w:rPr>
          <w:rFonts w:ascii="仿宋_GB2312" w:hAnsi="宋体" w:eastAsia="仿宋_GB2312"/>
          <w:sz w:val="29"/>
          <w:szCs w:val="29"/>
        </w:rPr>
      </w:pPr>
      <w:r>
        <w:rPr>
          <w:rFonts w:hint="eastAsia" w:ascii="楷体_GB2312" w:hAnsi="黑体" w:eastAsia="楷体_GB2312" w:cs="仿宋_GB2312"/>
          <w:bCs/>
          <w:sz w:val="29"/>
          <w:szCs w:val="29"/>
        </w:rPr>
        <w:t>第三十一条</w:t>
      </w:r>
      <w:r>
        <w:rPr>
          <w:rFonts w:hint="eastAsia" w:ascii="仿宋_GB2312" w:hAnsi="宋体" w:eastAsia="仿宋_GB2312" w:cs="仿宋_GB2312"/>
          <w:b/>
          <w:bCs/>
          <w:sz w:val="29"/>
          <w:szCs w:val="29"/>
        </w:rPr>
        <w:t xml:space="preserve">  </w:t>
      </w:r>
      <w:r>
        <w:rPr>
          <w:rFonts w:hint="eastAsia" w:ascii="仿宋_GB2312" w:hAnsi="宋体" w:eastAsia="仿宋_GB2312" w:cs="仿宋_GB2312"/>
          <w:sz w:val="29"/>
          <w:szCs w:val="29"/>
        </w:rPr>
        <w:t>合同的协议终止并不影响各方应有的权利和应承担的责任。</w:t>
      </w:r>
    </w:p>
    <w:p>
      <w:pPr>
        <w:tabs>
          <w:tab w:val="left" w:pos="1647"/>
        </w:tabs>
        <w:autoSpaceDE w:val="0"/>
        <w:autoSpaceDN w:val="0"/>
        <w:adjustRightInd w:val="0"/>
        <w:spacing w:line="560" w:lineRule="exact"/>
        <w:ind w:firstLine="601"/>
        <w:rPr>
          <w:rFonts w:ascii="黑体" w:hAnsi="黑体" w:eastAsia="黑体" w:cs="仿宋_GB2312"/>
          <w:bCs/>
          <w:sz w:val="29"/>
          <w:szCs w:val="29"/>
        </w:rPr>
      </w:pPr>
      <w:r>
        <w:rPr>
          <w:rFonts w:hint="eastAsia" w:ascii="黑体" w:hAnsi="黑体" w:eastAsia="黑体" w:cs="仿宋_GB2312"/>
          <w:bCs/>
          <w:sz w:val="29"/>
          <w:szCs w:val="29"/>
        </w:rPr>
        <w:t>九、监理酬金</w:t>
      </w:r>
    </w:p>
    <w:p>
      <w:pPr>
        <w:tabs>
          <w:tab w:val="left" w:pos="1647"/>
        </w:tabs>
        <w:autoSpaceDE w:val="0"/>
        <w:autoSpaceDN w:val="0"/>
        <w:adjustRightInd w:val="0"/>
        <w:spacing w:line="560" w:lineRule="exact"/>
        <w:ind w:left="-1" w:firstLine="567"/>
        <w:rPr>
          <w:rFonts w:ascii="仿宋_GB2312" w:hAnsi="宋体" w:eastAsia="仿宋_GB2312"/>
          <w:sz w:val="29"/>
          <w:szCs w:val="29"/>
        </w:rPr>
      </w:pPr>
      <w:r>
        <w:rPr>
          <w:rFonts w:hint="eastAsia" w:ascii="楷体_GB2312" w:hAnsi="黑体" w:eastAsia="楷体_GB2312" w:cs="仿宋_GB2312"/>
          <w:bCs/>
          <w:sz w:val="29"/>
          <w:szCs w:val="29"/>
        </w:rPr>
        <w:t>第三十二条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正常的监理业务、附加工作和额外工作的酬金，按照监理合同约定的方法计取，并按约定的时间和数额支付。</w:t>
      </w:r>
    </w:p>
    <w:p>
      <w:pPr>
        <w:tabs>
          <w:tab w:val="left" w:pos="1647"/>
        </w:tabs>
        <w:autoSpaceDE w:val="0"/>
        <w:autoSpaceDN w:val="0"/>
        <w:adjustRightInd w:val="0"/>
        <w:spacing w:line="560" w:lineRule="exact"/>
        <w:ind w:left="-1" w:firstLine="567"/>
        <w:rPr>
          <w:rFonts w:ascii="仿宋_GB2312" w:hAnsi="宋体" w:eastAsia="仿宋_GB2312"/>
          <w:sz w:val="29"/>
          <w:szCs w:val="29"/>
        </w:rPr>
      </w:pPr>
      <w:r>
        <w:rPr>
          <w:rFonts w:hint="eastAsia" w:ascii="楷体_GB2312" w:hAnsi="黑体" w:eastAsia="楷体_GB2312" w:cs="仿宋_GB2312"/>
          <w:bCs/>
          <w:sz w:val="29"/>
          <w:szCs w:val="29"/>
        </w:rPr>
        <w:t>第三十三条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如果付款单位在规定的支付期限内未付监理酬金，自规定支付之时起，应当向监理单位补偿应支付的酬金利息。利息额按规定支付期限最后一日银行同期贷款利息率乘以拖欠酬金时间计算。</w:t>
      </w:r>
    </w:p>
    <w:p>
      <w:pPr>
        <w:tabs>
          <w:tab w:val="left" w:pos="1647"/>
        </w:tabs>
        <w:autoSpaceDE w:val="0"/>
        <w:autoSpaceDN w:val="0"/>
        <w:adjustRightInd w:val="0"/>
        <w:spacing w:line="560" w:lineRule="exact"/>
        <w:ind w:left="-1" w:firstLine="567"/>
        <w:rPr>
          <w:rFonts w:ascii="仿宋_GB2312" w:hAnsi="宋体" w:eastAsia="仿宋_GB2312"/>
          <w:sz w:val="29"/>
          <w:szCs w:val="29"/>
        </w:rPr>
      </w:pPr>
      <w:r>
        <w:rPr>
          <w:rFonts w:hint="eastAsia" w:ascii="楷体_GB2312" w:hAnsi="黑体" w:eastAsia="楷体_GB2312" w:cs="仿宋_GB2312"/>
          <w:bCs/>
          <w:sz w:val="29"/>
          <w:szCs w:val="29"/>
        </w:rPr>
        <w:t>第三十四条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如果业主对监理单位提交的支付通知书中酬金或部分酬金项目提出异议，应当在收到支付通知书</w:t>
      </w:r>
      <w:r>
        <w:rPr>
          <w:rFonts w:hint="eastAsia" w:ascii="仿宋_GB2312" w:hAnsi="宋体" w:eastAsia="仿宋_GB2312"/>
          <w:sz w:val="29"/>
          <w:szCs w:val="29"/>
        </w:rPr>
        <w:t>7</w:t>
      </w:r>
      <w:r>
        <w:rPr>
          <w:rFonts w:hint="eastAsia" w:ascii="仿宋_GB2312" w:hAnsi="宋体" w:eastAsia="仿宋_GB2312" w:cs="仿宋_GB2312"/>
          <w:sz w:val="29"/>
          <w:szCs w:val="29"/>
        </w:rPr>
        <w:t>日内向监理单位发出异议的通知，但业主不得拖延其他无异议酬金项目的支付。</w:t>
      </w:r>
    </w:p>
    <w:p>
      <w:pPr>
        <w:tabs>
          <w:tab w:val="left" w:pos="1647"/>
        </w:tabs>
        <w:autoSpaceDE w:val="0"/>
        <w:autoSpaceDN w:val="0"/>
        <w:adjustRightInd w:val="0"/>
        <w:spacing w:line="560" w:lineRule="exact"/>
        <w:ind w:firstLine="601"/>
        <w:rPr>
          <w:rFonts w:ascii="黑体" w:hAnsi="黑体" w:eastAsia="黑体" w:cs="仿宋_GB2312"/>
          <w:bCs/>
          <w:sz w:val="29"/>
          <w:szCs w:val="29"/>
        </w:rPr>
      </w:pPr>
      <w:r>
        <w:rPr>
          <w:rFonts w:hint="eastAsia" w:ascii="黑体" w:hAnsi="黑体" w:eastAsia="黑体" w:cs="仿宋_GB2312"/>
          <w:bCs/>
          <w:sz w:val="29"/>
          <w:szCs w:val="29"/>
        </w:rPr>
        <w:t>十、争议的解决</w:t>
      </w:r>
    </w:p>
    <w:p>
      <w:pPr>
        <w:tabs>
          <w:tab w:val="left" w:pos="1647"/>
        </w:tabs>
        <w:autoSpaceDE w:val="0"/>
        <w:autoSpaceDN w:val="0"/>
        <w:adjustRightInd w:val="0"/>
        <w:spacing w:line="560" w:lineRule="exact"/>
        <w:ind w:left="-1" w:firstLine="580" w:firstLineChars="200"/>
        <w:rPr>
          <w:rFonts w:ascii="仿宋_GB2312" w:hAnsi="宋体" w:eastAsia="仿宋_GB2312" w:cs="仿宋_GB2312"/>
          <w:sz w:val="29"/>
          <w:szCs w:val="29"/>
        </w:rPr>
      </w:pPr>
      <w:r>
        <w:rPr>
          <w:rFonts w:hint="eastAsia" w:ascii="楷体_GB2312" w:hAnsi="黑体" w:eastAsia="楷体_GB2312" w:cs="仿宋_GB2312"/>
          <w:bCs/>
          <w:sz w:val="29"/>
          <w:szCs w:val="29"/>
        </w:rPr>
        <w:t>第三十五条</w:t>
      </w:r>
      <w:r>
        <w:rPr>
          <w:rFonts w:hint="eastAsia" w:ascii="仿宋_GB2312" w:hAnsi="宋体" w:eastAsia="仿宋_GB2312" w:cs="仿宋_GB2312"/>
          <w:bCs/>
          <w:kern w:val="0"/>
          <w:sz w:val="29"/>
          <w:szCs w:val="29"/>
        </w:rPr>
        <w:t xml:space="preserve">  </w:t>
      </w:r>
      <w:r>
        <w:rPr>
          <w:rFonts w:hint="eastAsia" w:ascii="仿宋_GB2312" w:hAnsi="宋体" w:eastAsia="仿宋_GB2312" w:cs="仿宋_GB2312"/>
          <w:sz w:val="29"/>
          <w:szCs w:val="29"/>
        </w:rPr>
        <w:t>因履行本合同而引起的争议，业主单位与监理单位之间应当协商解决，如未能达成一致，可提交主管部门协调，仍不能达成一致时，根据双方约定提交宜昌仲裁委员会仲裁。</w:t>
      </w:r>
    </w:p>
    <w:p>
      <w:pPr>
        <w:widowControl/>
        <w:jc w:val="left"/>
        <w:rPr>
          <w:rFonts w:ascii="仿宋_GB2312" w:hAnsi="宋体" w:eastAsia="仿宋_GB2312" w:cs="仿宋_GB2312"/>
          <w:sz w:val="29"/>
          <w:szCs w:val="29"/>
        </w:rPr>
      </w:pPr>
      <w:r>
        <w:rPr>
          <w:rFonts w:hint="eastAsia" w:ascii="仿宋_GB2312" w:hAnsi="宋体" w:eastAsia="仿宋_GB2312" w:cs="仿宋_GB2312"/>
          <w:sz w:val="29"/>
          <w:szCs w:val="29"/>
        </w:rPr>
        <w:t xml:space="preserve"> </w:t>
      </w:r>
    </w:p>
    <w:p>
      <w:pPr>
        <w:widowControl/>
        <w:jc w:val="left"/>
        <w:rPr>
          <w:rFonts w:ascii="仿宋_GB2312" w:hAnsi="宋体" w:eastAsia="仿宋_GB2312" w:cs="仿宋_GB2312"/>
          <w:sz w:val="29"/>
          <w:szCs w:val="29"/>
        </w:rPr>
      </w:pPr>
    </w:p>
    <w:p>
      <w:pPr>
        <w:autoSpaceDE w:val="0"/>
        <w:autoSpaceDN w:val="0"/>
        <w:adjustRightInd w:val="0"/>
        <w:spacing w:line="560" w:lineRule="exact"/>
        <w:jc w:val="left"/>
        <w:rPr>
          <w:rFonts w:ascii="黑体" w:hAnsi="黑体" w:eastAsia="黑体" w:cs="仿宋_GB2312"/>
          <w:bCs/>
          <w:sz w:val="29"/>
          <w:szCs w:val="29"/>
        </w:rPr>
      </w:pPr>
      <w:r>
        <w:rPr>
          <w:rFonts w:hint="eastAsia" w:ascii="黑体" w:hAnsi="黑体" w:eastAsia="黑体" w:cs="仿宋_GB2312"/>
          <w:bCs/>
          <w:sz w:val="29"/>
          <w:szCs w:val="29"/>
        </w:rPr>
        <w:t>甲方：</w:t>
      </w:r>
      <w:r>
        <w:rPr>
          <w:rFonts w:hint="eastAsia" w:ascii="宋体" w:hAnsi="宋体" w:cs="仿宋_GB2312"/>
          <w:bCs/>
          <w:sz w:val="29"/>
          <w:szCs w:val="29"/>
        </w:rPr>
        <w:t xml:space="preserve">(签章) </w:t>
      </w:r>
      <w:r>
        <w:rPr>
          <w:rFonts w:hint="eastAsia" w:ascii="黑体" w:hAnsi="黑体" w:eastAsia="黑体" w:cs="仿宋_GB2312"/>
          <w:bCs/>
          <w:sz w:val="29"/>
          <w:szCs w:val="29"/>
        </w:rPr>
        <w:t xml:space="preserve">                    乙方：</w:t>
      </w:r>
      <w:r>
        <w:rPr>
          <w:rFonts w:hint="eastAsia" w:ascii="宋体" w:hAnsi="宋体" w:cs="仿宋_GB2312"/>
          <w:bCs/>
          <w:sz w:val="29"/>
          <w:szCs w:val="29"/>
        </w:rPr>
        <w:t>(签章)</w:t>
      </w:r>
    </w:p>
    <w:p>
      <w:pPr>
        <w:autoSpaceDE w:val="0"/>
        <w:autoSpaceDN w:val="0"/>
        <w:adjustRightInd w:val="0"/>
        <w:spacing w:line="560" w:lineRule="exact"/>
        <w:ind w:left="-1" w:firstLine="560"/>
        <w:rPr>
          <w:rFonts w:ascii="黑体" w:hAnsi="黑体" w:eastAsia="黑体" w:cs="仿宋_GB2312"/>
          <w:bCs/>
          <w:sz w:val="29"/>
          <w:szCs w:val="29"/>
        </w:rPr>
      </w:pPr>
    </w:p>
    <w:p>
      <w:pPr>
        <w:autoSpaceDE w:val="0"/>
        <w:autoSpaceDN w:val="0"/>
        <w:adjustRightInd w:val="0"/>
        <w:spacing w:line="560" w:lineRule="exact"/>
        <w:jc w:val="left"/>
        <w:rPr>
          <w:rFonts w:ascii="黑体" w:hAnsi="黑体" w:eastAsia="黑体" w:cs="仿宋_GB2312"/>
          <w:bCs/>
          <w:sz w:val="29"/>
          <w:szCs w:val="29"/>
        </w:rPr>
      </w:pPr>
      <w:r>
        <w:rPr>
          <w:rFonts w:hint="eastAsia" w:ascii="黑体" w:hAnsi="黑体" w:eastAsia="黑体" w:cs="仿宋_GB2312"/>
          <w:bCs/>
          <w:sz w:val="29"/>
          <w:szCs w:val="29"/>
        </w:rPr>
        <w:t xml:space="preserve">2020年   月    日                2020年   月   日    </w:t>
      </w:r>
    </w:p>
    <w:p>
      <w:pPr>
        <w:autoSpaceDE w:val="0"/>
        <w:autoSpaceDN w:val="0"/>
        <w:adjustRightInd w:val="0"/>
        <w:spacing w:line="560" w:lineRule="exact"/>
        <w:jc w:val="center"/>
        <w:rPr>
          <w:rFonts w:ascii="方正小标宋_GBK" w:hAnsi="宋体" w:eastAsia="方正小标宋_GBK" w:cs="黑体"/>
          <w:sz w:val="42"/>
          <w:szCs w:val="42"/>
        </w:rPr>
      </w:pPr>
    </w:p>
    <w:p>
      <w:pPr>
        <w:widowControl/>
        <w:jc w:val="left"/>
        <w:rPr>
          <w:rFonts w:ascii="仿宋_GB2312" w:hAnsi="宋体" w:eastAsia="仿宋_GB2312"/>
          <w:sz w:val="29"/>
          <w:szCs w:val="29"/>
        </w:rPr>
      </w:pPr>
    </w:p>
    <w:p>
      <w:pPr>
        <w:pStyle w:val="2"/>
      </w:pPr>
    </w:p>
    <w:p>
      <w:pPr>
        <w:pStyle w:val="5"/>
        <w:numPr>
          <w:ilvl w:val="0"/>
          <w:numId w:val="3"/>
        </w:numPr>
        <w:spacing w:line="240" w:lineRule="auto"/>
        <w:rPr>
          <w:rFonts w:ascii="宋体" w:hAnsi="宋体"/>
          <w:b w:val="0"/>
          <w:sz w:val="32"/>
          <w:szCs w:val="32"/>
        </w:rPr>
      </w:pPr>
      <w:r>
        <w:rPr>
          <w:rFonts w:ascii="宋体" w:hAnsi="宋体"/>
          <w:b w:val="0"/>
          <w:sz w:val="32"/>
          <w:szCs w:val="32"/>
        </w:rPr>
        <w:br w:type="page"/>
      </w:r>
      <w:bookmarkStart w:id="45" w:name="_Toc40954369"/>
      <w:r>
        <w:rPr>
          <w:rFonts w:hint="eastAsia" w:ascii="宋体" w:hAnsi="宋体" w:eastAsia="宋体"/>
          <w:b w:val="0"/>
          <w:sz w:val="32"/>
          <w:szCs w:val="32"/>
        </w:rPr>
        <w:t>竞标文件格式</w:t>
      </w:r>
      <w:bookmarkEnd w:id="45"/>
    </w:p>
    <w:p>
      <w:pPr>
        <w:autoSpaceDE w:val="0"/>
        <w:autoSpaceDN w:val="0"/>
        <w:adjustRightInd w:val="0"/>
        <w:rPr>
          <w:rFonts w:ascii="宋体" w:hAnsi="宋体"/>
        </w:rPr>
      </w:pPr>
      <w:r>
        <w:rPr>
          <w:rFonts w:hint="eastAsia" w:ascii="宋体" w:hAnsi="宋体"/>
        </w:rPr>
        <w:t>封面：</w:t>
      </w:r>
    </w:p>
    <w:p>
      <w:pPr>
        <w:autoSpaceDE w:val="0"/>
        <w:autoSpaceDN w:val="0"/>
        <w:adjustRightInd w:val="0"/>
        <w:rPr>
          <w:rFonts w:ascii="宋体" w:hAnsi="宋体"/>
        </w:rPr>
      </w:pPr>
    </w:p>
    <w:p>
      <w:pPr>
        <w:autoSpaceDE w:val="0"/>
        <w:autoSpaceDN w:val="0"/>
        <w:adjustRightInd w:val="0"/>
        <w:rPr>
          <w:rFonts w:ascii="宋体" w:hAnsi="宋体"/>
        </w:rPr>
      </w:pPr>
    </w:p>
    <w:p>
      <w:pPr>
        <w:autoSpaceDE w:val="0"/>
        <w:autoSpaceDN w:val="0"/>
        <w:adjustRightInd w:val="0"/>
        <w:jc w:val="center"/>
        <w:rPr>
          <w:rFonts w:ascii="宋体" w:hAnsi="宋体"/>
        </w:rPr>
      </w:pPr>
    </w:p>
    <w:p>
      <w:pPr>
        <w:autoSpaceDE w:val="0"/>
        <w:autoSpaceDN w:val="0"/>
        <w:adjustRightInd w:val="0"/>
        <w:jc w:val="center"/>
        <w:rPr>
          <w:rFonts w:ascii="宋体" w:hAnsi="宋体"/>
          <w:b/>
          <w:sz w:val="84"/>
          <w:szCs w:val="84"/>
        </w:rPr>
      </w:pPr>
      <w:r>
        <w:rPr>
          <w:rFonts w:hint="eastAsia" w:ascii="宋体" w:hAnsi="宋体"/>
          <w:b/>
          <w:sz w:val="84"/>
          <w:szCs w:val="84"/>
        </w:rPr>
        <w:t>报 价 文 件</w:t>
      </w: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jc w:val="center"/>
        <w:rPr>
          <w:rFonts w:ascii="宋体" w:hAnsi="宋体"/>
          <w:szCs w:val="21"/>
        </w:rPr>
      </w:pPr>
      <w:r>
        <w:rPr>
          <w:rFonts w:hint="eastAsia" w:ascii="宋体" w:hAnsi="宋体"/>
          <w:szCs w:val="21"/>
        </w:rPr>
        <w:t>（正本/副本）</w:t>
      </w: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ind w:firstLine="1190" w:firstLineChars="395"/>
        <w:rPr>
          <w:rFonts w:ascii="宋体" w:hAnsi="宋体"/>
          <w:b/>
          <w:bCs/>
          <w:sz w:val="30"/>
          <w:szCs w:val="30"/>
          <w:u w:val="single"/>
        </w:rPr>
      </w:pPr>
      <w:r>
        <w:rPr>
          <w:rFonts w:hint="eastAsia" w:ascii="宋体" w:hAnsi="宋体"/>
          <w:b/>
          <w:bCs/>
          <w:sz w:val="30"/>
          <w:szCs w:val="30"/>
        </w:rPr>
        <w:t>采购项目编号：</w:t>
      </w:r>
      <w:r>
        <w:rPr>
          <w:rFonts w:hint="eastAsia" w:ascii="宋体" w:hAnsi="宋体"/>
          <w:b/>
          <w:bCs/>
          <w:sz w:val="30"/>
          <w:szCs w:val="30"/>
          <w:u w:val="single"/>
        </w:rPr>
        <w:t xml:space="preserve">                            </w:t>
      </w:r>
    </w:p>
    <w:p>
      <w:pPr>
        <w:tabs>
          <w:tab w:val="left" w:pos="7230"/>
        </w:tabs>
        <w:spacing w:line="800" w:lineRule="exact"/>
        <w:ind w:firstLine="1190" w:firstLineChars="395"/>
        <w:rPr>
          <w:rFonts w:ascii="宋体" w:hAnsi="宋体"/>
          <w:b/>
          <w:bCs/>
          <w:sz w:val="30"/>
          <w:szCs w:val="30"/>
          <w:u w:val="single"/>
        </w:rPr>
      </w:pPr>
      <w:r>
        <w:rPr>
          <w:rFonts w:hint="eastAsia" w:ascii="宋体" w:hAnsi="宋体"/>
          <w:b/>
          <w:bCs/>
          <w:sz w:val="30"/>
          <w:szCs w:val="30"/>
        </w:rPr>
        <w:t>采购项目名称：</w:t>
      </w:r>
      <w:r>
        <w:rPr>
          <w:rFonts w:hint="eastAsia" w:ascii="宋体" w:hAnsi="宋体"/>
          <w:b/>
          <w:bCs/>
          <w:sz w:val="30"/>
          <w:szCs w:val="30"/>
          <w:u w:val="single"/>
        </w:rPr>
        <w:t xml:space="preserve">                            </w:t>
      </w:r>
    </w:p>
    <w:p>
      <w:pPr>
        <w:autoSpaceDE w:val="0"/>
        <w:autoSpaceDN w:val="0"/>
        <w:adjustRightInd w:val="0"/>
        <w:rPr>
          <w:rFonts w:ascii="宋体" w:hAnsi="宋体"/>
          <w:sz w:val="30"/>
          <w:szCs w:val="30"/>
        </w:rPr>
      </w:pPr>
    </w:p>
    <w:p>
      <w:pPr>
        <w:autoSpaceDE w:val="0"/>
        <w:autoSpaceDN w:val="0"/>
        <w:adjustRightInd w:val="0"/>
        <w:ind w:firstLine="1190" w:firstLineChars="395"/>
        <w:rPr>
          <w:rFonts w:ascii="宋体" w:hAnsi="宋体"/>
          <w:b/>
          <w:bCs/>
          <w:sz w:val="30"/>
          <w:szCs w:val="30"/>
        </w:rPr>
      </w:pPr>
      <w:r>
        <w:rPr>
          <w:rFonts w:hint="eastAsia" w:ascii="宋体" w:hAnsi="宋体"/>
          <w:b/>
          <w:bCs/>
          <w:sz w:val="30"/>
          <w:szCs w:val="30"/>
        </w:rPr>
        <w:t>竞标内容：</w:t>
      </w:r>
      <w:r>
        <w:rPr>
          <w:rFonts w:hint="eastAsia" w:ascii="宋体" w:hAnsi="宋体"/>
          <w:b/>
          <w:bCs/>
          <w:sz w:val="30"/>
          <w:szCs w:val="30"/>
          <w:u w:val="single"/>
        </w:rPr>
        <w:t xml:space="preserve">                                </w:t>
      </w: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spacing w:line="360" w:lineRule="auto"/>
        <w:ind w:firstLine="1680" w:firstLineChars="600"/>
        <w:rPr>
          <w:rFonts w:ascii="宋体" w:hAnsi="宋体"/>
          <w:b/>
          <w:bCs/>
          <w:sz w:val="32"/>
          <w:u w:val="single"/>
        </w:rPr>
      </w:pPr>
      <w:r>
        <w:rPr>
          <w:rFonts w:hint="eastAsia" w:ascii="宋体" w:hAnsi="宋体"/>
          <w:sz w:val="28"/>
          <w:szCs w:val="28"/>
        </w:rPr>
        <w:t>竞标人名称：</w:t>
      </w:r>
      <w:r>
        <w:rPr>
          <w:rFonts w:hint="eastAsia" w:ascii="宋体" w:hAnsi="宋体"/>
          <w:b/>
          <w:bCs/>
          <w:sz w:val="32"/>
          <w:u w:val="single"/>
        </w:rPr>
        <w:t xml:space="preserve">                       </w:t>
      </w:r>
    </w:p>
    <w:p>
      <w:pPr>
        <w:autoSpaceDE w:val="0"/>
        <w:autoSpaceDN w:val="0"/>
        <w:adjustRightInd w:val="0"/>
        <w:spacing w:line="360" w:lineRule="auto"/>
        <w:ind w:firstLine="1680" w:firstLineChars="600"/>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autoSpaceDE w:val="0"/>
        <w:autoSpaceDN w:val="0"/>
        <w:adjustRightInd w:val="0"/>
        <w:spacing w:line="360" w:lineRule="auto"/>
        <w:ind w:firstLine="1904" w:firstLineChars="595"/>
        <w:rPr>
          <w:rFonts w:ascii="宋体" w:hAnsi="宋体"/>
          <w:b/>
          <w:sz w:val="44"/>
          <w:szCs w:val="44"/>
        </w:rPr>
      </w:pPr>
      <w:r>
        <w:rPr>
          <w:rFonts w:ascii="宋体" w:hAnsi="宋体"/>
          <w:sz w:val="32"/>
          <w:szCs w:val="32"/>
        </w:rPr>
        <w:br w:type="page"/>
      </w:r>
      <w:r>
        <w:rPr>
          <w:rFonts w:hint="eastAsia" w:ascii="宋体" w:hAnsi="宋体"/>
          <w:sz w:val="32"/>
          <w:szCs w:val="32"/>
        </w:rPr>
        <w:t>竞标文件目录（略）</w:t>
      </w:r>
    </w:p>
    <w:p>
      <w:pPr>
        <w:autoSpaceDE w:val="0"/>
        <w:autoSpaceDN w:val="0"/>
        <w:adjustRightInd w:val="0"/>
        <w:rPr>
          <w:rFonts w:ascii="宋体" w:hAnsi="宋体"/>
          <w:bCs/>
          <w:szCs w:val="21"/>
        </w:rPr>
      </w:pPr>
    </w:p>
    <w:p>
      <w:pPr>
        <w:numPr>
          <w:ilvl w:val="3"/>
          <w:numId w:val="28"/>
        </w:numPr>
        <w:tabs>
          <w:tab w:val="left" w:pos="630"/>
          <w:tab w:val="clear" w:pos="3840"/>
        </w:tabs>
        <w:autoSpaceDE w:val="0"/>
        <w:autoSpaceDN w:val="0"/>
        <w:adjustRightInd w:val="0"/>
        <w:ind w:left="630" w:hanging="630"/>
        <w:rPr>
          <w:rFonts w:ascii="宋体" w:hAnsi="宋体"/>
          <w:bCs/>
          <w:sz w:val="24"/>
        </w:rPr>
      </w:pPr>
      <w:r>
        <w:rPr>
          <w:rFonts w:hint="eastAsia" w:ascii="宋体" w:hAnsi="宋体"/>
          <w:bCs/>
          <w:sz w:val="24"/>
        </w:rPr>
        <w:t>竞标函</w:t>
      </w:r>
    </w:p>
    <w:p>
      <w:pPr>
        <w:numPr>
          <w:ilvl w:val="1"/>
          <w:numId w:val="29"/>
        </w:numPr>
        <w:tabs>
          <w:tab w:val="left" w:pos="630"/>
          <w:tab w:val="clear" w:pos="360"/>
        </w:tabs>
        <w:autoSpaceDE w:val="0"/>
        <w:autoSpaceDN w:val="0"/>
        <w:adjustRightInd w:val="0"/>
        <w:ind w:left="630" w:hanging="630"/>
        <w:rPr>
          <w:rFonts w:ascii="宋体" w:hAnsi="宋体"/>
          <w:bCs/>
          <w:sz w:val="24"/>
        </w:rPr>
      </w:pPr>
      <w:r>
        <w:rPr>
          <w:rFonts w:hint="eastAsia" w:ascii="宋体" w:hAnsi="宋体"/>
          <w:bCs/>
          <w:sz w:val="24"/>
        </w:rPr>
        <w:t>竞标书</w:t>
      </w:r>
    </w:p>
    <w:p>
      <w:pPr>
        <w:numPr>
          <w:ilvl w:val="1"/>
          <w:numId w:val="29"/>
        </w:numPr>
        <w:tabs>
          <w:tab w:val="left" w:pos="630"/>
          <w:tab w:val="clear" w:pos="360"/>
        </w:tabs>
        <w:autoSpaceDE w:val="0"/>
        <w:autoSpaceDN w:val="0"/>
        <w:adjustRightInd w:val="0"/>
        <w:ind w:left="630" w:hanging="630"/>
        <w:rPr>
          <w:rFonts w:ascii="宋体" w:hAnsi="宋体"/>
          <w:bCs/>
          <w:sz w:val="24"/>
        </w:rPr>
      </w:pPr>
      <w:r>
        <w:rPr>
          <w:rFonts w:hint="eastAsia" w:ascii="宋体" w:hAnsi="宋体"/>
          <w:bCs/>
          <w:sz w:val="24"/>
        </w:rPr>
        <w:t xml:space="preserve">报价一览表 </w:t>
      </w:r>
    </w:p>
    <w:p>
      <w:pPr>
        <w:numPr>
          <w:ilvl w:val="1"/>
          <w:numId w:val="29"/>
        </w:numPr>
        <w:tabs>
          <w:tab w:val="left" w:pos="630"/>
          <w:tab w:val="clear" w:pos="360"/>
        </w:tabs>
        <w:autoSpaceDE w:val="0"/>
        <w:autoSpaceDN w:val="0"/>
        <w:adjustRightInd w:val="0"/>
        <w:ind w:left="630" w:hanging="630"/>
        <w:rPr>
          <w:rFonts w:ascii="宋体" w:hAnsi="宋体"/>
          <w:bCs/>
          <w:sz w:val="24"/>
        </w:rPr>
      </w:pPr>
      <w:r>
        <w:rPr>
          <w:rFonts w:hint="eastAsia" w:ascii="宋体" w:hAnsi="宋体"/>
          <w:bCs/>
          <w:sz w:val="24"/>
        </w:rPr>
        <w:t>法定代表人授权书（须粘贴授权人及被授权人身份证复印件）</w:t>
      </w:r>
    </w:p>
    <w:p>
      <w:pPr>
        <w:autoSpaceDE w:val="0"/>
        <w:autoSpaceDN w:val="0"/>
        <w:adjustRightInd w:val="0"/>
        <w:rPr>
          <w:rFonts w:ascii="宋体" w:hAnsi="宋体"/>
          <w:bCs/>
          <w:sz w:val="24"/>
        </w:rPr>
      </w:pPr>
      <w:r>
        <w:rPr>
          <w:rFonts w:hint="eastAsia" w:ascii="宋体" w:hAnsi="宋体"/>
          <w:bCs/>
          <w:sz w:val="24"/>
        </w:rPr>
        <w:t>其他内容（略）</w:t>
      </w:r>
    </w:p>
    <w:p>
      <w:pPr>
        <w:autoSpaceDE w:val="0"/>
        <w:autoSpaceDN w:val="0"/>
        <w:adjustRightInd w:val="0"/>
        <w:rPr>
          <w:rFonts w:ascii="宋体" w:hAnsi="宋体"/>
          <w:bCs/>
          <w:sz w:val="24"/>
        </w:rPr>
      </w:pPr>
    </w:p>
    <w:p>
      <w:pPr>
        <w:numPr>
          <w:ilvl w:val="3"/>
          <w:numId w:val="28"/>
        </w:numPr>
        <w:tabs>
          <w:tab w:val="left" w:pos="630"/>
          <w:tab w:val="clear" w:pos="3840"/>
        </w:tabs>
        <w:autoSpaceDE w:val="0"/>
        <w:autoSpaceDN w:val="0"/>
        <w:adjustRightInd w:val="0"/>
        <w:ind w:left="630" w:hanging="630"/>
        <w:rPr>
          <w:rFonts w:ascii="宋体" w:hAnsi="宋体"/>
          <w:bCs/>
          <w:sz w:val="24"/>
        </w:rPr>
      </w:pPr>
      <w:r>
        <w:rPr>
          <w:rFonts w:hint="eastAsia" w:ascii="宋体" w:hAnsi="宋体"/>
          <w:bCs/>
          <w:sz w:val="24"/>
        </w:rPr>
        <w:t>资格证明文件</w:t>
      </w:r>
    </w:p>
    <w:p>
      <w:pPr>
        <w:autoSpaceDE w:val="0"/>
        <w:autoSpaceDN w:val="0"/>
        <w:adjustRightInd w:val="0"/>
        <w:rPr>
          <w:rFonts w:ascii="宋体" w:hAnsi="宋体"/>
          <w:bCs/>
          <w:sz w:val="24"/>
        </w:rPr>
      </w:pPr>
      <w:r>
        <w:rPr>
          <w:rFonts w:hint="eastAsia" w:ascii="宋体" w:hAnsi="宋体"/>
          <w:bCs/>
          <w:sz w:val="24"/>
        </w:rPr>
        <w:t>按照本次竞争性谈判文件第一章第二款要求提供</w:t>
      </w:r>
    </w:p>
    <w:p>
      <w:pPr>
        <w:autoSpaceDE w:val="0"/>
        <w:autoSpaceDN w:val="0"/>
        <w:adjustRightInd w:val="0"/>
        <w:rPr>
          <w:rFonts w:ascii="宋体" w:hAnsi="宋体"/>
          <w:bCs/>
          <w:sz w:val="24"/>
        </w:rPr>
      </w:pPr>
    </w:p>
    <w:p>
      <w:pPr>
        <w:numPr>
          <w:ilvl w:val="3"/>
          <w:numId w:val="28"/>
        </w:numPr>
        <w:tabs>
          <w:tab w:val="left" w:pos="630"/>
          <w:tab w:val="clear" w:pos="3840"/>
        </w:tabs>
        <w:autoSpaceDE w:val="0"/>
        <w:autoSpaceDN w:val="0"/>
        <w:adjustRightInd w:val="0"/>
        <w:ind w:left="630" w:hanging="630"/>
        <w:rPr>
          <w:rFonts w:ascii="宋体" w:hAnsi="宋体"/>
          <w:bCs/>
          <w:sz w:val="24"/>
        </w:rPr>
      </w:pPr>
      <w:r>
        <w:rPr>
          <w:rFonts w:hint="eastAsia" w:ascii="宋体" w:hAnsi="宋体"/>
          <w:bCs/>
          <w:sz w:val="24"/>
        </w:rPr>
        <w:t>商务部分</w:t>
      </w:r>
    </w:p>
    <w:p>
      <w:pPr>
        <w:numPr>
          <w:ilvl w:val="1"/>
          <w:numId w:val="28"/>
        </w:numPr>
        <w:tabs>
          <w:tab w:val="left" w:pos="630"/>
        </w:tabs>
        <w:autoSpaceDE w:val="0"/>
        <w:autoSpaceDN w:val="0"/>
        <w:adjustRightInd w:val="0"/>
        <w:rPr>
          <w:rFonts w:ascii="宋体" w:hAnsi="宋体"/>
          <w:bCs/>
          <w:sz w:val="24"/>
        </w:rPr>
      </w:pPr>
      <w:r>
        <w:rPr>
          <w:rFonts w:hint="eastAsia" w:ascii="宋体" w:hAnsi="宋体"/>
          <w:bCs/>
          <w:sz w:val="24"/>
        </w:rPr>
        <w:t>近三年年业绩一览表</w:t>
      </w:r>
    </w:p>
    <w:p>
      <w:pPr>
        <w:numPr>
          <w:ilvl w:val="1"/>
          <w:numId w:val="28"/>
        </w:numPr>
        <w:tabs>
          <w:tab w:val="left" w:pos="630"/>
        </w:tabs>
        <w:autoSpaceDE w:val="0"/>
        <w:autoSpaceDN w:val="0"/>
        <w:adjustRightInd w:val="0"/>
        <w:rPr>
          <w:rFonts w:ascii="宋体" w:hAnsi="宋体"/>
          <w:bCs/>
          <w:sz w:val="24"/>
        </w:rPr>
      </w:pPr>
      <w:r>
        <w:rPr>
          <w:rFonts w:hint="eastAsia" w:ascii="宋体" w:hAnsi="宋体"/>
          <w:bCs/>
          <w:sz w:val="24"/>
        </w:rPr>
        <w:t>服务承诺书</w:t>
      </w:r>
    </w:p>
    <w:p>
      <w:pPr>
        <w:autoSpaceDE w:val="0"/>
        <w:autoSpaceDN w:val="0"/>
        <w:adjustRightInd w:val="0"/>
        <w:rPr>
          <w:rFonts w:ascii="宋体" w:hAnsi="宋体"/>
          <w:bCs/>
          <w:sz w:val="24"/>
        </w:rPr>
      </w:pPr>
      <w:r>
        <w:rPr>
          <w:rFonts w:hint="eastAsia" w:ascii="宋体" w:hAnsi="宋体"/>
          <w:bCs/>
          <w:sz w:val="24"/>
        </w:rPr>
        <w:t>其他内容（略）</w:t>
      </w:r>
    </w:p>
    <w:p>
      <w:pPr>
        <w:pStyle w:val="2"/>
        <w:ind w:left="0" w:leftChars="0" w:firstLine="0" w:firstLineChars="0"/>
      </w:pPr>
    </w:p>
    <w:p>
      <w:pPr>
        <w:numPr>
          <w:ilvl w:val="3"/>
          <w:numId w:val="28"/>
        </w:numPr>
        <w:tabs>
          <w:tab w:val="left" w:pos="630"/>
          <w:tab w:val="clear" w:pos="3840"/>
        </w:tabs>
        <w:autoSpaceDE w:val="0"/>
        <w:autoSpaceDN w:val="0"/>
        <w:adjustRightInd w:val="0"/>
        <w:ind w:left="630" w:hanging="630"/>
        <w:rPr>
          <w:rFonts w:ascii="宋体" w:hAnsi="宋体"/>
          <w:bCs/>
          <w:sz w:val="24"/>
        </w:rPr>
      </w:pPr>
      <w:r>
        <w:rPr>
          <w:rFonts w:hint="eastAsia" w:ascii="宋体" w:hAnsi="宋体"/>
          <w:bCs/>
          <w:sz w:val="24"/>
        </w:rPr>
        <w:t>技术部分</w:t>
      </w:r>
    </w:p>
    <w:p>
      <w:pPr>
        <w:numPr>
          <w:ilvl w:val="1"/>
          <w:numId w:val="29"/>
        </w:numPr>
        <w:tabs>
          <w:tab w:val="left" w:pos="630"/>
          <w:tab w:val="clear" w:pos="360"/>
        </w:tabs>
        <w:autoSpaceDE w:val="0"/>
        <w:autoSpaceDN w:val="0"/>
        <w:adjustRightInd w:val="0"/>
        <w:ind w:left="630" w:hanging="630"/>
        <w:rPr>
          <w:rFonts w:ascii="宋体" w:hAnsi="宋体"/>
          <w:bCs/>
          <w:sz w:val="24"/>
        </w:rPr>
      </w:pPr>
      <w:r>
        <w:rPr>
          <w:rFonts w:hint="eastAsia" w:ascii="宋体" w:hAnsi="宋体"/>
          <w:bCs/>
          <w:sz w:val="24"/>
        </w:rPr>
        <w:t>服务方案或维保方案</w:t>
      </w:r>
    </w:p>
    <w:p>
      <w:pPr>
        <w:autoSpaceDE w:val="0"/>
        <w:autoSpaceDN w:val="0"/>
        <w:adjustRightInd w:val="0"/>
        <w:rPr>
          <w:rFonts w:ascii="宋体" w:hAnsi="宋体"/>
          <w:bCs/>
          <w:sz w:val="24"/>
        </w:rPr>
      </w:pPr>
      <w:r>
        <w:rPr>
          <w:rFonts w:hint="eastAsia" w:ascii="宋体" w:hAnsi="宋体"/>
          <w:bCs/>
          <w:sz w:val="24"/>
        </w:rPr>
        <w:t>其他内容（略）</w:t>
      </w:r>
    </w:p>
    <w:p>
      <w:pPr>
        <w:tabs>
          <w:tab w:val="left" w:pos="630"/>
          <w:tab w:val="left" w:pos="3615"/>
        </w:tabs>
        <w:autoSpaceDE w:val="0"/>
        <w:autoSpaceDN w:val="0"/>
        <w:adjustRightInd w:val="0"/>
        <w:rPr>
          <w:rFonts w:ascii="宋体" w:hAnsi="宋体"/>
          <w:bCs/>
          <w:sz w:val="24"/>
        </w:rPr>
      </w:pPr>
    </w:p>
    <w:p>
      <w:pPr>
        <w:autoSpaceDE w:val="0"/>
        <w:autoSpaceDN w:val="0"/>
        <w:adjustRightInd w:val="0"/>
        <w:rPr>
          <w:rFonts w:ascii="宋体" w:hAnsi="宋体"/>
          <w:bCs/>
          <w:sz w:val="24"/>
        </w:rPr>
      </w:pPr>
    </w:p>
    <w:p>
      <w:pPr>
        <w:autoSpaceDE w:val="0"/>
        <w:autoSpaceDN w:val="0"/>
        <w:adjustRightInd w:val="0"/>
        <w:rPr>
          <w:rFonts w:ascii="宋体" w:hAnsi="宋体"/>
          <w:b/>
          <w:bCs/>
          <w:sz w:val="24"/>
        </w:rPr>
      </w:pPr>
      <w:r>
        <w:rPr>
          <w:rFonts w:hint="eastAsia" w:ascii="宋体" w:hAnsi="宋体"/>
          <w:b/>
          <w:bCs/>
          <w:sz w:val="24"/>
        </w:rPr>
        <w:t>注：1、竞标文件目录仅供竞标人制作标书时参考，如有补充，自行填写；</w:t>
      </w:r>
    </w:p>
    <w:p>
      <w:pPr>
        <w:autoSpaceDE w:val="0"/>
        <w:autoSpaceDN w:val="0"/>
        <w:adjustRightInd w:val="0"/>
        <w:rPr>
          <w:rFonts w:ascii="宋体" w:hAnsi="宋体"/>
          <w:b/>
          <w:bCs/>
          <w:sz w:val="24"/>
        </w:rPr>
      </w:pPr>
      <w:r>
        <w:rPr>
          <w:rFonts w:hint="eastAsia" w:ascii="宋体" w:hAnsi="宋体"/>
          <w:b/>
          <w:bCs/>
          <w:sz w:val="24"/>
        </w:rPr>
        <w:t xml:space="preserve">    2、竞标文件目录及内容每页须顺序编写页码。</w:t>
      </w:r>
      <w:r>
        <w:rPr>
          <w:rFonts w:hint="eastAsia"/>
          <w:sz w:val="24"/>
        </w:rPr>
        <w:t xml:space="preserve"> </w:t>
      </w:r>
    </w:p>
    <w:p>
      <w:pPr>
        <w:autoSpaceDE w:val="0"/>
        <w:autoSpaceDN w:val="0"/>
        <w:adjustRightInd w:val="0"/>
        <w:rPr>
          <w:rFonts w:ascii="宋体" w:hAnsi="宋体"/>
          <w:b/>
          <w:sz w:val="24"/>
        </w:rPr>
      </w:pPr>
    </w:p>
    <w:p>
      <w:pPr>
        <w:numPr>
          <w:ilvl w:val="0"/>
          <w:numId w:val="30"/>
        </w:numPr>
        <w:autoSpaceDE w:val="0"/>
        <w:autoSpaceDN w:val="0"/>
        <w:adjustRightInd w:val="0"/>
        <w:spacing w:line="360" w:lineRule="auto"/>
        <w:outlineLvl w:val="2"/>
        <w:rPr>
          <w:rFonts w:ascii="宋体" w:hAnsi="宋体"/>
          <w:bCs/>
          <w:sz w:val="24"/>
        </w:rPr>
      </w:pPr>
      <w:r>
        <w:rPr>
          <w:rFonts w:ascii="宋体" w:hAnsi="宋体"/>
          <w:b/>
          <w:bCs/>
          <w:sz w:val="24"/>
        </w:rPr>
        <w:br w:type="page"/>
      </w:r>
      <w:bookmarkStart w:id="46" w:name="_Toc292291113"/>
      <w:bookmarkStart w:id="47" w:name="_Toc40954370"/>
      <w:r>
        <w:rPr>
          <w:rFonts w:hint="eastAsia" w:ascii="宋体" w:hAnsi="宋体"/>
          <w:bCs/>
          <w:sz w:val="24"/>
        </w:rPr>
        <w:t>竞标书</w:t>
      </w:r>
      <w:bookmarkEnd w:id="46"/>
      <w:bookmarkEnd w:id="47"/>
    </w:p>
    <w:p>
      <w:pPr>
        <w:spacing w:line="460" w:lineRule="exact"/>
        <w:rPr>
          <w:rFonts w:ascii="宋体" w:hAnsi="宋体"/>
          <w:kern w:val="0"/>
          <w:szCs w:val="21"/>
        </w:rPr>
      </w:pPr>
      <w:r>
        <w:rPr>
          <w:rFonts w:hint="eastAsia" w:ascii="宋体" w:hAnsi="宋体"/>
          <w:kern w:val="0"/>
          <w:szCs w:val="21"/>
        </w:rPr>
        <w:t>致：　（招标人）　</w:t>
      </w:r>
    </w:p>
    <w:p>
      <w:pPr>
        <w:spacing w:line="460" w:lineRule="exact"/>
        <w:ind w:firstLine="570"/>
        <w:rPr>
          <w:rFonts w:ascii="宋体" w:hAnsi="宋体"/>
          <w:kern w:val="0"/>
          <w:szCs w:val="21"/>
        </w:rPr>
      </w:pPr>
      <w:r>
        <w:rPr>
          <w:rFonts w:hint="eastAsia" w:ascii="宋体" w:hAnsi="宋体"/>
          <w:kern w:val="0"/>
          <w:szCs w:val="21"/>
        </w:rPr>
        <w:t>根据贵方为　（项目名称）　招标的投标邀请，签字代表　（姓名、职务）经正式授权并代表竞标人 （竞标人名称、地址）提交下述文件正本   份及副本   份：</w:t>
      </w:r>
    </w:p>
    <w:p>
      <w:pPr>
        <w:numPr>
          <w:ilvl w:val="0"/>
          <w:numId w:val="31"/>
        </w:numPr>
        <w:spacing w:line="460" w:lineRule="exact"/>
        <w:rPr>
          <w:rFonts w:ascii="宋体" w:hAnsi="宋体"/>
          <w:kern w:val="0"/>
          <w:szCs w:val="21"/>
        </w:rPr>
      </w:pPr>
      <w:r>
        <w:rPr>
          <w:rFonts w:hint="eastAsia" w:ascii="宋体" w:hAnsi="宋体"/>
          <w:kern w:val="0"/>
          <w:szCs w:val="21"/>
        </w:rPr>
        <w:t>投标函；</w:t>
      </w:r>
    </w:p>
    <w:p>
      <w:pPr>
        <w:numPr>
          <w:ilvl w:val="0"/>
          <w:numId w:val="31"/>
        </w:numPr>
        <w:spacing w:line="460" w:lineRule="exact"/>
        <w:rPr>
          <w:rFonts w:ascii="宋体" w:hAnsi="宋体"/>
          <w:kern w:val="0"/>
          <w:szCs w:val="21"/>
        </w:rPr>
      </w:pPr>
      <w:r>
        <w:rPr>
          <w:rFonts w:hint="eastAsia" w:ascii="宋体" w:hAnsi="宋体"/>
          <w:kern w:val="0"/>
          <w:szCs w:val="21"/>
        </w:rPr>
        <w:t>开标一览表；</w:t>
      </w:r>
    </w:p>
    <w:p>
      <w:pPr>
        <w:numPr>
          <w:ilvl w:val="0"/>
          <w:numId w:val="31"/>
        </w:numPr>
        <w:spacing w:line="460" w:lineRule="exact"/>
        <w:rPr>
          <w:rFonts w:ascii="宋体" w:hAnsi="宋体"/>
          <w:kern w:val="0"/>
          <w:szCs w:val="21"/>
        </w:rPr>
      </w:pPr>
      <w:r>
        <w:rPr>
          <w:rFonts w:hint="eastAsia" w:ascii="宋体" w:hAnsi="宋体"/>
          <w:kern w:val="0"/>
          <w:szCs w:val="21"/>
        </w:rPr>
        <w:t>按谈判文件要求提供的所有文件和建议书；</w:t>
      </w:r>
    </w:p>
    <w:p>
      <w:pPr>
        <w:spacing w:line="460" w:lineRule="exact"/>
        <w:ind w:left="570"/>
        <w:rPr>
          <w:rFonts w:ascii="宋体" w:hAnsi="宋体"/>
          <w:kern w:val="0"/>
          <w:szCs w:val="21"/>
        </w:rPr>
      </w:pPr>
      <w:r>
        <w:rPr>
          <w:rFonts w:hint="eastAsia" w:ascii="宋体" w:hAnsi="宋体"/>
          <w:kern w:val="0"/>
          <w:szCs w:val="21"/>
        </w:rPr>
        <w:t>并附上：金额为（用文字和数字表示）元人民币的投标保证金（形式如下：□银行电汇；□银行转账）。</w:t>
      </w:r>
    </w:p>
    <w:p>
      <w:pPr>
        <w:spacing w:line="460" w:lineRule="exact"/>
        <w:ind w:left="570"/>
        <w:rPr>
          <w:rFonts w:ascii="宋体" w:hAnsi="宋体"/>
          <w:kern w:val="0"/>
          <w:szCs w:val="21"/>
        </w:rPr>
      </w:pPr>
      <w:r>
        <w:rPr>
          <w:rFonts w:hint="eastAsia" w:ascii="宋体" w:hAnsi="宋体"/>
          <w:kern w:val="0"/>
          <w:szCs w:val="21"/>
        </w:rPr>
        <w:t>根据此函，签字代表宣布同意如下：</w:t>
      </w:r>
    </w:p>
    <w:p>
      <w:pPr>
        <w:numPr>
          <w:ilvl w:val="0"/>
          <w:numId w:val="32"/>
        </w:numPr>
        <w:spacing w:line="460" w:lineRule="exact"/>
        <w:rPr>
          <w:rFonts w:ascii="宋体" w:hAnsi="宋体"/>
          <w:kern w:val="0"/>
          <w:szCs w:val="21"/>
        </w:rPr>
      </w:pPr>
      <w:r>
        <w:rPr>
          <w:rFonts w:hint="eastAsia" w:ascii="宋体" w:hAnsi="宋体"/>
          <w:kern w:val="0"/>
          <w:szCs w:val="21"/>
        </w:rPr>
        <w:t>所附投标价格表中规定的应提交和交付的服务的投标总价为人民币（用文字和数字表示的投标总价）。</w:t>
      </w:r>
    </w:p>
    <w:p>
      <w:pPr>
        <w:numPr>
          <w:ilvl w:val="0"/>
          <w:numId w:val="32"/>
        </w:numPr>
        <w:spacing w:line="460" w:lineRule="exact"/>
        <w:rPr>
          <w:rFonts w:ascii="宋体" w:hAnsi="宋体"/>
          <w:kern w:val="0"/>
          <w:szCs w:val="21"/>
        </w:rPr>
      </w:pPr>
      <w:r>
        <w:rPr>
          <w:rFonts w:hint="eastAsia" w:ascii="宋体" w:hAnsi="宋体"/>
          <w:kern w:val="0"/>
          <w:szCs w:val="21"/>
        </w:rPr>
        <w:t>竞标人接受本谈判文件合同书格式及合同条款，并将按谈判文件的规定履行合同责任和义务。</w:t>
      </w:r>
    </w:p>
    <w:p>
      <w:pPr>
        <w:numPr>
          <w:ilvl w:val="0"/>
          <w:numId w:val="32"/>
        </w:numPr>
        <w:spacing w:line="460" w:lineRule="exact"/>
        <w:rPr>
          <w:rFonts w:ascii="宋体" w:hAnsi="宋体"/>
          <w:kern w:val="0"/>
          <w:szCs w:val="21"/>
        </w:rPr>
      </w:pPr>
      <w:r>
        <w:rPr>
          <w:rFonts w:hint="eastAsia" w:ascii="宋体" w:hAnsi="宋体"/>
          <w:kern w:val="0"/>
          <w:szCs w:val="21"/>
        </w:rPr>
        <w:t>竞标人已详细审查全部谈判文件，包括第（编号、补遗书）（如果有的话）。我们完全理解并同意放弃对这方面有不明及误解的权利。</w:t>
      </w:r>
    </w:p>
    <w:p>
      <w:pPr>
        <w:numPr>
          <w:ilvl w:val="0"/>
          <w:numId w:val="32"/>
        </w:numPr>
        <w:spacing w:line="460" w:lineRule="exact"/>
        <w:rPr>
          <w:rFonts w:ascii="宋体" w:hAnsi="宋体"/>
          <w:kern w:val="0"/>
          <w:szCs w:val="21"/>
        </w:rPr>
      </w:pPr>
      <w:r>
        <w:rPr>
          <w:rFonts w:hint="eastAsia" w:ascii="宋体" w:hAnsi="宋体"/>
          <w:kern w:val="0"/>
          <w:szCs w:val="21"/>
        </w:rPr>
        <w:t>本投标有效期为</w:t>
      </w:r>
      <w:r>
        <w:rPr>
          <w:rFonts w:hint="eastAsia" w:ascii="宋体" w:hAnsi="宋体"/>
          <w:szCs w:val="21"/>
        </w:rPr>
        <w:t>自开标之日起90日历天</w:t>
      </w:r>
      <w:r>
        <w:rPr>
          <w:rFonts w:hint="eastAsia" w:ascii="宋体" w:hAnsi="宋体"/>
          <w:kern w:val="0"/>
          <w:szCs w:val="21"/>
        </w:rPr>
        <w:t>。</w:t>
      </w:r>
    </w:p>
    <w:p>
      <w:pPr>
        <w:numPr>
          <w:ilvl w:val="0"/>
          <w:numId w:val="32"/>
        </w:numPr>
        <w:spacing w:line="460" w:lineRule="exact"/>
        <w:rPr>
          <w:rFonts w:ascii="宋体" w:hAnsi="宋体"/>
          <w:kern w:val="0"/>
          <w:szCs w:val="21"/>
        </w:rPr>
      </w:pPr>
      <w:r>
        <w:rPr>
          <w:rFonts w:hint="eastAsia" w:ascii="宋体" w:hAnsi="宋体"/>
          <w:kern w:val="0"/>
          <w:szCs w:val="21"/>
        </w:rPr>
        <w:t>如果在规定的开标时间后，竞标人在投标有效期撤回投标，其投标保证金将被贵方没收。</w:t>
      </w:r>
    </w:p>
    <w:p>
      <w:pPr>
        <w:numPr>
          <w:ilvl w:val="0"/>
          <w:numId w:val="32"/>
        </w:numPr>
        <w:spacing w:line="460" w:lineRule="exact"/>
        <w:rPr>
          <w:rFonts w:ascii="宋体" w:hAnsi="宋体"/>
          <w:kern w:val="0"/>
          <w:szCs w:val="21"/>
        </w:rPr>
      </w:pPr>
      <w:r>
        <w:rPr>
          <w:rFonts w:hint="eastAsia" w:ascii="宋体" w:hAnsi="宋体"/>
          <w:kern w:val="0"/>
          <w:szCs w:val="21"/>
        </w:rPr>
        <w:t>竞标人同意提供按照贵方可能要求的与其投标有关的一切数据或资料，完全理解贵方不一定接受最低价的投标或收到的任何投标。</w:t>
      </w:r>
    </w:p>
    <w:p>
      <w:pPr>
        <w:numPr>
          <w:ilvl w:val="0"/>
          <w:numId w:val="32"/>
        </w:numPr>
        <w:spacing w:line="460" w:lineRule="exact"/>
        <w:rPr>
          <w:rFonts w:ascii="宋体" w:hAnsi="宋体"/>
          <w:kern w:val="0"/>
          <w:szCs w:val="21"/>
        </w:rPr>
      </w:pPr>
      <w:r>
        <w:rPr>
          <w:rFonts w:hint="eastAsia" w:ascii="宋体" w:hAnsi="宋体"/>
          <w:kern w:val="0"/>
          <w:szCs w:val="21"/>
        </w:rPr>
        <w:t>与本投标有关的一切正式往来函件、通讯请发往：</w:t>
      </w:r>
    </w:p>
    <w:p>
      <w:pPr>
        <w:spacing w:line="460" w:lineRule="exact"/>
        <w:ind w:left="570"/>
        <w:rPr>
          <w:rFonts w:ascii="宋体" w:hAnsi="宋体"/>
          <w:kern w:val="0"/>
          <w:szCs w:val="21"/>
        </w:rPr>
      </w:pPr>
      <w:r>
        <w:rPr>
          <w:rFonts w:hint="eastAsia" w:ascii="宋体" w:hAnsi="宋体"/>
          <w:kern w:val="0"/>
          <w:szCs w:val="21"/>
        </w:rPr>
        <w:t xml:space="preserve">地址                            传真                        </w:t>
      </w:r>
    </w:p>
    <w:p>
      <w:pPr>
        <w:spacing w:line="460" w:lineRule="exact"/>
        <w:ind w:left="570"/>
        <w:rPr>
          <w:rFonts w:ascii="宋体" w:hAnsi="宋体"/>
          <w:kern w:val="0"/>
          <w:szCs w:val="21"/>
        </w:rPr>
      </w:pPr>
      <w:r>
        <w:rPr>
          <w:rFonts w:hint="eastAsia" w:ascii="宋体" w:hAnsi="宋体"/>
          <w:kern w:val="0"/>
          <w:szCs w:val="21"/>
        </w:rPr>
        <w:t xml:space="preserve">电话                            电子函件                   </w:t>
      </w:r>
    </w:p>
    <w:p>
      <w:pPr>
        <w:spacing w:line="460" w:lineRule="exact"/>
        <w:ind w:left="570"/>
        <w:rPr>
          <w:rFonts w:ascii="宋体" w:hAnsi="宋体"/>
          <w:kern w:val="0"/>
          <w:szCs w:val="21"/>
        </w:rPr>
      </w:pPr>
      <w:r>
        <w:rPr>
          <w:rFonts w:hint="eastAsia" w:ascii="宋体" w:hAnsi="宋体"/>
          <w:kern w:val="0"/>
          <w:szCs w:val="21"/>
        </w:rPr>
        <w:t>竞标人名称                      竞标人代表 姓名、职务（印刷体）</w:t>
      </w:r>
    </w:p>
    <w:p>
      <w:pPr>
        <w:spacing w:line="460" w:lineRule="exact"/>
        <w:ind w:left="570"/>
        <w:rPr>
          <w:rFonts w:ascii="宋体" w:hAnsi="宋体"/>
          <w:kern w:val="0"/>
          <w:szCs w:val="21"/>
        </w:rPr>
      </w:pPr>
      <w:r>
        <w:rPr>
          <w:rFonts w:hint="eastAsia" w:ascii="宋体" w:hAnsi="宋体"/>
          <w:kern w:val="0"/>
          <w:szCs w:val="21"/>
        </w:rPr>
        <w:t xml:space="preserve">公章                            竞标人代表签字                        </w:t>
      </w:r>
    </w:p>
    <w:p>
      <w:pPr>
        <w:spacing w:line="460" w:lineRule="exact"/>
        <w:ind w:left="570"/>
        <w:rPr>
          <w:rFonts w:ascii="宋体" w:hAnsi="宋体"/>
          <w:kern w:val="0"/>
          <w:szCs w:val="21"/>
        </w:rPr>
      </w:pPr>
      <w:r>
        <w:rPr>
          <w:rFonts w:hint="eastAsia" w:ascii="宋体" w:hAnsi="宋体"/>
          <w:kern w:val="0"/>
          <w:szCs w:val="21"/>
        </w:rPr>
        <w:t xml:space="preserve">日期                         </w:t>
      </w:r>
    </w:p>
    <w:p>
      <w:pPr>
        <w:pStyle w:val="29"/>
        <w:rPr>
          <w:rFonts w:ascii="宋体" w:hAnsi="宋体"/>
          <w:b/>
        </w:rPr>
      </w:pPr>
    </w:p>
    <w:p>
      <w:pPr>
        <w:tabs>
          <w:tab w:val="left" w:pos="3969"/>
        </w:tabs>
        <w:spacing w:line="360" w:lineRule="auto"/>
        <w:ind w:left="6"/>
        <w:jc w:val="center"/>
        <w:rPr>
          <w:rFonts w:ascii="宋体" w:hAnsi="宋体"/>
        </w:rPr>
      </w:pPr>
    </w:p>
    <w:p>
      <w:pPr>
        <w:numPr>
          <w:ilvl w:val="0"/>
          <w:numId w:val="30"/>
        </w:numPr>
        <w:autoSpaceDE w:val="0"/>
        <w:autoSpaceDN w:val="0"/>
        <w:adjustRightInd w:val="0"/>
        <w:spacing w:line="360" w:lineRule="auto"/>
        <w:outlineLvl w:val="2"/>
        <w:rPr>
          <w:rFonts w:ascii="宋体" w:hAnsi="宋体"/>
          <w:bCs/>
          <w:sz w:val="24"/>
        </w:rPr>
      </w:pPr>
      <w:r>
        <w:rPr>
          <w:rFonts w:ascii="宋体" w:hAnsi="宋体"/>
          <w:b/>
          <w:bCs/>
          <w:sz w:val="24"/>
        </w:rPr>
        <w:br w:type="page"/>
      </w:r>
      <w:bookmarkStart w:id="48" w:name="_Toc40954371"/>
      <w:r>
        <w:rPr>
          <w:rFonts w:hint="eastAsia" w:ascii="宋体" w:hAnsi="宋体"/>
          <w:bCs/>
          <w:sz w:val="24"/>
        </w:rPr>
        <w:t>报价</w:t>
      </w:r>
      <w:r>
        <w:rPr>
          <w:rFonts w:ascii="宋体" w:hAnsi="宋体"/>
          <w:bCs/>
          <w:sz w:val="24"/>
        </w:rPr>
        <w:t>一览表</w:t>
      </w:r>
      <w:r>
        <w:rPr>
          <w:rFonts w:hint="eastAsia" w:ascii="宋体" w:hAnsi="宋体"/>
          <w:bCs/>
          <w:sz w:val="24"/>
        </w:rPr>
        <w:t>（格式）</w:t>
      </w:r>
      <w:bookmarkEnd w:id="48"/>
    </w:p>
    <w:p>
      <w:pPr>
        <w:adjustRightInd w:val="0"/>
        <w:snapToGrid w:val="0"/>
        <w:ind w:left="-88" w:leftChars="-42"/>
        <w:rPr>
          <w:rFonts w:ascii="宋体" w:hAnsi="宋体"/>
          <w:szCs w:val="21"/>
        </w:rPr>
      </w:pPr>
    </w:p>
    <w:p>
      <w:pPr>
        <w:adjustRightInd w:val="0"/>
        <w:snapToGrid w:val="0"/>
        <w:ind w:left="-88" w:leftChars="-42" w:firstLine="420" w:firstLineChars="200"/>
        <w:rPr>
          <w:rFonts w:ascii="宋体" w:hAnsi="宋体"/>
          <w:szCs w:val="21"/>
        </w:rPr>
      </w:pPr>
      <w:r>
        <w:rPr>
          <w:rFonts w:hint="eastAsia" w:ascii="宋体" w:hAnsi="宋体"/>
          <w:szCs w:val="21"/>
        </w:rPr>
        <w:t xml:space="preserve">竞标人名称：                                     </w:t>
      </w:r>
      <w:r>
        <w:rPr>
          <w:rFonts w:hint="eastAsia" w:ascii="宋体" w:hAnsi="宋体"/>
          <w:spacing w:val="28"/>
          <w:szCs w:val="21"/>
        </w:rPr>
        <w:t>采购编号</w:t>
      </w:r>
      <w:r>
        <w:rPr>
          <w:rFonts w:hint="eastAsia" w:ascii="宋体" w:hAnsi="宋体"/>
          <w:szCs w:val="21"/>
        </w:rPr>
        <w:t>：</w:t>
      </w:r>
    </w:p>
    <w:tbl>
      <w:tblPr>
        <w:tblStyle w:val="52"/>
        <w:tblW w:w="85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506" w:type="dxa"/>
            <w:vAlign w:val="center"/>
          </w:tcPr>
          <w:p>
            <w:pPr>
              <w:autoSpaceDE w:val="0"/>
              <w:autoSpaceDN w:val="0"/>
              <w:adjustRightInd w:val="0"/>
              <w:spacing w:line="360" w:lineRule="auto"/>
              <w:jc w:val="center"/>
              <w:rPr>
                <w:rFonts w:ascii="宋体" w:hAnsi="宋体"/>
                <w:kern w:val="0"/>
                <w:sz w:val="24"/>
              </w:rPr>
            </w:pPr>
            <w:r>
              <w:rPr>
                <w:rFonts w:hint="eastAsia" w:ascii="宋体" w:hAnsi="宋体"/>
                <w:kern w:val="0"/>
                <w:sz w:val="24"/>
              </w:rPr>
              <w:t>项目名称</w:t>
            </w:r>
          </w:p>
        </w:tc>
        <w:tc>
          <w:tcPr>
            <w:tcW w:w="6063" w:type="dxa"/>
            <w:vAlign w:val="center"/>
          </w:tcPr>
          <w:p>
            <w:pPr>
              <w:autoSpaceDE w:val="0"/>
              <w:autoSpaceDN w:val="0"/>
              <w:adjustRightIn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506" w:type="dxa"/>
            <w:vAlign w:val="center"/>
          </w:tcPr>
          <w:p>
            <w:pPr>
              <w:autoSpaceDE w:val="0"/>
              <w:autoSpaceDN w:val="0"/>
              <w:adjustRightInd w:val="0"/>
              <w:spacing w:line="360" w:lineRule="auto"/>
              <w:jc w:val="center"/>
              <w:rPr>
                <w:rFonts w:ascii="宋体" w:hAnsi="宋体"/>
                <w:kern w:val="0"/>
                <w:sz w:val="24"/>
              </w:rPr>
            </w:pPr>
            <w:r>
              <w:rPr>
                <w:rFonts w:hint="eastAsia" w:ascii="宋体" w:hAnsi="宋体"/>
                <w:kern w:val="0"/>
                <w:sz w:val="24"/>
              </w:rPr>
              <w:t>竞标人名称</w:t>
            </w:r>
          </w:p>
        </w:tc>
        <w:tc>
          <w:tcPr>
            <w:tcW w:w="6063" w:type="dxa"/>
            <w:vAlign w:val="center"/>
          </w:tcPr>
          <w:p>
            <w:pPr>
              <w:autoSpaceDE w:val="0"/>
              <w:autoSpaceDN w:val="0"/>
              <w:adjustRightIn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506" w:type="dxa"/>
            <w:vAlign w:val="center"/>
          </w:tcPr>
          <w:p>
            <w:pPr>
              <w:autoSpaceDE w:val="0"/>
              <w:autoSpaceDN w:val="0"/>
              <w:adjustRightInd w:val="0"/>
              <w:spacing w:line="360" w:lineRule="auto"/>
              <w:jc w:val="center"/>
              <w:rPr>
                <w:rFonts w:ascii="宋体" w:hAnsi="宋体"/>
                <w:kern w:val="0"/>
                <w:sz w:val="24"/>
              </w:rPr>
            </w:pPr>
            <w:r>
              <w:rPr>
                <w:rFonts w:hint="eastAsia" w:ascii="宋体" w:hAnsi="宋体"/>
                <w:kern w:val="0"/>
                <w:sz w:val="24"/>
              </w:rPr>
              <w:t>投标总价（万元）</w:t>
            </w:r>
          </w:p>
        </w:tc>
        <w:tc>
          <w:tcPr>
            <w:tcW w:w="6063" w:type="dxa"/>
            <w:vAlign w:val="center"/>
          </w:tcPr>
          <w:p>
            <w:pPr>
              <w:autoSpaceDE w:val="0"/>
              <w:autoSpaceDN w:val="0"/>
              <w:adjustRightIn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2506" w:type="dxa"/>
            <w:vAlign w:val="center"/>
          </w:tcPr>
          <w:p>
            <w:pPr>
              <w:autoSpaceDE w:val="0"/>
              <w:autoSpaceDN w:val="0"/>
              <w:adjustRightInd w:val="0"/>
              <w:spacing w:line="360" w:lineRule="auto"/>
              <w:jc w:val="center"/>
              <w:rPr>
                <w:rFonts w:ascii="宋体" w:hAnsi="宋体"/>
                <w:kern w:val="0"/>
                <w:sz w:val="24"/>
              </w:rPr>
            </w:pPr>
            <w:r>
              <w:rPr>
                <w:rFonts w:hint="eastAsia" w:ascii="宋体" w:hAnsi="宋体"/>
                <w:kern w:val="0"/>
                <w:sz w:val="24"/>
              </w:rPr>
              <w:t>服务期</w:t>
            </w:r>
          </w:p>
        </w:tc>
        <w:tc>
          <w:tcPr>
            <w:tcW w:w="6063" w:type="dxa"/>
            <w:vAlign w:val="center"/>
          </w:tcPr>
          <w:p>
            <w:pPr>
              <w:autoSpaceDE w:val="0"/>
              <w:autoSpaceDN w:val="0"/>
              <w:adjustRightIn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2506" w:type="dxa"/>
            <w:vAlign w:val="center"/>
          </w:tcPr>
          <w:p>
            <w:pPr>
              <w:autoSpaceDE w:val="0"/>
              <w:autoSpaceDN w:val="0"/>
              <w:adjustRightInd w:val="0"/>
              <w:spacing w:line="360" w:lineRule="auto"/>
              <w:jc w:val="center"/>
              <w:rPr>
                <w:rFonts w:ascii="宋体" w:hAnsi="宋体"/>
                <w:kern w:val="0"/>
                <w:sz w:val="24"/>
              </w:rPr>
            </w:pPr>
            <w:r>
              <w:rPr>
                <w:rFonts w:hint="eastAsia" w:ascii="宋体" w:hAnsi="宋体"/>
                <w:kern w:val="0"/>
                <w:sz w:val="24"/>
              </w:rPr>
              <w:t>备注</w:t>
            </w:r>
          </w:p>
        </w:tc>
        <w:tc>
          <w:tcPr>
            <w:tcW w:w="6063" w:type="dxa"/>
            <w:vAlign w:val="center"/>
          </w:tcPr>
          <w:p>
            <w:pPr>
              <w:autoSpaceDE w:val="0"/>
              <w:autoSpaceDN w:val="0"/>
              <w:adjustRightInd w:val="0"/>
              <w:spacing w:line="360" w:lineRule="auto"/>
              <w:jc w:val="center"/>
              <w:rPr>
                <w:rFonts w:ascii="宋体" w:hAnsi="宋体"/>
                <w:kern w:val="0"/>
                <w:sz w:val="24"/>
              </w:rPr>
            </w:pPr>
          </w:p>
        </w:tc>
      </w:tr>
    </w:tbl>
    <w:p>
      <w:pPr>
        <w:adjustRightInd w:val="0"/>
        <w:snapToGrid w:val="0"/>
        <w:ind w:left="-88" w:leftChars="-42"/>
        <w:rPr>
          <w:rFonts w:ascii="宋体" w:hAnsi="宋体"/>
          <w:szCs w:val="21"/>
        </w:rPr>
      </w:pPr>
    </w:p>
    <w:p>
      <w:pPr>
        <w:adjustRightInd w:val="0"/>
        <w:snapToGrid w:val="0"/>
        <w:ind w:left="-88" w:leftChars="-42"/>
        <w:rPr>
          <w:rFonts w:ascii="宋体" w:hAnsi="宋体"/>
          <w:szCs w:val="21"/>
        </w:rPr>
      </w:pPr>
    </w:p>
    <w:p>
      <w:pPr>
        <w:autoSpaceDE w:val="0"/>
        <w:autoSpaceDN w:val="0"/>
        <w:adjustRightInd w:val="0"/>
        <w:spacing w:line="360" w:lineRule="auto"/>
        <w:ind w:firstLine="697"/>
        <w:jc w:val="left"/>
        <w:rPr>
          <w:rFonts w:ascii="宋体" w:hAnsi="宋体"/>
          <w:kern w:val="0"/>
          <w:sz w:val="24"/>
        </w:rPr>
      </w:pPr>
      <w:r>
        <w:rPr>
          <w:rFonts w:hint="eastAsia" w:ascii="宋体" w:hAnsi="宋体"/>
          <w:kern w:val="0"/>
          <w:sz w:val="24"/>
        </w:rPr>
        <w:t>竞标人（盖章）：</w:t>
      </w:r>
    </w:p>
    <w:p>
      <w:pPr>
        <w:autoSpaceDE w:val="0"/>
        <w:autoSpaceDN w:val="0"/>
        <w:adjustRightInd w:val="0"/>
        <w:spacing w:line="360" w:lineRule="auto"/>
        <w:ind w:firstLine="697"/>
        <w:jc w:val="left"/>
        <w:rPr>
          <w:rFonts w:ascii="宋体" w:hAnsi="宋体"/>
          <w:kern w:val="0"/>
          <w:sz w:val="24"/>
        </w:rPr>
      </w:pPr>
      <w:r>
        <w:rPr>
          <w:rFonts w:hint="eastAsia" w:ascii="宋体" w:hAnsi="宋体"/>
          <w:kern w:val="0"/>
          <w:sz w:val="24"/>
        </w:rPr>
        <w:t xml:space="preserve">法定代表人或其委托代理人（签字）：        </w:t>
      </w:r>
    </w:p>
    <w:p>
      <w:pPr>
        <w:autoSpaceDE w:val="0"/>
        <w:autoSpaceDN w:val="0"/>
        <w:adjustRightInd w:val="0"/>
        <w:spacing w:line="360" w:lineRule="auto"/>
        <w:ind w:firstLine="697"/>
        <w:jc w:val="left"/>
        <w:rPr>
          <w:rFonts w:ascii="宋体" w:hAnsi="宋体"/>
          <w:kern w:val="0"/>
          <w:sz w:val="24"/>
        </w:rPr>
      </w:pPr>
      <w:r>
        <w:rPr>
          <w:rFonts w:hint="eastAsia" w:ascii="宋体" w:hAnsi="宋体"/>
          <w:kern w:val="0"/>
          <w:sz w:val="24"/>
        </w:rPr>
        <w:t>日期：</w:t>
      </w:r>
    </w:p>
    <w:p>
      <w:pPr>
        <w:adjustRightInd w:val="0"/>
        <w:snapToGrid w:val="0"/>
        <w:spacing w:line="440" w:lineRule="exact"/>
        <w:ind w:firstLine="480" w:firstLineChars="200"/>
        <w:rPr>
          <w:rFonts w:ascii="宋体" w:hAnsi="宋体"/>
          <w:sz w:val="24"/>
        </w:rPr>
      </w:pPr>
    </w:p>
    <w:p>
      <w:pPr>
        <w:autoSpaceDE w:val="0"/>
        <w:autoSpaceDN w:val="0"/>
        <w:adjustRightInd w:val="0"/>
        <w:spacing w:line="360" w:lineRule="auto"/>
        <w:ind w:firstLine="697"/>
        <w:jc w:val="left"/>
        <w:rPr>
          <w:rFonts w:ascii="宋体" w:hAnsi="宋体"/>
          <w:kern w:val="0"/>
          <w:sz w:val="24"/>
        </w:rPr>
      </w:pPr>
    </w:p>
    <w:p>
      <w:pPr>
        <w:numPr>
          <w:ilvl w:val="0"/>
          <w:numId w:val="30"/>
        </w:numPr>
        <w:autoSpaceDE w:val="0"/>
        <w:autoSpaceDN w:val="0"/>
        <w:adjustRightInd w:val="0"/>
        <w:spacing w:line="360" w:lineRule="auto"/>
        <w:outlineLvl w:val="2"/>
        <w:rPr>
          <w:rFonts w:ascii="宋体" w:hAnsi="宋体"/>
          <w:bCs/>
          <w:sz w:val="24"/>
        </w:rPr>
      </w:pPr>
      <w:r>
        <w:rPr>
          <w:rFonts w:ascii="宋体" w:hAnsi="宋体"/>
          <w:b/>
          <w:bCs/>
          <w:sz w:val="24"/>
        </w:rPr>
        <w:br w:type="page"/>
      </w:r>
      <w:bookmarkStart w:id="49" w:name="_Toc40954372"/>
      <w:bookmarkStart w:id="50" w:name="_Toc114375858"/>
      <w:bookmarkStart w:id="51" w:name="_Toc78098329"/>
      <w:bookmarkStart w:id="52" w:name="_Toc114916888"/>
      <w:bookmarkStart w:id="53" w:name="_Toc114887895"/>
      <w:bookmarkStart w:id="54" w:name="_Toc114376992"/>
      <w:bookmarkStart w:id="55" w:name="_Toc114371668"/>
      <w:bookmarkStart w:id="56" w:name="_Toc114371517"/>
      <w:bookmarkStart w:id="57" w:name="_Toc114916949"/>
      <w:bookmarkStart w:id="58" w:name="_Toc112752889"/>
      <w:bookmarkStart w:id="59" w:name="_Toc164767935"/>
      <w:r>
        <w:rPr>
          <w:rFonts w:hint="eastAsia" w:ascii="宋体" w:hAnsi="宋体"/>
          <w:bCs/>
          <w:sz w:val="24"/>
        </w:rPr>
        <w:t>法定代表人授权书</w:t>
      </w:r>
      <w:bookmarkEnd w:id="49"/>
    </w:p>
    <w:p>
      <w:pPr>
        <w:rPr>
          <w:rFonts w:ascii="宋体" w:hAnsi="宋体"/>
          <w:kern w:val="0"/>
          <w:szCs w:val="21"/>
        </w:rPr>
      </w:pPr>
    </w:p>
    <w:p>
      <w:pPr>
        <w:rPr>
          <w:rFonts w:ascii="宋体" w:hAnsi="宋体"/>
          <w:bCs/>
          <w:szCs w:val="21"/>
          <w:u w:val="single"/>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w:t>
      </w:r>
    </w:p>
    <w:p>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兹授权</w:t>
      </w:r>
      <w:r>
        <w:rPr>
          <w:rFonts w:hint="eastAsia" w:ascii="宋体" w:hAnsi="宋体"/>
          <w:kern w:val="0"/>
          <w:szCs w:val="21"/>
          <w:u w:val="single"/>
        </w:rPr>
        <w:t xml:space="preserve">　　　   </w:t>
      </w:r>
      <w:r>
        <w:rPr>
          <w:rFonts w:hint="eastAsia" w:ascii="宋体" w:hAnsi="宋体"/>
          <w:kern w:val="0"/>
          <w:szCs w:val="21"/>
        </w:rPr>
        <w:t>同志为我公司参加贵单位组织的</w:t>
      </w:r>
      <w:r>
        <w:rPr>
          <w:rFonts w:hint="eastAsia" w:ascii="宋体" w:hAnsi="宋体"/>
          <w:kern w:val="0"/>
          <w:szCs w:val="21"/>
          <w:u w:val="single"/>
        </w:rPr>
        <w:t>（项目名称）</w:t>
      </w:r>
      <w:r>
        <w:rPr>
          <w:rFonts w:hint="eastAsia" w:ascii="宋体" w:hAnsi="宋体"/>
          <w:kern w:val="0"/>
          <w:szCs w:val="21"/>
        </w:rPr>
        <w:t xml:space="preserve">  采购活动的竞标代表人，全权代表我公司处理在该项目采购活动中的一切事宜。代理期限从</w:t>
      </w: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日起至</w:t>
      </w: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日止。</w:t>
      </w:r>
    </w:p>
    <w:p>
      <w:pPr>
        <w:autoSpaceDE w:val="0"/>
        <w:autoSpaceDN w:val="0"/>
        <w:adjustRightInd w:val="0"/>
        <w:spacing w:line="360" w:lineRule="auto"/>
        <w:ind w:firstLine="697"/>
        <w:jc w:val="left"/>
        <w:rPr>
          <w:rFonts w:ascii="宋体" w:hAnsi="宋体"/>
          <w:kern w:val="0"/>
          <w:szCs w:val="21"/>
        </w:rPr>
      </w:pPr>
    </w:p>
    <w:p>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授权单位（签章）：</w:t>
      </w:r>
      <w:r>
        <w:rPr>
          <w:rFonts w:hint="eastAsia" w:ascii="宋体" w:hAnsi="宋体"/>
          <w:kern w:val="0"/>
          <w:szCs w:val="21"/>
          <w:u w:val="single"/>
        </w:rPr>
        <w:t xml:space="preserve">                     </w:t>
      </w:r>
      <w:r>
        <w:rPr>
          <w:rFonts w:hint="eastAsia" w:ascii="宋体" w:hAnsi="宋体"/>
          <w:kern w:val="0"/>
          <w:szCs w:val="21"/>
        </w:rPr>
        <w:t xml:space="preserve"> </w:t>
      </w:r>
    </w:p>
    <w:p>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法定代表人（签字或盖章）：</w:t>
      </w:r>
      <w:r>
        <w:rPr>
          <w:rFonts w:hint="eastAsia" w:ascii="宋体" w:hAnsi="宋体"/>
          <w:kern w:val="0"/>
          <w:szCs w:val="21"/>
          <w:u w:val="single"/>
        </w:rPr>
        <w:t xml:space="preserve">             </w:t>
      </w:r>
      <w:r>
        <w:rPr>
          <w:rFonts w:hint="eastAsia" w:ascii="宋体" w:hAnsi="宋体"/>
          <w:kern w:val="0"/>
          <w:szCs w:val="21"/>
        </w:rPr>
        <w:t xml:space="preserve"> </w:t>
      </w:r>
    </w:p>
    <w:p>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签发日期：</w:t>
      </w: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 xml:space="preserve">日         </w:t>
      </w:r>
    </w:p>
    <w:p>
      <w:pPr>
        <w:autoSpaceDE w:val="0"/>
        <w:autoSpaceDN w:val="0"/>
        <w:adjustRightInd w:val="0"/>
        <w:spacing w:line="360" w:lineRule="auto"/>
        <w:ind w:firstLine="697"/>
        <w:jc w:val="left"/>
        <w:rPr>
          <w:rFonts w:ascii="宋体" w:hAnsi="宋体"/>
          <w:kern w:val="0"/>
          <w:szCs w:val="21"/>
        </w:rPr>
      </w:pPr>
    </w:p>
    <w:p>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附：</w:t>
      </w:r>
    </w:p>
    <w:p>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代理人工作单位：</w:t>
      </w:r>
      <w:r>
        <w:rPr>
          <w:rFonts w:hint="eastAsia" w:ascii="宋体" w:hAnsi="宋体"/>
          <w:kern w:val="0"/>
          <w:szCs w:val="21"/>
          <w:u w:val="single"/>
        </w:rPr>
        <w:t xml:space="preserve">                                </w:t>
      </w:r>
    </w:p>
    <w:p>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职务：</w:t>
      </w:r>
      <w:r>
        <w:rPr>
          <w:rFonts w:hint="eastAsia" w:ascii="宋体" w:hAnsi="宋体"/>
          <w:kern w:val="0"/>
          <w:szCs w:val="21"/>
          <w:u w:val="single"/>
        </w:rPr>
        <w:t xml:space="preserve">                              </w:t>
      </w:r>
      <w:r>
        <w:rPr>
          <w:rFonts w:hint="eastAsia" w:ascii="宋体" w:hAnsi="宋体"/>
          <w:kern w:val="0"/>
          <w:szCs w:val="21"/>
        </w:rPr>
        <w:t>性别：</w:t>
      </w:r>
      <w:r>
        <w:rPr>
          <w:rFonts w:hint="eastAsia" w:ascii="宋体" w:hAnsi="宋体"/>
          <w:kern w:val="0"/>
          <w:szCs w:val="21"/>
          <w:u w:val="single"/>
        </w:rPr>
        <w:t xml:space="preserve">      </w:t>
      </w:r>
      <w:r>
        <w:rPr>
          <w:rFonts w:hint="eastAsia" w:ascii="宋体" w:hAnsi="宋体"/>
          <w:kern w:val="0"/>
          <w:szCs w:val="21"/>
        </w:rPr>
        <w:t xml:space="preserve">  </w:t>
      </w:r>
    </w:p>
    <w:p>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身份证号码：</w:t>
      </w:r>
      <w:r>
        <w:rPr>
          <w:rFonts w:hint="eastAsia" w:ascii="宋体" w:hAnsi="宋体"/>
          <w:kern w:val="0"/>
          <w:szCs w:val="21"/>
          <w:u w:val="single"/>
        </w:rPr>
        <w:t xml:space="preserve">                                    </w:t>
      </w:r>
    </w:p>
    <w:tbl>
      <w:tblPr>
        <w:tblStyle w:val="5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4" w:hRule="atLeast"/>
        </w:trPr>
        <w:tc>
          <w:tcPr>
            <w:tcW w:w="8414" w:type="dxa"/>
          </w:tcPr>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r>
              <w:rPr>
                <w:rFonts w:hint="eastAsia" w:ascii="宋体" w:hAnsi="宋体"/>
                <w:kern w:val="0"/>
                <w:szCs w:val="21"/>
              </w:rPr>
              <w:t>粘贴被授权人身份证（复印件）：</w:t>
            </w:r>
          </w:p>
        </w:tc>
      </w:tr>
    </w:tbl>
    <w:p>
      <w:pPr>
        <w:autoSpaceDE w:val="0"/>
        <w:autoSpaceDN w:val="0"/>
        <w:adjustRightInd w:val="0"/>
        <w:spacing w:line="360" w:lineRule="auto"/>
        <w:jc w:val="left"/>
        <w:rPr>
          <w:rFonts w:ascii="宋体" w:hAnsi="宋体"/>
          <w:kern w:val="0"/>
          <w:szCs w:val="21"/>
        </w:rPr>
      </w:pPr>
    </w:p>
    <w:p>
      <w:pPr>
        <w:rPr>
          <w:rFonts w:ascii="宋体" w:hAnsi="宋体"/>
          <w:kern w:val="0"/>
          <w:szCs w:val="21"/>
        </w:rPr>
      </w:pPr>
    </w:p>
    <w:p/>
    <w:p/>
    <w:p/>
    <w:p>
      <w:pPr>
        <w:pStyle w:val="2"/>
      </w:pPr>
    </w:p>
    <w:p/>
    <w:p/>
    <w:p>
      <w:pPr>
        <w:autoSpaceDE w:val="0"/>
        <w:autoSpaceDN w:val="0"/>
        <w:adjustRightInd w:val="0"/>
        <w:spacing w:line="360" w:lineRule="auto"/>
        <w:outlineLvl w:val="2"/>
        <w:rPr>
          <w:rFonts w:ascii="宋体" w:hAnsi="宋体"/>
          <w:sz w:val="24"/>
        </w:rPr>
      </w:pPr>
      <w:bookmarkStart w:id="60" w:name="_Toc40954373"/>
      <w:r>
        <w:rPr>
          <w:rFonts w:hint="eastAsia"/>
          <w:sz w:val="24"/>
        </w:rPr>
        <w:t>附件四：</w:t>
      </w:r>
      <w:bookmarkStart w:id="61" w:name="_Toc23248"/>
      <w:r>
        <w:rPr>
          <w:rFonts w:hint="eastAsia" w:ascii="宋体" w:hAnsi="宋体"/>
          <w:sz w:val="24"/>
        </w:rPr>
        <w:t>拟投入本项目的人员一览表</w:t>
      </w:r>
      <w:bookmarkEnd w:id="60"/>
      <w:bookmarkEnd w:id="61"/>
    </w:p>
    <w:p>
      <w:pPr>
        <w:adjustRightInd w:val="0"/>
        <w:snapToGrid w:val="0"/>
        <w:rPr>
          <w:rFonts w:ascii="宋体" w:hAnsi="宋体"/>
          <w:szCs w:val="21"/>
        </w:rPr>
      </w:pPr>
    </w:p>
    <w:p>
      <w:pPr>
        <w:adjustRightInd w:val="0"/>
        <w:snapToGrid w:val="0"/>
        <w:rPr>
          <w:rFonts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 xml:space="preserve"> </w:t>
      </w:r>
    </w:p>
    <w:p>
      <w:pPr>
        <w:spacing w:line="400" w:lineRule="exact"/>
        <w:rPr>
          <w:rFonts w:ascii="宋体" w:hAnsi="宋体"/>
          <w:szCs w:val="21"/>
        </w:rPr>
      </w:pPr>
      <w:r>
        <w:rPr>
          <w:rFonts w:hint="eastAsia" w:ascii="宋体" w:hAnsi="宋体"/>
          <w:sz w:val="24"/>
        </w:rPr>
        <w:t>采购编号：</w:t>
      </w:r>
      <w:r>
        <w:rPr>
          <w:rFonts w:hint="eastAsia" w:ascii="宋体" w:hAnsi="宋体"/>
          <w:sz w:val="24"/>
          <w:u w:val="single"/>
        </w:rPr>
        <w:t xml:space="preserve">       </w:t>
      </w:r>
      <w:r>
        <w:rPr>
          <w:rFonts w:hint="eastAsia" w:ascii="宋体" w:hAnsi="宋体"/>
          <w:szCs w:val="21"/>
          <w:u w:val="single"/>
        </w:rPr>
        <w:t xml:space="preserve">                 </w:t>
      </w:r>
      <w:r>
        <w:rPr>
          <w:rFonts w:hint="eastAsia" w:ascii="宋体" w:hAnsi="宋体"/>
          <w:szCs w:val="21"/>
        </w:rPr>
        <w:t xml:space="preserve">                         </w:t>
      </w:r>
    </w:p>
    <w:tbl>
      <w:tblPr>
        <w:tblStyle w:val="52"/>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992"/>
        <w:gridCol w:w="851"/>
        <w:gridCol w:w="992"/>
        <w:gridCol w:w="1417"/>
        <w:gridCol w:w="214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64" w:type="dxa"/>
            <w:vMerge w:val="restart"/>
            <w:vAlign w:val="center"/>
          </w:tcPr>
          <w:p>
            <w:pPr>
              <w:spacing w:line="360" w:lineRule="auto"/>
              <w:jc w:val="center"/>
              <w:rPr>
                <w:rFonts w:ascii="宋体" w:hAnsi="宋体"/>
                <w:sz w:val="24"/>
              </w:rPr>
            </w:pPr>
            <w:r>
              <w:rPr>
                <w:rFonts w:hint="eastAsia" w:ascii="宋体" w:hAnsi="宋体"/>
                <w:sz w:val="24"/>
              </w:rPr>
              <w:t>姓名</w:t>
            </w:r>
          </w:p>
        </w:tc>
        <w:tc>
          <w:tcPr>
            <w:tcW w:w="992" w:type="dxa"/>
            <w:vMerge w:val="restart"/>
            <w:vAlign w:val="center"/>
          </w:tcPr>
          <w:p>
            <w:pPr>
              <w:spacing w:line="360" w:lineRule="auto"/>
              <w:jc w:val="center"/>
              <w:rPr>
                <w:rFonts w:ascii="宋体" w:hAnsi="宋体"/>
                <w:sz w:val="24"/>
              </w:rPr>
            </w:pPr>
            <w:r>
              <w:rPr>
                <w:rFonts w:hint="eastAsia" w:ascii="宋体" w:hAnsi="宋体"/>
                <w:sz w:val="24"/>
              </w:rPr>
              <w:t>性别</w:t>
            </w:r>
          </w:p>
        </w:tc>
        <w:tc>
          <w:tcPr>
            <w:tcW w:w="851" w:type="dxa"/>
            <w:vMerge w:val="restart"/>
            <w:vAlign w:val="center"/>
          </w:tcPr>
          <w:p>
            <w:pPr>
              <w:spacing w:line="360" w:lineRule="auto"/>
              <w:jc w:val="center"/>
              <w:rPr>
                <w:rFonts w:ascii="宋体" w:hAnsi="宋体"/>
                <w:sz w:val="24"/>
              </w:rPr>
            </w:pPr>
            <w:r>
              <w:rPr>
                <w:rFonts w:hint="eastAsia" w:ascii="宋体" w:hAnsi="宋体"/>
                <w:sz w:val="24"/>
              </w:rPr>
              <w:t>年龄</w:t>
            </w:r>
          </w:p>
        </w:tc>
        <w:tc>
          <w:tcPr>
            <w:tcW w:w="992" w:type="dxa"/>
            <w:vMerge w:val="restart"/>
            <w:vAlign w:val="center"/>
          </w:tcPr>
          <w:p>
            <w:pPr>
              <w:spacing w:line="360" w:lineRule="auto"/>
              <w:jc w:val="center"/>
              <w:rPr>
                <w:rFonts w:ascii="宋体" w:hAnsi="宋体"/>
                <w:sz w:val="24"/>
              </w:rPr>
            </w:pPr>
            <w:r>
              <w:rPr>
                <w:rFonts w:hint="eastAsia" w:ascii="宋体" w:hAnsi="宋体"/>
                <w:sz w:val="24"/>
              </w:rPr>
              <w:t>专业</w:t>
            </w:r>
          </w:p>
        </w:tc>
        <w:tc>
          <w:tcPr>
            <w:tcW w:w="1417" w:type="dxa"/>
            <w:vMerge w:val="restart"/>
            <w:vAlign w:val="center"/>
          </w:tcPr>
          <w:p>
            <w:pPr>
              <w:spacing w:line="360" w:lineRule="auto"/>
              <w:jc w:val="center"/>
              <w:rPr>
                <w:rFonts w:ascii="宋体" w:hAnsi="宋体"/>
                <w:sz w:val="24"/>
              </w:rPr>
            </w:pPr>
            <w:r>
              <w:rPr>
                <w:rFonts w:hint="eastAsia" w:ascii="宋体" w:hAnsi="宋体"/>
                <w:sz w:val="24"/>
              </w:rPr>
              <w:t>资质证书</w:t>
            </w:r>
          </w:p>
        </w:tc>
        <w:tc>
          <w:tcPr>
            <w:tcW w:w="3768" w:type="dxa"/>
            <w:gridSpan w:val="2"/>
            <w:vAlign w:val="center"/>
          </w:tcPr>
          <w:p>
            <w:pPr>
              <w:spacing w:line="360" w:lineRule="auto"/>
              <w:jc w:val="center"/>
              <w:rPr>
                <w:rFonts w:ascii="宋体" w:hAnsi="宋体"/>
                <w:sz w:val="24"/>
              </w:rPr>
            </w:pPr>
            <w:r>
              <w:rPr>
                <w:rFonts w:hint="eastAsia" w:ascii="宋体" w:hAnsi="宋体"/>
                <w:sz w:val="24"/>
              </w:rPr>
              <w:t>类似业绩经验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64" w:type="dxa"/>
            <w:vMerge w:val="continue"/>
            <w:vAlign w:val="center"/>
          </w:tcPr>
          <w:p>
            <w:pPr>
              <w:spacing w:line="360" w:lineRule="auto"/>
              <w:jc w:val="center"/>
              <w:rPr>
                <w:rFonts w:ascii="宋体" w:hAnsi="宋体"/>
                <w:sz w:val="24"/>
              </w:rPr>
            </w:pPr>
          </w:p>
        </w:tc>
        <w:tc>
          <w:tcPr>
            <w:tcW w:w="992" w:type="dxa"/>
            <w:vMerge w:val="continue"/>
            <w:vAlign w:val="center"/>
          </w:tcPr>
          <w:p>
            <w:pPr>
              <w:spacing w:line="360" w:lineRule="auto"/>
              <w:jc w:val="center"/>
              <w:rPr>
                <w:rFonts w:ascii="宋体" w:hAnsi="宋体"/>
                <w:sz w:val="24"/>
              </w:rPr>
            </w:pPr>
          </w:p>
        </w:tc>
        <w:tc>
          <w:tcPr>
            <w:tcW w:w="851" w:type="dxa"/>
            <w:vMerge w:val="continue"/>
            <w:vAlign w:val="center"/>
          </w:tcPr>
          <w:p>
            <w:pPr>
              <w:spacing w:line="360" w:lineRule="auto"/>
              <w:jc w:val="center"/>
              <w:rPr>
                <w:rFonts w:ascii="宋体" w:hAnsi="宋体"/>
                <w:sz w:val="24"/>
              </w:rPr>
            </w:pPr>
          </w:p>
        </w:tc>
        <w:tc>
          <w:tcPr>
            <w:tcW w:w="992" w:type="dxa"/>
            <w:vMerge w:val="continue"/>
            <w:vAlign w:val="center"/>
          </w:tcPr>
          <w:p>
            <w:pPr>
              <w:spacing w:line="360" w:lineRule="auto"/>
              <w:jc w:val="center"/>
              <w:rPr>
                <w:rFonts w:ascii="宋体" w:hAnsi="宋体"/>
                <w:sz w:val="24"/>
              </w:rPr>
            </w:pPr>
          </w:p>
        </w:tc>
        <w:tc>
          <w:tcPr>
            <w:tcW w:w="1417" w:type="dxa"/>
            <w:vMerge w:val="continue"/>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r>
              <w:rPr>
                <w:rFonts w:hint="eastAsia" w:ascii="宋体" w:hAnsi="宋体"/>
                <w:sz w:val="24"/>
              </w:rPr>
              <w:t>项目名称</w:t>
            </w:r>
          </w:p>
        </w:tc>
        <w:tc>
          <w:tcPr>
            <w:tcW w:w="1620" w:type="dxa"/>
            <w:vAlign w:val="center"/>
          </w:tcPr>
          <w:p>
            <w:pPr>
              <w:spacing w:line="360" w:lineRule="auto"/>
              <w:jc w:val="center"/>
              <w:rPr>
                <w:rFonts w:ascii="宋体" w:hAnsi="宋体"/>
                <w:sz w:val="24"/>
              </w:rPr>
            </w:pPr>
            <w:r>
              <w:rPr>
                <w:rFonts w:hint="eastAsia" w:ascii="宋体" w:hAnsi="宋体"/>
                <w:sz w:val="24"/>
              </w:rPr>
              <w:t>负责内容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851" w:type="dxa"/>
            <w:vAlign w:val="center"/>
          </w:tcPr>
          <w:p>
            <w:pPr>
              <w:spacing w:line="360" w:lineRule="auto"/>
              <w:jc w:val="center"/>
              <w:rPr>
                <w:rFonts w:ascii="宋体" w:hAnsi="宋体"/>
                <w:sz w:val="24"/>
              </w:rPr>
            </w:pPr>
          </w:p>
        </w:tc>
        <w:tc>
          <w:tcPr>
            <w:tcW w:w="992" w:type="dxa"/>
            <w:vAlign w:val="center"/>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c>
          <w:tcPr>
            <w:tcW w:w="2148" w:type="dxa"/>
            <w:vAlign w:val="center"/>
          </w:tcPr>
          <w:p>
            <w:pPr>
              <w:spacing w:line="360" w:lineRule="auto"/>
              <w:jc w:val="center"/>
              <w:rPr>
                <w:rFonts w:ascii="宋体" w:hAnsi="宋体"/>
                <w:sz w:val="24"/>
              </w:rPr>
            </w:pPr>
          </w:p>
        </w:tc>
        <w:tc>
          <w:tcPr>
            <w:tcW w:w="1620" w:type="dxa"/>
          </w:tcPr>
          <w:p>
            <w:pPr>
              <w:spacing w:line="360" w:lineRule="auto"/>
              <w:rPr>
                <w:rFonts w:ascii="宋体" w:hAnsi="宋体"/>
                <w:sz w:val="24"/>
              </w:rPr>
            </w:pPr>
          </w:p>
        </w:tc>
      </w:tr>
    </w:tbl>
    <w:p>
      <w:pPr>
        <w:spacing w:line="400" w:lineRule="exact"/>
        <w:rPr>
          <w:rFonts w:ascii="宋体" w:hAnsi="宋体"/>
          <w:szCs w:val="21"/>
        </w:rPr>
      </w:pP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供应商法定代表人或委托代理人签字：________________________</w:t>
      </w:r>
    </w:p>
    <w:p>
      <w:pPr>
        <w:spacing w:line="400" w:lineRule="exact"/>
        <w:rPr>
          <w:rFonts w:ascii="宋体" w:hAnsi="宋体"/>
          <w:sz w:val="24"/>
        </w:rPr>
      </w:pPr>
      <w:r>
        <w:rPr>
          <w:rFonts w:hint="eastAsia" w:ascii="宋体" w:hAnsi="宋体"/>
          <w:sz w:val="24"/>
        </w:rPr>
        <w:t>供 应 商 名 称（签章）：________________________</w:t>
      </w:r>
    </w:p>
    <w:p>
      <w:pPr>
        <w:spacing w:line="400" w:lineRule="exact"/>
        <w:rPr>
          <w:rFonts w:ascii="宋体" w:hAnsi="宋体"/>
          <w:sz w:val="24"/>
        </w:rPr>
      </w:pPr>
      <w:r>
        <w:rPr>
          <w:rFonts w:hint="eastAsia" w:ascii="宋体" w:hAnsi="宋体"/>
          <w:sz w:val="24"/>
        </w:rPr>
        <w:t xml:space="preserve">时  间：_____年_____月_____日 </w:t>
      </w:r>
    </w:p>
    <w:p>
      <w:pPr>
        <w:spacing w:line="400" w:lineRule="exact"/>
        <w:rPr>
          <w:rFonts w:ascii="宋体" w:hAnsi="宋体"/>
          <w:szCs w:val="21"/>
        </w:rPr>
      </w:pPr>
    </w:p>
    <w:p>
      <w:pPr>
        <w:pStyle w:val="2"/>
      </w:pPr>
    </w:p>
    <w:p>
      <w:pPr>
        <w:adjustRightInd w:val="0"/>
        <w:snapToGrid w:val="0"/>
        <w:rPr>
          <w:rFonts w:ascii="宋体" w:hAnsi="宋体"/>
          <w:bCs/>
          <w:sz w:val="24"/>
        </w:rPr>
      </w:pPr>
      <w:r>
        <w:br w:type="page"/>
      </w:r>
      <w:bookmarkEnd w:id="50"/>
      <w:bookmarkEnd w:id="51"/>
      <w:bookmarkEnd w:id="52"/>
      <w:bookmarkEnd w:id="53"/>
      <w:bookmarkEnd w:id="54"/>
      <w:bookmarkEnd w:id="55"/>
      <w:bookmarkEnd w:id="56"/>
      <w:bookmarkEnd w:id="57"/>
      <w:bookmarkEnd w:id="58"/>
      <w:bookmarkEnd w:id="59"/>
      <w:bookmarkStart w:id="62" w:name="_Toc389664114"/>
      <w:r>
        <w:rPr>
          <w:rFonts w:hint="eastAsia" w:ascii="宋体" w:hAnsi="宋体"/>
          <w:bCs/>
          <w:sz w:val="24"/>
        </w:rPr>
        <w:t>其他</w:t>
      </w:r>
    </w:p>
    <w:bookmarkEnd w:id="62"/>
    <w:p>
      <w:pPr>
        <w:numPr>
          <w:ilvl w:val="0"/>
          <w:numId w:val="33"/>
        </w:numPr>
        <w:spacing w:line="360" w:lineRule="auto"/>
        <w:rPr>
          <w:rFonts w:ascii="宋体" w:hAnsi="宋体"/>
          <w:szCs w:val="21"/>
        </w:rPr>
      </w:pPr>
      <w:r>
        <w:rPr>
          <w:rFonts w:hint="eastAsia" w:ascii="宋体" w:hAnsi="宋体"/>
          <w:szCs w:val="21"/>
        </w:rPr>
        <w:t>企业简介；</w:t>
      </w:r>
    </w:p>
    <w:p>
      <w:pPr>
        <w:numPr>
          <w:ilvl w:val="0"/>
          <w:numId w:val="33"/>
        </w:numPr>
        <w:spacing w:line="360" w:lineRule="auto"/>
        <w:rPr>
          <w:rFonts w:ascii="宋体" w:hAnsi="宋体"/>
          <w:szCs w:val="21"/>
        </w:rPr>
      </w:pPr>
      <w:r>
        <w:rPr>
          <w:rFonts w:hint="eastAsia" w:ascii="宋体" w:hAnsi="宋体"/>
          <w:szCs w:val="21"/>
        </w:rPr>
        <w:t>企业营业执照副本复印件加盖公章；</w:t>
      </w:r>
    </w:p>
    <w:p>
      <w:pPr>
        <w:numPr>
          <w:ilvl w:val="0"/>
          <w:numId w:val="33"/>
        </w:numPr>
        <w:spacing w:line="360" w:lineRule="auto"/>
        <w:rPr>
          <w:rFonts w:ascii="宋体" w:hAnsi="宋体"/>
          <w:szCs w:val="21"/>
        </w:rPr>
      </w:pPr>
      <w:r>
        <w:rPr>
          <w:rFonts w:hint="eastAsia" w:ascii="宋体" w:hAnsi="宋体"/>
          <w:szCs w:val="21"/>
        </w:rPr>
        <w:t>税务登记证副本复印件加盖公章；</w:t>
      </w:r>
    </w:p>
    <w:p>
      <w:pPr>
        <w:numPr>
          <w:ilvl w:val="0"/>
          <w:numId w:val="33"/>
        </w:numPr>
        <w:spacing w:line="360" w:lineRule="auto"/>
        <w:rPr>
          <w:rFonts w:ascii="宋体" w:hAnsi="宋体"/>
          <w:szCs w:val="21"/>
        </w:rPr>
      </w:pPr>
      <w:r>
        <w:rPr>
          <w:rFonts w:hint="eastAsia" w:ascii="宋体" w:hAnsi="宋体"/>
          <w:szCs w:val="21"/>
        </w:rPr>
        <w:t>组织机构代码证副本复印件加盖公章；</w:t>
      </w:r>
    </w:p>
    <w:p>
      <w:pPr>
        <w:numPr>
          <w:ilvl w:val="0"/>
          <w:numId w:val="33"/>
        </w:numPr>
        <w:tabs>
          <w:tab w:val="left" w:pos="420"/>
        </w:tabs>
        <w:spacing w:line="360" w:lineRule="auto"/>
        <w:rPr>
          <w:rFonts w:ascii="宋体" w:hAnsi="宋体"/>
          <w:szCs w:val="21"/>
        </w:rPr>
      </w:pPr>
      <w:r>
        <w:rPr>
          <w:rFonts w:hint="eastAsia" w:ascii="宋体" w:hAnsi="宋体"/>
          <w:szCs w:val="21"/>
        </w:rPr>
        <w:t>近三年类似</w:t>
      </w:r>
      <w:bookmarkStart w:id="63" w:name="_Toc182882473"/>
      <w:bookmarkStart w:id="64" w:name="_Toc182882419"/>
      <w:r>
        <w:rPr>
          <w:rFonts w:hint="eastAsia" w:ascii="宋体" w:hAnsi="宋体"/>
          <w:szCs w:val="21"/>
        </w:rPr>
        <w:t>业绩表；</w:t>
      </w:r>
    </w:p>
    <w:p>
      <w:pPr>
        <w:numPr>
          <w:ilvl w:val="0"/>
          <w:numId w:val="33"/>
        </w:numPr>
        <w:tabs>
          <w:tab w:val="left" w:pos="420"/>
        </w:tabs>
        <w:spacing w:line="360" w:lineRule="auto"/>
        <w:rPr>
          <w:rFonts w:ascii="宋体" w:hAnsi="宋体"/>
          <w:szCs w:val="21"/>
        </w:rPr>
      </w:pPr>
      <w:r>
        <w:rPr>
          <w:rFonts w:hint="eastAsia" w:ascii="宋体" w:hAnsi="宋体"/>
          <w:szCs w:val="21"/>
        </w:rPr>
        <w:t>竞标人认为需要提供的其他文件。</w:t>
      </w:r>
    </w:p>
    <w:p>
      <w:pPr>
        <w:autoSpaceDE w:val="0"/>
        <w:autoSpaceDN w:val="0"/>
        <w:adjustRightInd w:val="0"/>
        <w:spacing w:line="360" w:lineRule="auto"/>
        <w:outlineLvl w:val="2"/>
      </w:pPr>
      <w:bookmarkStart w:id="65" w:name="_Toc405295337"/>
      <w:bookmarkStart w:id="66" w:name="_Toc433890486"/>
      <w:bookmarkStart w:id="67" w:name="_Toc40954374"/>
      <w:r>
        <w:rPr>
          <w:rFonts w:hint="eastAsia"/>
        </w:rPr>
        <w:t>二、投标技术文件</w:t>
      </w:r>
      <w:bookmarkEnd w:id="63"/>
      <w:bookmarkEnd w:id="64"/>
      <w:bookmarkEnd w:id="65"/>
      <w:bookmarkEnd w:id="66"/>
      <w:bookmarkEnd w:id="67"/>
    </w:p>
    <w:p>
      <w:pPr>
        <w:numPr>
          <w:ilvl w:val="0"/>
          <w:numId w:val="34"/>
        </w:numPr>
        <w:spacing w:line="360" w:lineRule="auto"/>
        <w:rPr>
          <w:rFonts w:ascii="宋体" w:hAnsi="宋体"/>
          <w:szCs w:val="21"/>
        </w:rPr>
      </w:pPr>
      <w:r>
        <w:rPr>
          <w:rFonts w:hint="eastAsia" w:ascii="宋体" w:hAnsi="宋体"/>
          <w:szCs w:val="21"/>
        </w:rPr>
        <w:t>服务方案及技术；</w:t>
      </w:r>
    </w:p>
    <w:p>
      <w:pPr>
        <w:numPr>
          <w:ilvl w:val="0"/>
          <w:numId w:val="34"/>
        </w:numPr>
        <w:spacing w:line="360" w:lineRule="auto"/>
        <w:rPr>
          <w:rFonts w:ascii="宋体" w:hAnsi="宋体"/>
          <w:szCs w:val="21"/>
        </w:rPr>
      </w:pPr>
      <w:r>
        <w:rPr>
          <w:rFonts w:hint="eastAsia" w:ascii="宋体" w:hAnsi="宋体"/>
          <w:szCs w:val="21"/>
        </w:rPr>
        <w:t>服务保证措施；</w:t>
      </w:r>
    </w:p>
    <w:p>
      <w:pPr>
        <w:numPr>
          <w:ilvl w:val="0"/>
          <w:numId w:val="34"/>
        </w:numPr>
        <w:spacing w:line="360" w:lineRule="auto"/>
      </w:pPr>
      <w:r>
        <w:rPr>
          <w:rFonts w:hint="eastAsia" w:ascii="宋体" w:hAnsi="宋体"/>
          <w:szCs w:val="21"/>
        </w:rPr>
        <w:t>其他。</w:t>
      </w:r>
    </w:p>
    <w:p>
      <w:pPr>
        <w:autoSpaceDE w:val="0"/>
        <w:autoSpaceDN w:val="0"/>
        <w:adjustRightInd w:val="0"/>
        <w:spacing w:line="360" w:lineRule="auto"/>
        <w:outlineLvl w:val="2"/>
      </w:pPr>
    </w:p>
    <w:p>
      <w:pPr>
        <w:spacing w:line="360" w:lineRule="auto"/>
        <w:rPr>
          <w:sz w:val="24"/>
        </w:rPr>
      </w:pPr>
    </w:p>
    <w:p>
      <w:pPr>
        <w:spacing w:line="360" w:lineRule="auto"/>
        <w:rPr>
          <w:sz w:val="24"/>
        </w:rPr>
      </w:pPr>
    </w:p>
    <w:sectPr>
      <w:footerReference r:id="rId6" w:type="default"/>
      <w:pgSz w:w="11906" w:h="16838"/>
      <w:pgMar w:top="1418" w:right="1474" w:bottom="1418" w:left="1474" w:header="737" w:footer="85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宋体"/>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3"/>
      </w:rPr>
    </w:pPr>
    <w:r>
      <w:fldChar w:fldCharType="begin"/>
    </w:r>
    <w:r>
      <w:rPr>
        <w:rStyle w:val="43"/>
      </w:rPr>
      <w:instrText xml:space="preserve">PAGE  </w:instrText>
    </w:r>
    <w:r>
      <w:fldChar w:fldCharType="separate"/>
    </w:r>
    <w:r>
      <w:rPr>
        <w:rStyle w:val="43"/>
      </w:rPr>
      <w:t>1</w: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2</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chineseCountingThousand"/>
      <w:lvlText w:val="%1、"/>
      <w:lvlJc w:val="left"/>
      <w:pPr>
        <w:tabs>
          <w:tab w:val="left" w:pos="425"/>
        </w:tabs>
        <w:ind w:left="425" w:firstLine="0"/>
      </w:pPr>
      <w:rPr>
        <w:rFonts w:hint="default"/>
      </w:rPr>
    </w:lvl>
    <w:lvl w:ilvl="1" w:tentative="0">
      <w:start w:val="1"/>
      <w:numFmt w:val="japaneseCounting"/>
      <w:lvlText w:val="%2、"/>
      <w:lvlJc w:val="left"/>
      <w:pPr>
        <w:tabs>
          <w:tab w:val="left" w:pos="840"/>
        </w:tabs>
        <w:ind w:left="840" w:hanging="4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6"/>
    <w:multiLevelType w:val="multilevel"/>
    <w:tmpl w:val="00000006"/>
    <w:lvl w:ilvl="0" w:tentative="0">
      <w:start w:val="15"/>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
    <w:nsid w:val="0000000D"/>
    <w:multiLevelType w:val="multilevel"/>
    <w:tmpl w:val="0000000D"/>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723"/>
        </w:tabs>
        <w:ind w:left="723" w:hanging="360"/>
      </w:pPr>
      <w:rPr>
        <w:rFonts w:hint="default"/>
      </w:rPr>
    </w:lvl>
    <w:lvl w:ilvl="2" w:tentative="0">
      <w:start w:val="1"/>
      <w:numFmt w:val="lowerRoman"/>
      <w:lvlText w:val="%3."/>
      <w:lvlJc w:val="right"/>
      <w:pPr>
        <w:tabs>
          <w:tab w:val="left" w:pos="1203"/>
        </w:tabs>
        <w:ind w:left="1203" w:hanging="420"/>
      </w:pPr>
    </w:lvl>
    <w:lvl w:ilvl="3" w:tentative="0">
      <w:start w:val="1"/>
      <w:numFmt w:val="decimal"/>
      <w:lvlText w:val="%4."/>
      <w:lvlJc w:val="left"/>
      <w:pPr>
        <w:tabs>
          <w:tab w:val="left" w:pos="1623"/>
        </w:tabs>
        <w:ind w:left="1623" w:hanging="420"/>
      </w:pPr>
    </w:lvl>
    <w:lvl w:ilvl="4" w:tentative="0">
      <w:start w:val="1"/>
      <w:numFmt w:val="lowerLetter"/>
      <w:lvlText w:val="%5)"/>
      <w:lvlJc w:val="left"/>
      <w:pPr>
        <w:tabs>
          <w:tab w:val="left" w:pos="2043"/>
        </w:tabs>
        <w:ind w:left="2043" w:hanging="420"/>
      </w:pPr>
    </w:lvl>
    <w:lvl w:ilvl="5" w:tentative="0">
      <w:start w:val="1"/>
      <w:numFmt w:val="lowerRoman"/>
      <w:lvlText w:val="%6."/>
      <w:lvlJc w:val="right"/>
      <w:pPr>
        <w:tabs>
          <w:tab w:val="left" w:pos="2463"/>
        </w:tabs>
        <w:ind w:left="2463" w:hanging="420"/>
      </w:pPr>
    </w:lvl>
    <w:lvl w:ilvl="6" w:tentative="0">
      <w:start w:val="1"/>
      <w:numFmt w:val="decimal"/>
      <w:lvlText w:val="%7."/>
      <w:lvlJc w:val="left"/>
      <w:pPr>
        <w:tabs>
          <w:tab w:val="left" w:pos="2883"/>
        </w:tabs>
        <w:ind w:left="2883" w:hanging="420"/>
      </w:pPr>
    </w:lvl>
    <w:lvl w:ilvl="7" w:tentative="0">
      <w:start w:val="1"/>
      <w:numFmt w:val="lowerLetter"/>
      <w:lvlText w:val="%8)"/>
      <w:lvlJc w:val="left"/>
      <w:pPr>
        <w:tabs>
          <w:tab w:val="left" w:pos="3303"/>
        </w:tabs>
        <w:ind w:left="3303" w:hanging="420"/>
      </w:pPr>
    </w:lvl>
    <w:lvl w:ilvl="8" w:tentative="0">
      <w:start w:val="1"/>
      <w:numFmt w:val="lowerRoman"/>
      <w:lvlText w:val="%9."/>
      <w:lvlJc w:val="right"/>
      <w:pPr>
        <w:tabs>
          <w:tab w:val="left" w:pos="3723"/>
        </w:tabs>
        <w:ind w:left="3723" w:hanging="420"/>
      </w:pPr>
    </w:lvl>
  </w:abstractNum>
  <w:abstractNum w:abstractNumId="3">
    <w:nsid w:val="0000000E"/>
    <w:multiLevelType w:val="multilevel"/>
    <w:tmpl w:val="0000000E"/>
    <w:lvl w:ilvl="0" w:tentative="0">
      <w:start w:val="1"/>
      <w:numFmt w:val="chineseCountingThousand"/>
      <w:lvlText w:val="附件%1："/>
      <w:lvlJc w:val="left"/>
      <w:pPr>
        <w:tabs>
          <w:tab w:val="left" w:pos="420"/>
        </w:tabs>
        <w:ind w:left="420" w:hanging="420"/>
      </w:pPr>
      <w:rPr>
        <w:rFonts w:hint="eastAsia"/>
        <w:sz w:val="24"/>
        <w:szCs w:val="24"/>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F"/>
    <w:multiLevelType w:val="multilevel"/>
    <w:tmpl w:val="0000000F"/>
    <w:lvl w:ilvl="0" w:tentative="0">
      <w:start w:val="1"/>
      <w:numFmt w:val="decimal"/>
      <w:lvlText w:val="%1."/>
      <w:lvlJc w:val="left"/>
      <w:pPr>
        <w:tabs>
          <w:tab w:val="left" w:pos="930"/>
        </w:tabs>
        <w:ind w:left="930" w:hanging="36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5">
    <w:nsid w:val="00000012"/>
    <w:multiLevelType w:val="multilevel"/>
    <w:tmpl w:val="00000012"/>
    <w:lvl w:ilvl="0" w:tentative="0">
      <w:start w:val="1"/>
      <w:numFmt w:val="decimal"/>
      <w:lvlText w:val="%1."/>
      <w:lvlJc w:val="left"/>
      <w:pPr>
        <w:tabs>
          <w:tab w:val="left" w:pos="930"/>
        </w:tabs>
        <w:ind w:left="930" w:hanging="36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6">
    <w:nsid w:val="00000013"/>
    <w:multiLevelType w:val="multilevel"/>
    <w:tmpl w:val="00000013"/>
    <w:lvl w:ilvl="0" w:tentative="0">
      <w:start w:val="1"/>
      <w:numFmt w:val="decimal"/>
      <w:lvlText w:val="%1、"/>
      <w:lvlJc w:val="left"/>
      <w:pPr>
        <w:tabs>
          <w:tab w:val="left" w:pos="2520"/>
        </w:tabs>
        <w:ind w:left="2520" w:hanging="360"/>
      </w:pPr>
      <w:rPr>
        <w:rFonts w:hint="default"/>
      </w:rPr>
    </w:lvl>
    <w:lvl w:ilvl="1" w:tentative="0">
      <w:start w:val="1"/>
      <w:numFmt w:val="decimal"/>
      <w:lvlText w:val="（%2）"/>
      <w:lvlJc w:val="left"/>
      <w:pPr>
        <w:tabs>
          <w:tab w:val="left" w:pos="1094"/>
        </w:tabs>
        <w:ind w:left="1094" w:hanging="674"/>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14"/>
    <w:multiLevelType w:val="multilevel"/>
    <w:tmpl w:val="00000014"/>
    <w:lvl w:ilvl="0" w:tentative="0">
      <w:start w:val="11"/>
      <w:numFmt w:val="decimal"/>
      <w:lvlText w:val="%1"/>
      <w:lvlJc w:val="left"/>
      <w:pPr>
        <w:tabs>
          <w:tab w:val="left" w:pos="420"/>
        </w:tabs>
        <w:ind w:left="420" w:hanging="420"/>
      </w:pPr>
      <w:rPr>
        <w:rFonts w:hint="default"/>
      </w:rPr>
    </w:lvl>
    <w:lvl w:ilvl="1" w:tentative="0">
      <w:start w:val="1"/>
      <w:numFmt w:val="decimal"/>
      <w:lvlText w:val="%1.%2"/>
      <w:lvlJc w:val="left"/>
      <w:pPr>
        <w:tabs>
          <w:tab w:val="left" w:pos="840"/>
        </w:tabs>
        <w:ind w:left="840" w:hanging="420"/>
      </w:pPr>
      <w:rPr>
        <w:rFonts w:hint="default"/>
      </w:rPr>
    </w:lvl>
    <w:lvl w:ilvl="2" w:tentative="0">
      <w:start w:val="1"/>
      <w:numFmt w:val="decimal"/>
      <w:lvlText w:val="%1.%2.%3"/>
      <w:lvlJc w:val="left"/>
      <w:pPr>
        <w:tabs>
          <w:tab w:val="left" w:pos="1094"/>
        </w:tabs>
        <w:ind w:left="1094" w:hanging="674"/>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8">
    <w:nsid w:val="00000015"/>
    <w:multiLevelType w:val="multilevel"/>
    <w:tmpl w:val="00000015"/>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9">
    <w:nsid w:val="00000016"/>
    <w:multiLevelType w:val="multilevel"/>
    <w:tmpl w:val="00000016"/>
    <w:lvl w:ilvl="0" w:tentative="0">
      <w:start w:val="26"/>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00000017"/>
    <w:multiLevelType w:val="multilevel"/>
    <w:tmpl w:val="00000017"/>
    <w:lvl w:ilvl="0" w:tentative="0">
      <w:start w:val="16"/>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00000018"/>
    <w:multiLevelType w:val="multilevel"/>
    <w:tmpl w:val="00000018"/>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12">
    <w:nsid w:val="00000019"/>
    <w:multiLevelType w:val="multilevel"/>
    <w:tmpl w:val="00000019"/>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094"/>
        </w:tabs>
        <w:ind w:left="1094" w:hanging="674"/>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13">
    <w:nsid w:val="0000001A"/>
    <w:multiLevelType w:val="multilevel"/>
    <w:tmpl w:val="0000001A"/>
    <w:lvl w:ilvl="0" w:tentative="0">
      <w:start w:val="27"/>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4">
    <w:nsid w:val="0000001B"/>
    <w:multiLevelType w:val="multilevel"/>
    <w:tmpl w:val="0000001B"/>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00"/>
        </w:tabs>
        <w:ind w:left="1200" w:hanging="360"/>
      </w:pPr>
      <w:rPr>
        <w:rFonts w:hint="default" w:ascii="宋体" w:hAnsi="宋体"/>
        <w:b w:val="0"/>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0000001C"/>
    <w:multiLevelType w:val="multilevel"/>
    <w:tmpl w:val="0000001C"/>
    <w:lvl w:ilvl="0" w:tentative="0">
      <w:start w:val="6"/>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rPr>
        <w:rFonts w:hint="eastAsia"/>
      </w:r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520"/>
        </w:tabs>
        <w:ind w:left="5520" w:hanging="420"/>
      </w:pPr>
      <w:rPr>
        <w:rFonts w:hint="eastAsia"/>
      </w:rPr>
    </w:lvl>
    <w:lvl w:ilvl="8" w:tentative="0">
      <w:start w:val="1"/>
      <w:numFmt w:val="lowerRoman"/>
      <w:lvlText w:val="%9."/>
      <w:lvlJc w:val="right"/>
      <w:pPr>
        <w:tabs>
          <w:tab w:val="left" w:pos="5940"/>
        </w:tabs>
        <w:ind w:left="5940" w:hanging="420"/>
      </w:pPr>
      <w:rPr>
        <w:rFonts w:hint="eastAsia"/>
      </w:rPr>
    </w:lvl>
  </w:abstractNum>
  <w:abstractNum w:abstractNumId="16">
    <w:nsid w:val="0000001D"/>
    <w:multiLevelType w:val="multilevel"/>
    <w:tmpl w:val="0000001D"/>
    <w:lvl w:ilvl="0" w:tentative="0">
      <w:start w:val="1"/>
      <w:numFmt w:val="japaneseCounting"/>
      <w:pStyle w:val="133"/>
      <w:lvlText w:val="第%1章"/>
      <w:lvlJc w:val="left"/>
      <w:pPr>
        <w:tabs>
          <w:tab w:val="left" w:pos="1605"/>
        </w:tabs>
        <w:ind w:left="1605" w:hanging="960"/>
      </w:pPr>
      <w:rPr>
        <w:rFonts w:hint="eastAsia"/>
      </w:rPr>
    </w:lvl>
    <w:lvl w:ilvl="1" w:tentative="0">
      <w:start w:val="1"/>
      <w:numFmt w:val="japaneseCounting"/>
      <w:lvlText w:val="%2、"/>
      <w:lvlJc w:val="left"/>
      <w:pPr>
        <w:tabs>
          <w:tab w:val="left" w:pos="705"/>
        </w:tabs>
        <w:ind w:left="70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7">
    <w:nsid w:val="0000001E"/>
    <w:multiLevelType w:val="multilevel"/>
    <w:tmpl w:val="0000001E"/>
    <w:lvl w:ilvl="0" w:tentative="0">
      <w:start w:val="1"/>
      <w:numFmt w:val="chineseCountingThousand"/>
      <w:lvlText w:val="%1、"/>
      <w:lvlJc w:val="left"/>
      <w:pPr>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F"/>
    <w:multiLevelType w:val="multilevel"/>
    <w:tmpl w:val="0000001F"/>
    <w:lvl w:ilvl="0" w:tentative="0">
      <w:start w:val="23"/>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9">
    <w:nsid w:val="00000020"/>
    <w:multiLevelType w:val="multilevel"/>
    <w:tmpl w:val="00000020"/>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20">
    <w:nsid w:val="00000021"/>
    <w:multiLevelType w:val="multilevel"/>
    <w:tmpl w:val="00000021"/>
    <w:lvl w:ilvl="0" w:tentative="0">
      <w:start w:val="5"/>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21">
    <w:nsid w:val="00000022"/>
    <w:multiLevelType w:val="multilevel"/>
    <w:tmpl w:val="00000022"/>
    <w:lvl w:ilvl="0" w:tentative="0">
      <w:start w:val="12"/>
      <w:numFmt w:val="decimal"/>
      <w:lvlText w:val="%1"/>
      <w:lvlJc w:val="left"/>
      <w:pPr>
        <w:tabs>
          <w:tab w:val="left" w:pos="420"/>
        </w:tabs>
        <w:ind w:left="420" w:hanging="420"/>
      </w:pPr>
      <w:rPr>
        <w:rFonts w:hint="default"/>
      </w:rPr>
    </w:lvl>
    <w:lvl w:ilvl="1" w:tentative="0">
      <w:start w:val="1"/>
      <w:numFmt w:val="decimal"/>
      <w:lvlText w:val="%1.%2"/>
      <w:lvlJc w:val="left"/>
      <w:pPr>
        <w:tabs>
          <w:tab w:val="left" w:pos="840"/>
        </w:tabs>
        <w:ind w:left="840" w:hanging="42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22">
    <w:nsid w:val="00000023"/>
    <w:multiLevelType w:val="multilevel"/>
    <w:tmpl w:val="00000023"/>
    <w:lvl w:ilvl="0" w:tentative="0">
      <w:start w:val="1"/>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520"/>
        </w:tabs>
        <w:ind w:left="5520" w:hanging="420"/>
      </w:pPr>
    </w:lvl>
    <w:lvl w:ilvl="8" w:tentative="0">
      <w:start w:val="1"/>
      <w:numFmt w:val="lowerRoman"/>
      <w:lvlText w:val="%9."/>
      <w:lvlJc w:val="right"/>
      <w:pPr>
        <w:tabs>
          <w:tab w:val="left" w:pos="5940"/>
        </w:tabs>
        <w:ind w:left="5940" w:hanging="420"/>
      </w:pPr>
    </w:lvl>
  </w:abstractNum>
  <w:abstractNum w:abstractNumId="23">
    <w:nsid w:val="00000024"/>
    <w:multiLevelType w:val="multilevel"/>
    <w:tmpl w:val="00000024"/>
    <w:lvl w:ilvl="0" w:tentative="0">
      <w:start w:val="10"/>
      <w:numFmt w:val="decimal"/>
      <w:lvlText w:val="%1"/>
      <w:lvlJc w:val="left"/>
      <w:pPr>
        <w:tabs>
          <w:tab w:val="left" w:pos="420"/>
        </w:tabs>
        <w:ind w:left="420" w:hanging="420"/>
      </w:pPr>
      <w:rPr>
        <w:rFonts w:hint="default"/>
      </w:rPr>
    </w:lvl>
    <w:lvl w:ilvl="1" w:tentative="0">
      <w:start w:val="1"/>
      <w:numFmt w:val="decimal"/>
      <w:lvlText w:val="%1.%2"/>
      <w:lvlJc w:val="left"/>
      <w:pPr>
        <w:tabs>
          <w:tab w:val="left" w:pos="840"/>
        </w:tabs>
        <w:ind w:left="840" w:hanging="42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24">
    <w:nsid w:val="00000025"/>
    <w:multiLevelType w:val="multilevel"/>
    <w:tmpl w:val="00000025"/>
    <w:lvl w:ilvl="0" w:tentative="0">
      <w:start w:val="1"/>
      <w:numFmt w:val="japaneseCounting"/>
      <w:lvlText w:val="第%1章"/>
      <w:lvlJc w:val="left"/>
      <w:pPr>
        <w:tabs>
          <w:tab w:val="left" w:pos="1275"/>
        </w:tabs>
        <w:ind w:left="1275" w:hanging="1275"/>
      </w:pPr>
      <w:rPr>
        <w:rFonts w:hint="default"/>
      </w:rPr>
    </w:lvl>
    <w:lvl w:ilvl="1" w:tentative="0">
      <w:start w:val="1"/>
      <w:numFmt w:val="japaneseCounting"/>
      <w:lvlText w:val="%2、"/>
      <w:lvlJc w:val="left"/>
      <w:pPr>
        <w:tabs>
          <w:tab w:val="left" w:pos="420"/>
        </w:tabs>
        <w:ind w:left="420" w:hanging="420"/>
      </w:pPr>
      <w:rPr>
        <w:rFonts w:hint="default"/>
      </w:rPr>
    </w:lvl>
    <w:lvl w:ilvl="2" w:tentative="0">
      <w:start w:val="1"/>
      <w:numFmt w:val="decimal"/>
      <w:lvlText w:val="%3、"/>
      <w:lvlJc w:val="left"/>
      <w:pPr>
        <w:tabs>
          <w:tab w:val="left" w:pos="1200"/>
        </w:tabs>
        <w:ind w:left="1200" w:hanging="360"/>
      </w:pPr>
      <w:rPr>
        <w:rFonts w:hint="default"/>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26"/>
    <w:multiLevelType w:val="multilevel"/>
    <w:tmpl w:val="00000026"/>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00000027"/>
    <w:multiLevelType w:val="multilevel"/>
    <w:tmpl w:val="00000027"/>
    <w:lvl w:ilvl="0" w:tentative="0">
      <w:start w:val="19"/>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7">
    <w:nsid w:val="00000028"/>
    <w:multiLevelType w:val="multilevel"/>
    <w:tmpl w:val="00000028"/>
    <w:lvl w:ilvl="0" w:tentative="0">
      <w:start w:val="1"/>
      <w:numFmt w:val="japaneseCounting"/>
      <w:lvlText w:val="第%1章"/>
      <w:lvlJc w:val="left"/>
      <w:pPr>
        <w:tabs>
          <w:tab w:val="left" w:pos="1290"/>
        </w:tabs>
        <w:ind w:left="1290" w:hanging="1290"/>
      </w:pPr>
      <w:rPr>
        <w:rFonts w:hint="default"/>
      </w:rPr>
    </w:lvl>
    <w:lvl w:ilvl="1" w:tentative="0">
      <w:start w:val="1"/>
      <w:numFmt w:val="chineseCountingThousand"/>
      <w:lvlText w:val="第%2部分"/>
      <w:lvlJc w:val="left"/>
      <w:pPr>
        <w:tabs>
          <w:tab w:val="left" w:pos="1710"/>
        </w:tabs>
        <w:ind w:left="1710" w:hanging="1290"/>
      </w:pPr>
      <w:rPr>
        <w:rFonts w:hint="default" w:ascii="宋体" w:hAnsi="宋体" w:eastAsia="宋体"/>
        <w:b w:val="0"/>
        <w:sz w:val="24"/>
        <w:szCs w:val="24"/>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eastAsia" w:ascii="黑体" w:eastAsia="黑体"/>
        <w:b w:val="0"/>
        <w:sz w:val="24"/>
        <w:szCs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29"/>
    <w:multiLevelType w:val="multilevel"/>
    <w:tmpl w:val="00000029"/>
    <w:lvl w:ilvl="0" w:tentative="0">
      <w:start w:val="1"/>
      <w:numFmt w:val="decimal"/>
      <w:lvlText w:val="%1."/>
      <w:lvlJc w:val="left"/>
      <w:pPr>
        <w:tabs>
          <w:tab w:val="left" w:pos="420"/>
        </w:tabs>
        <w:ind w:left="420" w:hanging="420"/>
      </w:pPr>
      <w:rPr>
        <w:rFonts w:ascii="宋体" w:hAnsi="宋体" w:eastAsia="宋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2A"/>
    <w:multiLevelType w:val="multilevel"/>
    <w:tmpl w:val="0000002A"/>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30">
    <w:nsid w:val="0000002B"/>
    <w:multiLevelType w:val="multilevel"/>
    <w:tmpl w:val="0000002B"/>
    <w:lvl w:ilvl="0" w:tentative="0">
      <w:start w:val="13"/>
      <w:numFmt w:val="decimal"/>
      <w:lvlText w:val="%1"/>
      <w:lvlJc w:val="left"/>
      <w:pPr>
        <w:tabs>
          <w:tab w:val="left" w:pos="420"/>
        </w:tabs>
        <w:ind w:left="420" w:hanging="420"/>
      </w:pPr>
      <w:rPr>
        <w:rFonts w:hint="default"/>
      </w:rPr>
    </w:lvl>
    <w:lvl w:ilvl="1" w:tentative="0">
      <w:start w:val="1"/>
      <w:numFmt w:val="decimal"/>
      <w:lvlText w:val="%1.%2"/>
      <w:lvlJc w:val="left"/>
      <w:pPr>
        <w:tabs>
          <w:tab w:val="left" w:pos="840"/>
        </w:tabs>
        <w:ind w:left="840" w:hanging="42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31">
    <w:nsid w:val="595089B9"/>
    <w:multiLevelType w:val="singleLevel"/>
    <w:tmpl w:val="595089B9"/>
    <w:lvl w:ilvl="0" w:tentative="0">
      <w:start w:val="1"/>
      <w:numFmt w:val="decimal"/>
      <w:suff w:val="nothing"/>
      <w:lvlText w:val="%1、"/>
      <w:lvlJc w:val="left"/>
    </w:lvl>
  </w:abstractNum>
  <w:abstractNum w:abstractNumId="32">
    <w:nsid w:val="6E91096A"/>
    <w:multiLevelType w:val="multilevel"/>
    <w:tmpl w:val="6E91096A"/>
    <w:lvl w:ilvl="0" w:tentative="0">
      <w:start w:val="1"/>
      <w:numFmt w:val="decimal"/>
      <w:lvlText w:val="%1、"/>
      <w:lvlJc w:val="left"/>
      <w:pPr>
        <w:tabs>
          <w:tab w:val="left" w:pos="780"/>
        </w:tabs>
        <w:ind w:left="780" w:hanging="360"/>
      </w:pPr>
      <w:rPr>
        <w:rFonts w:hint="default"/>
      </w:rPr>
    </w:lvl>
    <w:lvl w:ilvl="1" w:tentative="0">
      <w:start w:val="1"/>
      <w:numFmt w:val="japaneseCounting"/>
      <w:lvlText w:val="%2、"/>
      <w:lvlJc w:val="left"/>
      <w:pPr>
        <w:tabs>
          <w:tab w:val="left" w:pos="1305"/>
        </w:tabs>
        <w:ind w:left="1305" w:hanging="465"/>
      </w:pPr>
      <w:rPr>
        <w:rFonts w:hint="default" w:cs="黑体"/>
        <w:lang w:val="en-US"/>
      </w:rPr>
    </w:lvl>
    <w:lvl w:ilvl="2" w:tentative="0">
      <w:start w:val="1"/>
      <w:numFmt w:val="decimal"/>
      <w:pStyle w:val="64"/>
      <w:lvlText w:val="%3)"/>
      <w:lvlJc w:val="left"/>
      <w:pPr>
        <w:tabs>
          <w:tab w:val="left" w:pos="1500"/>
        </w:tabs>
        <w:ind w:left="1500" w:hanging="240"/>
      </w:pPr>
      <w:rPr>
        <w:rFonts w:hint="default"/>
      </w:rPr>
    </w:lvl>
    <w:lvl w:ilvl="3" w:tentative="0">
      <w:start w:val="1"/>
      <w:numFmt w:val="decimal"/>
      <w:lvlText w:val="%4）"/>
      <w:lvlJc w:val="left"/>
      <w:pPr>
        <w:tabs>
          <w:tab w:val="left" w:pos="2040"/>
        </w:tabs>
        <w:ind w:left="2040" w:hanging="36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3">
    <w:nsid w:val="7FD1394E"/>
    <w:multiLevelType w:val="multilevel"/>
    <w:tmpl w:val="7FD1394E"/>
    <w:lvl w:ilvl="0" w:tentative="0">
      <w:start w:val="1"/>
      <w:numFmt w:val="chineseCountingThousand"/>
      <w:lvlText w:val="%1、"/>
      <w:lvlJc w:val="left"/>
      <w:pPr>
        <w:tabs>
          <w:tab w:val="left" w:pos="425"/>
        </w:tabs>
        <w:ind w:left="425" w:firstLine="0"/>
      </w:pPr>
      <w:rPr>
        <w:rFonts w:hint="default"/>
      </w:rPr>
    </w:lvl>
    <w:lvl w:ilvl="1" w:tentative="0">
      <w:start w:val="1"/>
      <w:numFmt w:val="japaneseCounting"/>
      <w:lvlText w:val="%2、"/>
      <w:lvlJc w:val="left"/>
      <w:pPr>
        <w:tabs>
          <w:tab w:val="left" w:pos="840"/>
        </w:tabs>
        <w:ind w:left="840" w:hanging="4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2"/>
  </w:num>
  <w:num w:numId="2">
    <w:abstractNumId w:val="16"/>
  </w:num>
  <w:num w:numId="3">
    <w:abstractNumId w:val="27"/>
  </w:num>
  <w:num w:numId="4">
    <w:abstractNumId w:val="17"/>
  </w:num>
  <w:num w:numId="5">
    <w:abstractNumId w:val="31"/>
  </w:num>
  <w:num w:numId="6">
    <w:abstractNumId w:val="0"/>
  </w:num>
  <w:num w:numId="7">
    <w:abstractNumId w:val="6"/>
  </w:num>
  <w:num w:numId="8">
    <w:abstractNumId w:val="25"/>
  </w:num>
  <w:num w:numId="9">
    <w:abstractNumId w:val="11"/>
  </w:num>
  <w:num w:numId="10">
    <w:abstractNumId w:val="19"/>
  </w:num>
  <w:num w:numId="11">
    <w:abstractNumId w:val="20"/>
  </w:num>
  <w:num w:numId="12">
    <w:abstractNumId w:val="29"/>
  </w:num>
  <w:num w:numId="13">
    <w:abstractNumId w:val="12"/>
  </w:num>
  <w:num w:numId="14">
    <w:abstractNumId w:val="8"/>
  </w:num>
  <w:num w:numId="15">
    <w:abstractNumId w:val="23"/>
  </w:num>
  <w:num w:numId="16">
    <w:abstractNumId w:val="7"/>
  </w:num>
  <w:num w:numId="17">
    <w:abstractNumId w:val="21"/>
  </w:num>
  <w:num w:numId="18">
    <w:abstractNumId w:val="30"/>
  </w:num>
  <w:num w:numId="19">
    <w:abstractNumId w:val="1"/>
  </w:num>
  <w:num w:numId="20">
    <w:abstractNumId w:val="10"/>
  </w:num>
  <w:num w:numId="21">
    <w:abstractNumId w:val="26"/>
  </w:num>
  <w:num w:numId="22">
    <w:abstractNumId w:val="18"/>
  </w:num>
  <w:num w:numId="23">
    <w:abstractNumId w:val="9"/>
  </w:num>
  <w:num w:numId="24">
    <w:abstractNumId w:val="13"/>
  </w:num>
  <w:num w:numId="25">
    <w:abstractNumId w:val="33"/>
  </w:num>
  <w:num w:numId="26">
    <w:abstractNumId w:val="14"/>
  </w:num>
  <w:num w:numId="27">
    <w:abstractNumId w:val="24"/>
  </w:num>
  <w:num w:numId="28">
    <w:abstractNumId w:val="22"/>
  </w:num>
  <w:num w:numId="29">
    <w:abstractNumId w:val="15"/>
  </w:num>
  <w:num w:numId="30">
    <w:abstractNumId w:val="3"/>
  </w:num>
  <w:num w:numId="31">
    <w:abstractNumId w:val="5"/>
  </w:num>
  <w:num w:numId="32">
    <w:abstractNumId w:val="4"/>
  </w:num>
  <w:num w:numId="33">
    <w:abstractNumId w:val="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14FD2"/>
    <w:rsid w:val="000154B1"/>
    <w:rsid w:val="00022AA1"/>
    <w:rsid w:val="00027AEC"/>
    <w:rsid w:val="0004275C"/>
    <w:rsid w:val="00047560"/>
    <w:rsid w:val="000625CD"/>
    <w:rsid w:val="000658C0"/>
    <w:rsid w:val="00075966"/>
    <w:rsid w:val="000A2E63"/>
    <w:rsid w:val="000A329E"/>
    <w:rsid w:val="000C1FE2"/>
    <w:rsid w:val="000D5F10"/>
    <w:rsid w:val="000F5C1D"/>
    <w:rsid w:val="001178BD"/>
    <w:rsid w:val="00122AC1"/>
    <w:rsid w:val="001451A2"/>
    <w:rsid w:val="00146F83"/>
    <w:rsid w:val="00155453"/>
    <w:rsid w:val="001558F9"/>
    <w:rsid w:val="00171454"/>
    <w:rsid w:val="00172A27"/>
    <w:rsid w:val="00194F43"/>
    <w:rsid w:val="001A2478"/>
    <w:rsid w:val="001A2B81"/>
    <w:rsid w:val="001A687C"/>
    <w:rsid w:val="001B407F"/>
    <w:rsid w:val="001C33B2"/>
    <w:rsid w:val="001D3AA1"/>
    <w:rsid w:val="001D6F92"/>
    <w:rsid w:val="001F0BA5"/>
    <w:rsid w:val="001F0EA7"/>
    <w:rsid w:val="001F65EF"/>
    <w:rsid w:val="00203458"/>
    <w:rsid w:val="00217D68"/>
    <w:rsid w:val="002324B9"/>
    <w:rsid w:val="00235E0A"/>
    <w:rsid w:val="00254B20"/>
    <w:rsid w:val="00257E48"/>
    <w:rsid w:val="00264812"/>
    <w:rsid w:val="00270190"/>
    <w:rsid w:val="002710C9"/>
    <w:rsid w:val="00276A6B"/>
    <w:rsid w:val="0028004F"/>
    <w:rsid w:val="00290291"/>
    <w:rsid w:val="0029196F"/>
    <w:rsid w:val="002942E5"/>
    <w:rsid w:val="002A6277"/>
    <w:rsid w:val="002A7C58"/>
    <w:rsid w:val="002B7F6E"/>
    <w:rsid w:val="002C58D5"/>
    <w:rsid w:val="002C69BB"/>
    <w:rsid w:val="002D2EF0"/>
    <w:rsid w:val="002D3E03"/>
    <w:rsid w:val="002E5402"/>
    <w:rsid w:val="002F2657"/>
    <w:rsid w:val="002F4FC2"/>
    <w:rsid w:val="00314013"/>
    <w:rsid w:val="003164D0"/>
    <w:rsid w:val="00317F96"/>
    <w:rsid w:val="0032698C"/>
    <w:rsid w:val="00334392"/>
    <w:rsid w:val="003351F8"/>
    <w:rsid w:val="00336131"/>
    <w:rsid w:val="003417EE"/>
    <w:rsid w:val="003437ED"/>
    <w:rsid w:val="00350983"/>
    <w:rsid w:val="00351363"/>
    <w:rsid w:val="00384252"/>
    <w:rsid w:val="0038495F"/>
    <w:rsid w:val="00384F38"/>
    <w:rsid w:val="00387380"/>
    <w:rsid w:val="00395814"/>
    <w:rsid w:val="003B3A1F"/>
    <w:rsid w:val="003B4C2D"/>
    <w:rsid w:val="003E3781"/>
    <w:rsid w:val="003E63DD"/>
    <w:rsid w:val="003F2B5A"/>
    <w:rsid w:val="003F453A"/>
    <w:rsid w:val="00424386"/>
    <w:rsid w:val="00426F60"/>
    <w:rsid w:val="00441F18"/>
    <w:rsid w:val="00452CCD"/>
    <w:rsid w:val="00456AB7"/>
    <w:rsid w:val="0046023A"/>
    <w:rsid w:val="004659E0"/>
    <w:rsid w:val="00467F01"/>
    <w:rsid w:val="004736B7"/>
    <w:rsid w:val="00474BFC"/>
    <w:rsid w:val="004A6E7B"/>
    <w:rsid w:val="004B3D9A"/>
    <w:rsid w:val="004D0A5A"/>
    <w:rsid w:val="004D719B"/>
    <w:rsid w:val="00512917"/>
    <w:rsid w:val="0051693C"/>
    <w:rsid w:val="0052230F"/>
    <w:rsid w:val="00543ADF"/>
    <w:rsid w:val="00545A79"/>
    <w:rsid w:val="005505E6"/>
    <w:rsid w:val="00551C79"/>
    <w:rsid w:val="00563CEC"/>
    <w:rsid w:val="00566DC4"/>
    <w:rsid w:val="00571F2A"/>
    <w:rsid w:val="00586E24"/>
    <w:rsid w:val="005A4798"/>
    <w:rsid w:val="005B5CF0"/>
    <w:rsid w:val="005C63D2"/>
    <w:rsid w:val="005E6440"/>
    <w:rsid w:val="005E7D33"/>
    <w:rsid w:val="006013EB"/>
    <w:rsid w:val="00601E92"/>
    <w:rsid w:val="00643769"/>
    <w:rsid w:val="00644586"/>
    <w:rsid w:val="00651024"/>
    <w:rsid w:val="00652E5F"/>
    <w:rsid w:val="0066466F"/>
    <w:rsid w:val="00673A28"/>
    <w:rsid w:val="0068341E"/>
    <w:rsid w:val="00683EF1"/>
    <w:rsid w:val="00696C48"/>
    <w:rsid w:val="006A4758"/>
    <w:rsid w:val="006A5B0A"/>
    <w:rsid w:val="006B3D53"/>
    <w:rsid w:val="006E2B34"/>
    <w:rsid w:val="006E4C4F"/>
    <w:rsid w:val="006F5179"/>
    <w:rsid w:val="00716ADE"/>
    <w:rsid w:val="00717D6E"/>
    <w:rsid w:val="00720ECA"/>
    <w:rsid w:val="00733AE6"/>
    <w:rsid w:val="0073556A"/>
    <w:rsid w:val="00740F2C"/>
    <w:rsid w:val="00750053"/>
    <w:rsid w:val="0075240D"/>
    <w:rsid w:val="00753847"/>
    <w:rsid w:val="007577B3"/>
    <w:rsid w:val="00767A2D"/>
    <w:rsid w:val="00771FB8"/>
    <w:rsid w:val="0077799D"/>
    <w:rsid w:val="00795D4A"/>
    <w:rsid w:val="007965CB"/>
    <w:rsid w:val="00797589"/>
    <w:rsid w:val="007A0800"/>
    <w:rsid w:val="007A4B12"/>
    <w:rsid w:val="007A75E7"/>
    <w:rsid w:val="007C21D0"/>
    <w:rsid w:val="007F1171"/>
    <w:rsid w:val="007F4E87"/>
    <w:rsid w:val="007F5BFE"/>
    <w:rsid w:val="00802A70"/>
    <w:rsid w:val="008058AD"/>
    <w:rsid w:val="00816CE0"/>
    <w:rsid w:val="008371DE"/>
    <w:rsid w:val="00846274"/>
    <w:rsid w:val="00852566"/>
    <w:rsid w:val="00860DAA"/>
    <w:rsid w:val="008620B6"/>
    <w:rsid w:val="00876348"/>
    <w:rsid w:val="00882169"/>
    <w:rsid w:val="008A1F76"/>
    <w:rsid w:val="008B0E95"/>
    <w:rsid w:val="008C0189"/>
    <w:rsid w:val="008C1D92"/>
    <w:rsid w:val="008E0C12"/>
    <w:rsid w:val="008E0E36"/>
    <w:rsid w:val="008E5D69"/>
    <w:rsid w:val="008F6013"/>
    <w:rsid w:val="00905634"/>
    <w:rsid w:val="009346DA"/>
    <w:rsid w:val="00952C83"/>
    <w:rsid w:val="0095518C"/>
    <w:rsid w:val="00962D89"/>
    <w:rsid w:val="00966A70"/>
    <w:rsid w:val="009919B1"/>
    <w:rsid w:val="00994234"/>
    <w:rsid w:val="00995360"/>
    <w:rsid w:val="0099576C"/>
    <w:rsid w:val="009976C2"/>
    <w:rsid w:val="00997906"/>
    <w:rsid w:val="009A4660"/>
    <w:rsid w:val="009B523F"/>
    <w:rsid w:val="009C24FB"/>
    <w:rsid w:val="009D6EDE"/>
    <w:rsid w:val="009F3E1A"/>
    <w:rsid w:val="00A02959"/>
    <w:rsid w:val="00A1452B"/>
    <w:rsid w:val="00A3025A"/>
    <w:rsid w:val="00A5092A"/>
    <w:rsid w:val="00A50E39"/>
    <w:rsid w:val="00A54143"/>
    <w:rsid w:val="00A72FF6"/>
    <w:rsid w:val="00A7698C"/>
    <w:rsid w:val="00A815B0"/>
    <w:rsid w:val="00A912BC"/>
    <w:rsid w:val="00AA0E6D"/>
    <w:rsid w:val="00AA5DC0"/>
    <w:rsid w:val="00AB25A4"/>
    <w:rsid w:val="00AC035D"/>
    <w:rsid w:val="00AD1FAD"/>
    <w:rsid w:val="00AF39F6"/>
    <w:rsid w:val="00B13D41"/>
    <w:rsid w:val="00B20EF7"/>
    <w:rsid w:val="00B24EC7"/>
    <w:rsid w:val="00B40551"/>
    <w:rsid w:val="00B731BB"/>
    <w:rsid w:val="00B75F2F"/>
    <w:rsid w:val="00B82886"/>
    <w:rsid w:val="00B85E60"/>
    <w:rsid w:val="00B94B95"/>
    <w:rsid w:val="00B966D7"/>
    <w:rsid w:val="00BA2D66"/>
    <w:rsid w:val="00BA4126"/>
    <w:rsid w:val="00BA7F4C"/>
    <w:rsid w:val="00BB7AEE"/>
    <w:rsid w:val="00BD392D"/>
    <w:rsid w:val="00BD55F4"/>
    <w:rsid w:val="00BE56B6"/>
    <w:rsid w:val="00BE5D50"/>
    <w:rsid w:val="00C07DE0"/>
    <w:rsid w:val="00C230C3"/>
    <w:rsid w:val="00C4576D"/>
    <w:rsid w:val="00C54624"/>
    <w:rsid w:val="00C54AFA"/>
    <w:rsid w:val="00C67D22"/>
    <w:rsid w:val="00C81341"/>
    <w:rsid w:val="00C9447C"/>
    <w:rsid w:val="00CA4D7B"/>
    <w:rsid w:val="00CC02BF"/>
    <w:rsid w:val="00CC39D3"/>
    <w:rsid w:val="00CD79AF"/>
    <w:rsid w:val="00CE1005"/>
    <w:rsid w:val="00CF4243"/>
    <w:rsid w:val="00CF5DEA"/>
    <w:rsid w:val="00D26D3F"/>
    <w:rsid w:val="00D422AF"/>
    <w:rsid w:val="00D42560"/>
    <w:rsid w:val="00D43648"/>
    <w:rsid w:val="00D60741"/>
    <w:rsid w:val="00D7754A"/>
    <w:rsid w:val="00D800C4"/>
    <w:rsid w:val="00D83577"/>
    <w:rsid w:val="00DA3C37"/>
    <w:rsid w:val="00DB496A"/>
    <w:rsid w:val="00DE6C60"/>
    <w:rsid w:val="00E04FBC"/>
    <w:rsid w:val="00E05112"/>
    <w:rsid w:val="00E44397"/>
    <w:rsid w:val="00E45D9C"/>
    <w:rsid w:val="00E51F83"/>
    <w:rsid w:val="00E524AB"/>
    <w:rsid w:val="00E62030"/>
    <w:rsid w:val="00E7350B"/>
    <w:rsid w:val="00E77659"/>
    <w:rsid w:val="00E93701"/>
    <w:rsid w:val="00E95648"/>
    <w:rsid w:val="00EA6A20"/>
    <w:rsid w:val="00EB3C7E"/>
    <w:rsid w:val="00EC607C"/>
    <w:rsid w:val="00ED0ACE"/>
    <w:rsid w:val="00ED23ED"/>
    <w:rsid w:val="00EE77EA"/>
    <w:rsid w:val="00F053B2"/>
    <w:rsid w:val="00F336A6"/>
    <w:rsid w:val="00F52513"/>
    <w:rsid w:val="00F61082"/>
    <w:rsid w:val="00F64E71"/>
    <w:rsid w:val="00F71582"/>
    <w:rsid w:val="00F8136E"/>
    <w:rsid w:val="00F9463C"/>
    <w:rsid w:val="00F94FBE"/>
    <w:rsid w:val="00F95D1A"/>
    <w:rsid w:val="00FA4838"/>
    <w:rsid w:val="00FA4B28"/>
    <w:rsid w:val="00FA605A"/>
    <w:rsid w:val="00FC1A88"/>
    <w:rsid w:val="00FC3DF1"/>
    <w:rsid w:val="00FC48ED"/>
    <w:rsid w:val="00FD2123"/>
    <w:rsid w:val="00FE2722"/>
    <w:rsid w:val="00FE3110"/>
    <w:rsid w:val="00FE379B"/>
    <w:rsid w:val="00FE66D6"/>
    <w:rsid w:val="00FE7684"/>
    <w:rsid w:val="00FF074F"/>
    <w:rsid w:val="00FF132D"/>
    <w:rsid w:val="00FF33FB"/>
    <w:rsid w:val="00FF3C04"/>
    <w:rsid w:val="0281727D"/>
    <w:rsid w:val="02FB5190"/>
    <w:rsid w:val="03330517"/>
    <w:rsid w:val="044338CE"/>
    <w:rsid w:val="04680C92"/>
    <w:rsid w:val="06D07E99"/>
    <w:rsid w:val="0DB3599E"/>
    <w:rsid w:val="0DB470E5"/>
    <w:rsid w:val="0F1A0910"/>
    <w:rsid w:val="10B16ED6"/>
    <w:rsid w:val="121717E2"/>
    <w:rsid w:val="137161FF"/>
    <w:rsid w:val="14816F92"/>
    <w:rsid w:val="14C670DA"/>
    <w:rsid w:val="15FE0523"/>
    <w:rsid w:val="16004B98"/>
    <w:rsid w:val="16DD2D41"/>
    <w:rsid w:val="19186724"/>
    <w:rsid w:val="1ACB2728"/>
    <w:rsid w:val="1B0A47EC"/>
    <w:rsid w:val="1B42653B"/>
    <w:rsid w:val="1D9F7CEA"/>
    <w:rsid w:val="210F75CC"/>
    <w:rsid w:val="21B01A98"/>
    <w:rsid w:val="228136BD"/>
    <w:rsid w:val="244B6A7F"/>
    <w:rsid w:val="258C4C35"/>
    <w:rsid w:val="260220E8"/>
    <w:rsid w:val="26132FFC"/>
    <w:rsid w:val="27C24AC7"/>
    <w:rsid w:val="2ABF3052"/>
    <w:rsid w:val="2B8956AF"/>
    <w:rsid w:val="2D391D51"/>
    <w:rsid w:val="2D6A71F2"/>
    <w:rsid w:val="2F02092C"/>
    <w:rsid w:val="2F797671"/>
    <w:rsid w:val="2F8939BB"/>
    <w:rsid w:val="30AA3800"/>
    <w:rsid w:val="31E641CD"/>
    <w:rsid w:val="33AD7E90"/>
    <w:rsid w:val="340A4F92"/>
    <w:rsid w:val="354331AA"/>
    <w:rsid w:val="36B95A02"/>
    <w:rsid w:val="3856677A"/>
    <w:rsid w:val="385D32F7"/>
    <w:rsid w:val="3B2F2F07"/>
    <w:rsid w:val="3B431BF5"/>
    <w:rsid w:val="3BEC3004"/>
    <w:rsid w:val="3C222383"/>
    <w:rsid w:val="3C683ADF"/>
    <w:rsid w:val="3D077F29"/>
    <w:rsid w:val="3E570DE2"/>
    <w:rsid w:val="3F45297B"/>
    <w:rsid w:val="3FC15EE2"/>
    <w:rsid w:val="3FEA63B2"/>
    <w:rsid w:val="3FEC1E20"/>
    <w:rsid w:val="41457454"/>
    <w:rsid w:val="42361C1D"/>
    <w:rsid w:val="426B2F41"/>
    <w:rsid w:val="42A362A8"/>
    <w:rsid w:val="431B604A"/>
    <w:rsid w:val="438D08EE"/>
    <w:rsid w:val="44237B77"/>
    <w:rsid w:val="44CC63EF"/>
    <w:rsid w:val="450A1085"/>
    <w:rsid w:val="455C3EB9"/>
    <w:rsid w:val="47996B98"/>
    <w:rsid w:val="492A770D"/>
    <w:rsid w:val="498454B2"/>
    <w:rsid w:val="4C906FAA"/>
    <w:rsid w:val="4CA932F8"/>
    <w:rsid w:val="4DFB6A2E"/>
    <w:rsid w:val="4E1B0A68"/>
    <w:rsid w:val="4F0255D1"/>
    <w:rsid w:val="4FA04ACA"/>
    <w:rsid w:val="4FBA0177"/>
    <w:rsid w:val="4FCD4B86"/>
    <w:rsid w:val="504C6AF4"/>
    <w:rsid w:val="50751620"/>
    <w:rsid w:val="50CC3A9C"/>
    <w:rsid w:val="54311BAF"/>
    <w:rsid w:val="55696F8D"/>
    <w:rsid w:val="55D734AA"/>
    <w:rsid w:val="56B52EBB"/>
    <w:rsid w:val="57581124"/>
    <w:rsid w:val="5771266D"/>
    <w:rsid w:val="578F1F90"/>
    <w:rsid w:val="57ED6191"/>
    <w:rsid w:val="58C772FD"/>
    <w:rsid w:val="591F7648"/>
    <w:rsid w:val="5A3B4581"/>
    <w:rsid w:val="5A6E4235"/>
    <w:rsid w:val="5B9104C7"/>
    <w:rsid w:val="5CDA6EA9"/>
    <w:rsid w:val="5D660D26"/>
    <w:rsid w:val="5DCE3E75"/>
    <w:rsid w:val="5EAF267A"/>
    <w:rsid w:val="614631F1"/>
    <w:rsid w:val="62782FA9"/>
    <w:rsid w:val="6492409A"/>
    <w:rsid w:val="64A34323"/>
    <w:rsid w:val="65014DED"/>
    <w:rsid w:val="65E92DD1"/>
    <w:rsid w:val="66BA31F9"/>
    <w:rsid w:val="6878311A"/>
    <w:rsid w:val="69653620"/>
    <w:rsid w:val="6A060767"/>
    <w:rsid w:val="6A467CD3"/>
    <w:rsid w:val="6E2D5740"/>
    <w:rsid w:val="6F4B0FE1"/>
    <w:rsid w:val="6FA42CF8"/>
    <w:rsid w:val="72183AE8"/>
    <w:rsid w:val="723E5409"/>
    <w:rsid w:val="72C2464B"/>
    <w:rsid w:val="73874615"/>
    <w:rsid w:val="761C3AF2"/>
    <w:rsid w:val="76207CD6"/>
    <w:rsid w:val="76873A67"/>
    <w:rsid w:val="77206D7C"/>
    <w:rsid w:val="777968A9"/>
    <w:rsid w:val="78F72590"/>
    <w:rsid w:val="792B4C89"/>
    <w:rsid w:val="79696489"/>
    <w:rsid w:val="79B15924"/>
    <w:rsid w:val="79D853AB"/>
    <w:rsid w:val="7A4C5108"/>
    <w:rsid w:val="7A6919C7"/>
    <w:rsid w:val="7B354464"/>
    <w:rsid w:val="7B655453"/>
    <w:rsid w:val="7E4467CD"/>
    <w:rsid w:val="7FF06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51"/>
    <w:qFormat/>
    <w:uiPriority w:val="0"/>
    <w:pPr>
      <w:keepNext/>
      <w:keepLines/>
      <w:spacing w:before="260" w:after="260" w:line="416" w:lineRule="auto"/>
      <w:jc w:val="center"/>
      <w:outlineLvl w:val="1"/>
    </w:pPr>
    <w:rPr>
      <w:rFonts w:ascii="Arial" w:hAnsi="Arial" w:eastAsia="黑体"/>
      <w:b/>
      <w:sz w:val="44"/>
      <w:szCs w:val="20"/>
    </w:rPr>
  </w:style>
  <w:style w:type="paragraph" w:styleId="6">
    <w:name w:val="heading 3"/>
    <w:basedOn w:val="1"/>
    <w:next w:val="1"/>
    <w:link w:val="286"/>
    <w:qFormat/>
    <w:uiPriority w:val="0"/>
    <w:pPr>
      <w:keepNext/>
      <w:keepLines/>
      <w:spacing w:before="260" w:after="260" w:line="416" w:lineRule="auto"/>
      <w:outlineLvl w:val="2"/>
    </w:pPr>
    <w:rPr>
      <w:b/>
      <w:bCs/>
      <w:sz w:val="32"/>
      <w:szCs w:val="32"/>
    </w:rPr>
  </w:style>
  <w:style w:type="paragraph" w:styleId="7">
    <w:name w:val="heading 4"/>
    <w:basedOn w:val="1"/>
    <w:next w:val="1"/>
    <w:link w:val="28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cs="Arial"/>
      <w:b/>
      <w:bCs/>
      <w:sz w:val="24"/>
    </w:rPr>
  </w:style>
  <w:style w:type="paragraph" w:styleId="10">
    <w:name w:val="heading 7"/>
    <w:basedOn w:val="1"/>
    <w:next w:val="1"/>
    <w:link w:val="288"/>
    <w:qFormat/>
    <w:uiPriority w:val="0"/>
    <w:pPr>
      <w:keepNext/>
      <w:keepLines/>
      <w:spacing w:before="240" w:after="64" w:line="320" w:lineRule="auto"/>
      <w:outlineLvl w:val="6"/>
    </w:pPr>
    <w:rPr>
      <w:b/>
      <w:bCs/>
      <w:sz w:val="24"/>
    </w:rPr>
  </w:style>
  <w:style w:type="paragraph" w:styleId="11">
    <w:name w:val="heading 8"/>
    <w:basedOn w:val="1"/>
    <w:next w:val="1"/>
    <w:link w:val="254"/>
    <w:qFormat/>
    <w:uiPriority w:val="0"/>
    <w:pPr>
      <w:keepNext/>
      <w:keepLines/>
      <w:spacing w:before="240" w:after="64" w:line="320" w:lineRule="auto"/>
      <w:outlineLvl w:val="7"/>
    </w:pPr>
    <w:rPr>
      <w:rFonts w:ascii="Arial" w:hAnsi="Arial" w:eastAsia="黑体" w:cs="Arial"/>
      <w:sz w:val="24"/>
    </w:rPr>
  </w:style>
  <w:style w:type="paragraph" w:styleId="12">
    <w:name w:val="heading 9"/>
    <w:basedOn w:val="1"/>
    <w:next w:val="1"/>
    <w:link w:val="240"/>
    <w:qFormat/>
    <w:uiPriority w:val="0"/>
    <w:pPr>
      <w:keepNext/>
      <w:keepLines/>
      <w:spacing w:before="240" w:after="64" w:line="320" w:lineRule="auto"/>
      <w:outlineLvl w:val="8"/>
    </w:pPr>
    <w:rPr>
      <w:rFonts w:ascii="Arial" w:hAnsi="Arial" w:eastAsia="黑体" w:cs="Arial"/>
      <w:szCs w:val="21"/>
    </w:rPr>
  </w:style>
  <w:style w:type="character" w:default="1" w:styleId="41">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宋体" w:hAnsi="宋体"/>
      <w:color w:val="FF0000"/>
      <w:sz w:val="21"/>
      <w:lang w:val="en-US" w:bidi="ar-SA"/>
    </w:rPr>
  </w:style>
  <w:style w:type="paragraph" w:styleId="3">
    <w:name w:val="Body Text Indent"/>
    <w:basedOn w:val="1"/>
    <w:link w:val="274"/>
    <w:qFormat/>
    <w:uiPriority w:val="0"/>
    <w:pPr>
      <w:ind w:firstLine="709"/>
    </w:pPr>
    <w:rPr>
      <w:sz w:val="32"/>
      <w:lang w:val="hr-HR" w:bidi="ar-EG"/>
    </w:rPr>
  </w:style>
  <w:style w:type="paragraph" w:styleId="13">
    <w:name w:val="annotation subject"/>
    <w:basedOn w:val="14"/>
    <w:next w:val="14"/>
    <w:qFormat/>
    <w:uiPriority w:val="0"/>
    <w:rPr>
      <w:b/>
      <w:bCs/>
      <w:szCs w:val="21"/>
    </w:rPr>
  </w:style>
  <w:style w:type="paragraph" w:styleId="14">
    <w:name w:val="annotation text"/>
    <w:basedOn w:val="1"/>
    <w:link w:val="258"/>
    <w:qFormat/>
    <w:uiPriority w:val="0"/>
    <w:pPr>
      <w:jc w:val="left"/>
    </w:pPr>
  </w:style>
  <w:style w:type="paragraph" w:styleId="15">
    <w:name w:val="toc 7"/>
    <w:basedOn w:val="1"/>
    <w:next w:val="1"/>
    <w:qFormat/>
    <w:uiPriority w:val="0"/>
    <w:pPr>
      <w:ind w:left="1260"/>
      <w:jc w:val="left"/>
    </w:pPr>
    <w:rPr>
      <w:szCs w:val="21"/>
    </w:rPr>
  </w:style>
  <w:style w:type="paragraph" w:styleId="16">
    <w:name w:val="Normal Indent"/>
    <w:basedOn w:val="1"/>
    <w:link w:val="252"/>
    <w:qFormat/>
    <w:uiPriority w:val="0"/>
    <w:pPr>
      <w:spacing w:line="360" w:lineRule="auto"/>
      <w:ind w:left="420" w:firstLine="420"/>
    </w:pPr>
    <w:rPr>
      <w:szCs w:val="21"/>
    </w:rPr>
  </w:style>
  <w:style w:type="paragraph" w:styleId="17">
    <w:name w:val="Document Map"/>
    <w:basedOn w:val="1"/>
    <w:link w:val="241"/>
    <w:qFormat/>
    <w:uiPriority w:val="0"/>
    <w:pPr>
      <w:shd w:val="clear" w:color="auto" w:fill="000080"/>
    </w:pPr>
    <w:rPr>
      <w:szCs w:val="21"/>
    </w:rPr>
  </w:style>
  <w:style w:type="paragraph" w:styleId="18">
    <w:name w:val="Body Text 3"/>
    <w:basedOn w:val="1"/>
    <w:qFormat/>
    <w:uiPriority w:val="0"/>
    <w:rPr>
      <w:color w:val="FF00FF"/>
      <w:szCs w:val="21"/>
    </w:rPr>
  </w:style>
  <w:style w:type="paragraph" w:styleId="19">
    <w:name w:val="Body Text"/>
    <w:basedOn w:val="1"/>
    <w:link w:val="246"/>
    <w:qFormat/>
    <w:uiPriority w:val="0"/>
    <w:rPr>
      <w:sz w:val="24"/>
    </w:rPr>
  </w:style>
  <w:style w:type="paragraph" w:styleId="20">
    <w:name w:val="toc 5"/>
    <w:basedOn w:val="1"/>
    <w:next w:val="1"/>
    <w:qFormat/>
    <w:uiPriority w:val="0"/>
    <w:pPr>
      <w:ind w:left="840"/>
      <w:jc w:val="left"/>
    </w:pPr>
    <w:rPr>
      <w:szCs w:val="21"/>
    </w:rPr>
  </w:style>
  <w:style w:type="paragraph" w:styleId="21">
    <w:name w:val="toc 3"/>
    <w:basedOn w:val="1"/>
    <w:next w:val="1"/>
    <w:qFormat/>
    <w:uiPriority w:val="39"/>
    <w:pPr>
      <w:tabs>
        <w:tab w:val="left" w:pos="1890"/>
        <w:tab w:val="right" w:leader="dot" w:pos="8296"/>
      </w:tabs>
      <w:spacing w:line="360" w:lineRule="auto"/>
      <w:ind w:left="840" w:leftChars="400"/>
    </w:pPr>
  </w:style>
  <w:style w:type="paragraph" w:styleId="22">
    <w:name w:val="Plain Text"/>
    <w:basedOn w:val="1"/>
    <w:link w:val="248"/>
    <w:qFormat/>
    <w:uiPriority w:val="0"/>
    <w:rPr>
      <w:rFonts w:ascii="宋体" w:hAnsi="Courier New" w:eastAsia="楷体_GB2312"/>
      <w:snapToGrid w:val="0"/>
      <w:color w:val="000000"/>
      <w:kern w:val="0"/>
      <w:sz w:val="32"/>
      <w:szCs w:val="21"/>
    </w:rPr>
  </w:style>
  <w:style w:type="paragraph" w:styleId="23">
    <w:name w:val="toc 8"/>
    <w:basedOn w:val="1"/>
    <w:next w:val="1"/>
    <w:qFormat/>
    <w:uiPriority w:val="0"/>
    <w:pPr>
      <w:ind w:left="1470"/>
      <w:jc w:val="left"/>
    </w:pPr>
    <w:rPr>
      <w:szCs w:val="21"/>
    </w:rPr>
  </w:style>
  <w:style w:type="paragraph" w:styleId="24">
    <w:name w:val="Date"/>
    <w:basedOn w:val="1"/>
    <w:next w:val="1"/>
    <w:qFormat/>
    <w:uiPriority w:val="0"/>
    <w:rPr>
      <w:rFonts w:ascii="楷体_GB2312" w:eastAsia="楷体_GB2312"/>
      <w:color w:val="000000"/>
      <w:kern w:val="0"/>
      <w:sz w:val="32"/>
      <w:szCs w:val="32"/>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249"/>
    <w:qFormat/>
    <w:uiPriority w:val="0"/>
    <w:rPr>
      <w:sz w:val="18"/>
      <w:szCs w:val="18"/>
    </w:rPr>
  </w:style>
  <w:style w:type="paragraph" w:styleId="27">
    <w:name w:val="footer"/>
    <w:basedOn w:val="1"/>
    <w:link w:val="279"/>
    <w:qFormat/>
    <w:uiPriority w:val="0"/>
    <w:pPr>
      <w:tabs>
        <w:tab w:val="center" w:pos="4153"/>
        <w:tab w:val="right" w:pos="8306"/>
      </w:tabs>
      <w:snapToGrid w:val="0"/>
      <w:jc w:val="left"/>
    </w:pPr>
    <w:rPr>
      <w:sz w:val="18"/>
      <w:szCs w:val="18"/>
    </w:rPr>
  </w:style>
  <w:style w:type="paragraph" w:styleId="28">
    <w:name w:val="header"/>
    <w:basedOn w:val="1"/>
    <w:link w:val="276"/>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style>
  <w:style w:type="paragraph" w:styleId="30">
    <w:name w:val="toc 4"/>
    <w:basedOn w:val="1"/>
    <w:next w:val="1"/>
    <w:qFormat/>
    <w:uiPriority w:val="0"/>
    <w:pPr>
      <w:ind w:left="1260" w:leftChars="600"/>
    </w:pPr>
  </w:style>
  <w:style w:type="paragraph" w:styleId="31">
    <w:name w:val="toc 6"/>
    <w:basedOn w:val="1"/>
    <w:next w:val="1"/>
    <w:qFormat/>
    <w:uiPriority w:val="0"/>
    <w:pPr>
      <w:ind w:left="1050"/>
      <w:jc w:val="left"/>
    </w:pPr>
    <w:rPr>
      <w:szCs w:val="21"/>
    </w:rPr>
  </w:style>
  <w:style w:type="paragraph" w:styleId="32">
    <w:name w:val="Body Text Indent 3"/>
    <w:basedOn w:val="1"/>
    <w:link w:val="250"/>
    <w:qFormat/>
    <w:uiPriority w:val="0"/>
    <w:pPr>
      <w:ind w:left="899" w:leftChars="428" w:firstLine="458" w:firstLineChars="218"/>
    </w:pPr>
    <w:rPr>
      <w:szCs w:val="21"/>
    </w:rPr>
  </w:style>
  <w:style w:type="paragraph" w:styleId="33">
    <w:name w:val="table of figures"/>
    <w:basedOn w:val="1"/>
    <w:next w:val="1"/>
    <w:qFormat/>
    <w:uiPriority w:val="0"/>
    <w:pPr>
      <w:ind w:left="840" w:leftChars="200" w:hanging="420" w:hangingChars="200"/>
    </w:pPr>
    <w:rPr>
      <w:szCs w:val="21"/>
    </w:rPr>
  </w:style>
  <w:style w:type="paragraph" w:styleId="34">
    <w:name w:val="toc 2"/>
    <w:basedOn w:val="1"/>
    <w:next w:val="1"/>
    <w:qFormat/>
    <w:uiPriority w:val="39"/>
    <w:pPr>
      <w:tabs>
        <w:tab w:val="left" w:pos="900"/>
        <w:tab w:val="right" w:leader="dot" w:pos="8296"/>
      </w:tabs>
      <w:spacing w:line="360" w:lineRule="auto"/>
    </w:pPr>
  </w:style>
  <w:style w:type="paragraph" w:styleId="35">
    <w:name w:val="toc 9"/>
    <w:basedOn w:val="1"/>
    <w:next w:val="1"/>
    <w:qFormat/>
    <w:uiPriority w:val="0"/>
    <w:pPr>
      <w:ind w:left="1680"/>
      <w:jc w:val="left"/>
    </w:pPr>
    <w:rPr>
      <w:szCs w:val="21"/>
    </w:rPr>
  </w:style>
  <w:style w:type="paragraph" w:styleId="36">
    <w:name w:val="Body Text 2"/>
    <w:basedOn w:val="1"/>
    <w:link w:val="266"/>
    <w:qFormat/>
    <w:uiPriority w:val="0"/>
    <w:rPr>
      <w:color w:val="FF0000"/>
      <w:sz w:val="24"/>
    </w:rPr>
  </w:style>
  <w:style w:type="paragraph" w:styleId="3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40">
    <w:name w:val="Title"/>
    <w:basedOn w:val="1"/>
    <w:next w:val="1"/>
    <w:link w:val="287"/>
    <w:qFormat/>
    <w:uiPriority w:val="0"/>
    <w:pPr>
      <w:spacing w:before="240" w:after="60"/>
      <w:jc w:val="center"/>
      <w:outlineLvl w:val="0"/>
    </w:pPr>
    <w:rPr>
      <w:rFonts w:ascii="Cambria" w:hAnsi="Cambria"/>
      <w:b/>
      <w:bCs/>
      <w:sz w:val="32"/>
      <w:szCs w:val="32"/>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333333"/>
      <w:u w:val="none"/>
    </w:rPr>
  </w:style>
  <w:style w:type="character" w:styleId="45">
    <w:name w:val="Emphasis"/>
    <w:qFormat/>
    <w:uiPriority w:val="0"/>
    <w:rPr>
      <w:color w:val="CC0000"/>
    </w:rPr>
  </w:style>
  <w:style w:type="character" w:styleId="46">
    <w:name w:val="HTML Definition"/>
    <w:qFormat/>
    <w:uiPriority w:val="0"/>
  </w:style>
  <w:style w:type="character" w:styleId="47">
    <w:name w:val="HTML Variable"/>
    <w:qFormat/>
    <w:uiPriority w:val="0"/>
  </w:style>
  <w:style w:type="character" w:styleId="48">
    <w:name w:val="Hyperlink"/>
    <w:qFormat/>
    <w:uiPriority w:val="99"/>
    <w:rPr>
      <w:color w:val="0000FF"/>
      <w:u w:val="single"/>
    </w:rPr>
  </w:style>
  <w:style w:type="character" w:styleId="49">
    <w:name w:val="HTML Code"/>
    <w:qFormat/>
    <w:uiPriority w:val="0"/>
    <w:rPr>
      <w:rFonts w:ascii="Courier New" w:hAnsi="Courier New"/>
      <w:sz w:val="20"/>
    </w:rPr>
  </w:style>
  <w:style w:type="character" w:styleId="50">
    <w:name w:val="annotation reference"/>
    <w:qFormat/>
    <w:uiPriority w:val="0"/>
    <w:rPr>
      <w:sz w:val="21"/>
      <w:szCs w:val="21"/>
    </w:rPr>
  </w:style>
  <w:style w:type="character" w:styleId="51">
    <w:name w:val="HTML Cite"/>
    <w:qFormat/>
    <w:uiPriority w:val="0"/>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55">
    <w:name w:val="xl35"/>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56">
    <w:name w:val="xl128"/>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5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0">
    <w:name w:val="xiao b"/>
    <w:basedOn w:val="1"/>
    <w:qFormat/>
    <w:uiPriority w:val="0"/>
    <w:pPr>
      <w:jc w:val="center"/>
    </w:pPr>
    <w:rPr>
      <w:rFonts w:eastAsia="黑体"/>
      <w:sz w:val="24"/>
    </w:rPr>
  </w:style>
  <w:style w:type="paragraph" w:customStyle="1" w:styleId="61">
    <w:name w:val="xl112"/>
    <w:basedOn w:val="1"/>
    <w:qFormat/>
    <w:uiPriority w:val="0"/>
    <w:pPr>
      <w:widowControl/>
      <w:pBdr>
        <w:top w:val="single" w:color="auto" w:sz="4" w:space="0"/>
        <w:left w:val="single" w:color="auto" w:sz="4" w:space="0"/>
        <w:bottom w:val="single" w:color="auto" w:sz="4" w:space="0"/>
      </w:pBdr>
      <w:shd w:val="clear" w:color="000000" w:fill="92D050"/>
      <w:spacing w:before="100" w:beforeAutospacing="1" w:after="100" w:afterAutospacing="1"/>
      <w:jc w:val="right"/>
    </w:pPr>
    <w:rPr>
      <w:rFonts w:ascii="宋体" w:hAnsi="宋体" w:cs="宋体"/>
      <w:b/>
      <w:bCs/>
      <w:kern w:val="0"/>
      <w:sz w:val="24"/>
    </w:rPr>
  </w:style>
  <w:style w:type="paragraph" w:customStyle="1" w:styleId="62">
    <w:name w:val="样式1"/>
    <w:basedOn w:val="1"/>
    <w:next w:val="25"/>
    <w:qFormat/>
    <w:uiPriority w:val="0"/>
    <w:pPr>
      <w:ind w:firstLine="624"/>
    </w:pPr>
    <w:rPr>
      <w:rFonts w:eastAsia="仿宋_GB2312"/>
      <w:sz w:val="32"/>
      <w:szCs w:val="32"/>
    </w:rPr>
  </w:style>
  <w:style w:type="paragraph" w:customStyle="1" w:styleId="6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楷体" w:hAnsi="华文楷体" w:eastAsia="华文楷体" w:cs="宋体"/>
      <w:kern w:val="0"/>
      <w:sz w:val="24"/>
    </w:rPr>
  </w:style>
  <w:style w:type="paragraph" w:customStyle="1" w:styleId="64">
    <w:name w:val="样式5"/>
    <w:basedOn w:val="1"/>
    <w:link w:val="265"/>
    <w:qFormat/>
    <w:uiPriority w:val="0"/>
    <w:pPr>
      <w:numPr>
        <w:ilvl w:val="2"/>
        <w:numId w:val="1"/>
      </w:numPr>
      <w:outlineLvl w:val="1"/>
    </w:pPr>
    <w:rPr>
      <w:b/>
      <w:sz w:val="24"/>
    </w:rPr>
  </w:style>
  <w:style w:type="paragraph" w:customStyle="1" w:styleId="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95B3D7"/>
      <w:spacing w:before="100" w:beforeAutospacing="1" w:after="100" w:afterAutospacing="1"/>
      <w:jc w:val="center"/>
    </w:pPr>
    <w:rPr>
      <w:rFonts w:ascii="宋体" w:hAnsi="宋体" w:cs="宋体"/>
      <w:b/>
      <w:bCs/>
      <w:color w:val="000000"/>
      <w:kern w:val="0"/>
      <w:sz w:val="24"/>
    </w:rPr>
  </w:style>
  <w:style w:type="paragraph" w:customStyle="1" w:styleId="67">
    <w:name w:val="封面2"/>
    <w:basedOn w:val="1"/>
    <w:qFormat/>
    <w:uiPriority w:val="0"/>
    <w:pPr>
      <w:suppressAutoHyphens/>
      <w:jc w:val="center"/>
      <w:textAlignment w:val="baseline"/>
    </w:pPr>
    <w:rPr>
      <w:rFonts w:ascii="黑体" w:hAnsi="黑体" w:eastAsia="黑体"/>
      <w:b/>
      <w:bCs/>
      <w:color w:val="000000"/>
      <w:spacing w:val="-4"/>
      <w:kern w:val="1"/>
      <w:sz w:val="84"/>
      <w:szCs w:val="84"/>
      <w:lang w:val="zh-CN" w:eastAsia="ar-SA"/>
    </w:rPr>
  </w:style>
  <w:style w:type="paragraph" w:customStyle="1" w:styleId="68">
    <w:name w:val="xl104"/>
    <w:basedOn w:val="1"/>
    <w:qFormat/>
    <w:uiPriority w:val="0"/>
    <w:pPr>
      <w:widowControl/>
      <w:pBdr>
        <w:top w:val="single" w:color="auto"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69">
    <w:name w:val="表标题"/>
    <w:qFormat/>
    <w:uiPriority w:val="0"/>
    <w:pPr>
      <w:jc w:val="center"/>
    </w:pPr>
    <w:rPr>
      <w:rFonts w:ascii="Times New Roman" w:hAnsi="Times New Roman" w:eastAsia="方正仿宋简体" w:cs="Times New Roman"/>
      <w:b/>
      <w:kern w:val="2"/>
      <w:sz w:val="28"/>
      <w:szCs w:val="24"/>
      <w:lang w:val="en-US" w:eastAsia="zh-CN" w:bidi="ar-SA"/>
    </w:rPr>
  </w:style>
  <w:style w:type="paragraph" w:customStyle="1" w:styleId="70">
    <w:name w:val="xl29"/>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72">
    <w:name w:val="默认段落字体 Para Char"/>
    <w:basedOn w:val="1"/>
    <w:qFormat/>
    <w:uiPriority w:val="0"/>
    <w:rPr>
      <w:rFonts w:ascii="Tahoma" w:hAnsi="Tahoma"/>
      <w:sz w:val="24"/>
      <w:szCs w:val="20"/>
    </w:rPr>
  </w:style>
  <w:style w:type="paragraph" w:customStyle="1" w:styleId="73">
    <w:name w:val="封面1"/>
    <w:basedOn w:val="1"/>
    <w:qFormat/>
    <w:uiPriority w:val="0"/>
    <w:pPr>
      <w:suppressAutoHyphens/>
      <w:spacing w:line="360" w:lineRule="auto"/>
      <w:ind w:firstLine="640"/>
      <w:jc w:val="center"/>
    </w:pPr>
    <w:rPr>
      <w:rFonts w:ascii="宋体" w:hAnsi="宋体" w:cs="宋体"/>
      <w:b/>
      <w:spacing w:val="-4"/>
      <w:kern w:val="1"/>
      <w:sz w:val="28"/>
      <w:szCs w:val="32"/>
      <w:lang w:val="zh-CN" w:eastAsia="ar-SA"/>
    </w:rPr>
  </w:style>
  <w:style w:type="paragraph" w:customStyle="1" w:styleId="74">
    <w:name w:val="列表段落1"/>
    <w:basedOn w:val="1"/>
    <w:qFormat/>
    <w:uiPriority w:val="0"/>
    <w:pPr>
      <w:ind w:firstLine="420" w:firstLineChars="200"/>
    </w:pPr>
    <w:rPr>
      <w:rFonts w:ascii="Calibri" w:hAnsi="Calibri"/>
      <w:szCs w:val="22"/>
    </w:rPr>
  </w:style>
  <w:style w:type="paragraph" w:customStyle="1" w:styleId="7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9">
    <w:name w:val="xl53"/>
    <w:basedOn w:val="1"/>
    <w:qFormat/>
    <w:uiPriority w:val="0"/>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80">
    <w:name w:val="xl30"/>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81">
    <w:name w:val="xl137"/>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82">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kern w:val="0"/>
      <w:sz w:val="24"/>
    </w:rPr>
  </w:style>
  <w:style w:type="paragraph" w:customStyle="1" w:styleId="83">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rPr>
  </w:style>
  <w:style w:type="paragraph" w:customStyle="1" w:styleId="8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85">
    <w:name w:val="Char"/>
    <w:basedOn w:val="1"/>
    <w:qFormat/>
    <w:uiPriority w:val="0"/>
    <w:pPr>
      <w:adjustRightInd w:val="0"/>
      <w:spacing w:line="360" w:lineRule="auto"/>
    </w:pPr>
    <w:rPr>
      <w:kern w:val="0"/>
      <w:sz w:val="24"/>
      <w:szCs w:val="20"/>
    </w:rPr>
  </w:style>
  <w:style w:type="paragraph" w:customStyle="1" w:styleId="86">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87">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88">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89">
    <w:name w:val="xl3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90">
    <w:name w:val="默认段落字体 Para Char Char Char Char Char Char1 Char"/>
    <w:basedOn w:val="1"/>
    <w:qFormat/>
    <w:uiPriority w:val="0"/>
    <w:pPr>
      <w:snapToGrid w:val="0"/>
      <w:spacing w:line="360" w:lineRule="auto"/>
      <w:ind w:firstLine="200" w:firstLineChars="200"/>
    </w:pPr>
    <w:rPr>
      <w:rFonts w:eastAsia="仿宋_GB2312"/>
      <w:sz w:val="24"/>
    </w:rPr>
  </w:style>
  <w:style w:type="paragraph" w:customStyle="1" w:styleId="91">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宋体" w:hAnsi="宋体"/>
      <w:kern w:val="0"/>
      <w:sz w:val="20"/>
      <w:szCs w:val="20"/>
    </w:rPr>
  </w:style>
  <w:style w:type="paragraph" w:customStyle="1" w:styleId="92">
    <w:name w:val="xl144"/>
    <w:basedOn w:val="1"/>
    <w:qFormat/>
    <w:uiPriority w:val="0"/>
    <w:pPr>
      <w:widowControl/>
      <w:pBdr>
        <w:top w:val="single" w:color="auto" w:sz="4" w:space="0"/>
        <w:left w:val="single" w:color="auto" w:sz="4" w:space="0"/>
        <w:bottom w:val="single" w:color="auto" w:sz="4" w:space="0"/>
        <w:right w:val="single" w:color="auto" w:sz="8" w:space="0"/>
      </w:pBdr>
      <w:shd w:val="clear" w:color="000000" w:fill="92D050"/>
      <w:spacing w:before="100" w:beforeAutospacing="1" w:after="100" w:afterAutospacing="1"/>
      <w:jc w:val="left"/>
    </w:pPr>
    <w:rPr>
      <w:rFonts w:ascii="宋体" w:hAnsi="宋体" w:cs="宋体"/>
      <w:b/>
      <w:bCs/>
      <w:color w:val="000000"/>
      <w:kern w:val="0"/>
      <w:sz w:val="24"/>
    </w:rPr>
  </w:style>
  <w:style w:type="paragraph" w:customStyle="1" w:styleId="93">
    <w:name w:val="默认段落字体 Para Char Char Char Char Char Char Char Char Char"/>
    <w:basedOn w:val="1"/>
    <w:qFormat/>
    <w:uiPriority w:val="0"/>
    <w:rPr>
      <w:rFonts w:ascii="Tahoma" w:hAnsi="Tahoma"/>
      <w:sz w:val="24"/>
      <w:szCs w:val="20"/>
    </w:rPr>
  </w:style>
  <w:style w:type="paragraph" w:customStyle="1" w:styleId="94">
    <w:name w:val="xl1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95">
    <w:name w:val="xl138"/>
    <w:basedOn w:val="1"/>
    <w:qFormat/>
    <w:uiPriority w:val="0"/>
    <w:pPr>
      <w:widowControl/>
      <w:pBdr>
        <w:top w:val="single" w:color="auto" w:sz="4" w:space="0"/>
        <w:left w:val="single" w:color="auto" w:sz="8" w:space="0"/>
        <w:bottom w:val="single" w:color="auto" w:sz="4" w:space="0"/>
        <w:right w:val="single" w:color="auto" w:sz="4" w:space="0"/>
      </w:pBdr>
      <w:shd w:val="clear" w:color="000000" w:fill="95B3D7"/>
      <w:spacing w:before="100" w:beforeAutospacing="1" w:after="100" w:afterAutospacing="1"/>
      <w:jc w:val="center"/>
    </w:pPr>
    <w:rPr>
      <w:rFonts w:ascii="宋体" w:hAnsi="宋体" w:cs="宋体"/>
      <w:b/>
      <w:bCs/>
      <w:color w:val="000000"/>
      <w:kern w:val="0"/>
      <w:sz w:val="24"/>
    </w:rPr>
  </w:style>
  <w:style w:type="paragraph" w:customStyle="1" w:styleId="96">
    <w:name w:val="xl1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8">
    <w:name w:val="xl85"/>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样式 C正文 + 加粗"/>
    <w:basedOn w:val="1"/>
    <w:qFormat/>
    <w:uiPriority w:val="0"/>
    <w:rPr>
      <w:b/>
      <w:bCs/>
      <w:szCs w:val="20"/>
    </w:rPr>
  </w:style>
  <w:style w:type="paragraph" w:customStyle="1" w:styleId="100">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1">
    <w:name w:val="xl84"/>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102">
    <w:name w:val="font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xl118"/>
    <w:basedOn w:val="1"/>
    <w:qFormat/>
    <w:uiPriority w:val="0"/>
    <w:pPr>
      <w:widowControl/>
      <w:pBdr>
        <w:top w:val="single" w:color="auto" w:sz="4" w:space="0"/>
        <w:left w:val="single" w:color="auto" w:sz="4" w:space="0"/>
        <w:bottom w:val="single" w:color="auto" w:sz="4" w:space="0"/>
      </w:pBdr>
      <w:shd w:val="clear" w:color="000000" w:fill="C0504D"/>
      <w:spacing w:before="100" w:beforeAutospacing="1" w:after="100" w:afterAutospacing="1"/>
      <w:jc w:val="center"/>
    </w:pPr>
    <w:rPr>
      <w:rFonts w:ascii="宋体" w:hAnsi="宋体" w:cs="宋体"/>
      <w:kern w:val="0"/>
      <w:sz w:val="24"/>
    </w:rPr>
  </w:style>
  <w:style w:type="paragraph" w:customStyle="1" w:styleId="104">
    <w:name w:val="xl106"/>
    <w:basedOn w:val="1"/>
    <w:qFormat/>
    <w:uiPriority w:val="0"/>
    <w:pPr>
      <w:widowControl/>
      <w:pBdr>
        <w:left w:val="single" w:color="auto" w:sz="4" w:space="0"/>
        <w:bottom w:val="single" w:color="auto" w:sz="4" w:space="0"/>
      </w:pBdr>
      <w:shd w:val="clear" w:color="000000" w:fill="FFFF00"/>
      <w:spacing w:before="100" w:beforeAutospacing="1" w:after="100" w:afterAutospacing="1"/>
      <w:jc w:val="left"/>
    </w:pPr>
    <w:rPr>
      <w:rFonts w:ascii="宋体" w:hAnsi="宋体" w:cs="宋体"/>
      <w:b/>
      <w:bCs/>
      <w:kern w:val="0"/>
      <w:sz w:val="24"/>
    </w:rPr>
  </w:style>
  <w:style w:type="paragraph" w:customStyle="1" w:styleId="105">
    <w:name w:val="xl82"/>
    <w:basedOn w:val="1"/>
    <w:qFormat/>
    <w:uiPriority w:val="0"/>
    <w:pPr>
      <w:widowControl/>
      <w:spacing w:before="100" w:beforeAutospacing="1" w:after="100" w:afterAutospacing="1"/>
      <w:jc w:val="right"/>
    </w:pPr>
    <w:rPr>
      <w:rFonts w:ascii="宋体" w:hAnsi="宋体" w:cs="宋体"/>
      <w:kern w:val="0"/>
      <w:sz w:val="24"/>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07">
    <w:name w:val="xl105"/>
    <w:basedOn w:val="1"/>
    <w:qFormat/>
    <w:uiPriority w:val="0"/>
    <w:pPr>
      <w:widowControl/>
      <w:pBdr>
        <w:top w:val="single" w:color="auto"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108">
    <w:name w:val="xl102"/>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09">
    <w:name w:val="段"/>
    <w:qFormat/>
    <w:uiPriority w:val="0"/>
    <w:pPr>
      <w:autoSpaceDE w:val="0"/>
      <w:autoSpaceDN w:val="0"/>
      <w:spacing w:after="200" w:line="276" w:lineRule="auto"/>
      <w:ind w:firstLine="200" w:firstLineChars="200"/>
      <w:jc w:val="both"/>
    </w:pPr>
    <w:rPr>
      <w:rFonts w:ascii="宋体" w:hAnsi="Calibri" w:eastAsia="宋体" w:cs="Times New Roman"/>
      <w:sz w:val="21"/>
      <w:szCs w:val="22"/>
      <w:lang w:val="en-US" w:eastAsia="zh-CN" w:bidi="ar-SA"/>
    </w:rPr>
  </w:style>
  <w:style w:type="paragraph" w:customStyle="1" w:styleId="110">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color w:val="000000"/>
      <w:kern w:val="0"/>
      <w:sz w:val="24"/>
    </w:rPr>
  </w:style>
  <w:style w:type="paragraph" w:customStyle="1" w:styleId="111">
    <w:name w:val="font11"/>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12">
    <w:name w:val="Char Char Char Char 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14">
    <w:name w:val="xl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olor w:val="000000"/>
      <w:kern w:val="0"/>
      <w:sz w:val="20"/>
      <w:szCs w:val="20"/>
    </w:rPr>
  </w:style>
  <w:style w:type="paragraph" w:customStyle="1" w:styleId="115">
    <w:name w:val="正文（首行缩进2字符）"/>
    <w:basedOn w:val="1"/>
    <w:qFormat/>
    <w:uiPriority w:val="0"/>
    <w:pPr>
      <w:spacing w:line="360" w:lineRule="auto"/>
      <w:ind w:firstLine="480" w:firstLineChars="200"/>
    </w:pPr>
    <w:rPr>
      <w:sz w:val="24"/>
      <w:szCs w:val="20"/>
    </w:rPr>
  </w:style>
  <w:style w:type="paragraph" w:customStyle="1" w:styleId="116">
    <w:name w:val="Char Char Char"/>
    <w:basedOn w:val="1"/>
    <w:qFormat/>
    <w:uiPriority w:val="0"/>
    <w:rPr>
      <w:szCs w:val="20"/>
    </w:rPr>
  </w:style>
  <w:style w:type="paragraph" w:customStyle="1" w:styleId="117">
    <w:name w:val="_Style 116"/>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8">
    <w:name w:val="副题目 – 封页"/>
    <w:basedOn w:val="1"/>
    <w:next w:val="19"/>
    <w:qFormat/>
    <w:uiPriority w:val="0"/>
    <w:pPr>
      <w:keepNext/>
      <w:keepLines/>
      <w:widowControl/>
      <w:spacing w:before="1520" w:line="240" w:lineRule="atLeast"/>
      <w:ind w:left="1080" w:right="1680" w:firstLine="425" w:firstLineChars="177"/>
    </w:pPr>
    <w:rPr>
      <w:i/>
      <w:spacing w:val="-20"/>
      <w:kern w:val="28"/>
      <w:sz w:val="36"/>
      <w:szCs w:val="20"/>
    </w:rPr>
  </w:style>
  <w:style w:type="paragraph" w:customStyle="1" w:styleId="11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20">
    <w:name w:val="xl141"/>
    <w:basedOn w:val="1"/>
    <w:qFormat/>
    <w:uiPriority w:val="0"/>
    <w:pPr>
      <w:widowControl/>
      <w:pBdr>
        <w:bottom w:val="single" w:color="auto" w:sz="8" w:space="0"/>
      </w:pBdr>
      <w:shd w:val="clear" w:color="000000" w:fill="FFFFFF"/>
      <w:spacing w:before="100" w:beforeAutospacing="1" w:after="100" w:afterAutospacing="1"/>
      <w:jc w:val="left"/>
    </w:pPr>
    <w:rPr>
      <w:rFonts w:ascii="宋体" w:hAnsi="宋体" w:cs="宋体"/>
      <w:b/>
      <w:bCs/>
      <w:kern w:val="0"/>
      <w:sz w:val="24"/>
    </w:rPr>
  </w:style>
  <w:style w:type="paragraph" w:customStyle="1" w:styleId="121">
    <w:name w:val="p0"/>
    <w:basedOn w:val="1"/>
    <w:qFormat/>
    <w:uiPriority w:val="0"/>
    <w:pPr>
      <w:widowControl/>
    </w:pPr>
    <w:rPr>
      <w:kern w:val="0"/>
      <w:szCs w:val="21"/>
    </w:rPr>
  </w:style>
  <w:style w:type="paragraph" w:customStyle="1" w:styleId="122">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4">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5">
    <w:name w:val="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2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128">
    <w:name w:val="C正文"/>
    <w:basedOn w:val="1"/>
    <w:qFormat/>
    <w:uiPriority w:val="0"/>
    <w:pPr>
      <w:spacing w:line="360" w:lineRule="auto"/>
      <w:ind w:firstLine="200" w:firstLineChars="200"/>
    </w:pPr>
    <w:rPr>
      <w:rFonts w:cs="宋体"/>
      <w:sz w:val="24"/>
      <w:szCs w:val="20"/>
    </w:rPr>
  </w:style>
  <w:style w:type="paragraph" w:customStyle="1" w:styleId="129">
    <w:name w:val="xl1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1">
    <w:name w:val="xl87"/>
    <w:basedOn w:val="1"/>
    <w:qFormat/>
    <w:uiPriority w:val="0"/>
    <w:pPr>
      <w:widowControl/>
      <w:pBdr>
        <w:top w:val="single" w:color="auto" w:sz="4" w:space="0"/>
        <w:left w:val="single" w:color="auto" w:sz="4" w:space="0"/>
        <w:bottom w:val="single" w:color="auto" w:sz="4" w:space="0"/>
      </w:pBdr>
      <w:shd w:val="clear" w:color="000000" w:fill="92D050"/>
      <w:spacing w:before="100" w:beforeAutospacing="1" w:after="100" w:afterAutospacing="1"/>
      <w:jc w:val="left"/>
    </w:pPr>
    <w:rPr>
      <w:rFonts w:ascii="宋体" w:hAnsi="宋体" w:cs="宋体"/>
      <w:b/>
      <w:bCs/>
      <w:kern w:val="0"/>
      <w:sz w:val="24"/>
    </w:rPr>
  </w:style>
  <w:style w:type="paragraph" w:customStyle="1" w:styleId="132">
    <w:name w:val="font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缺省文本"/>
    <w:basedOn w:val="1"/>
    <w:qFormat/>
    <w:uiPriority w:val="0"/>
    <w:pPr>
      <w:widowControl/>
      <w:numPr>
        <w:ilvl w:val="0"/>
        <w:numId w:val="2"/>
      </w:numPr>
      <w:tabs>
        <w:tab w:val="left" w:pos="420"/>
        <w:tab w:val="clear" w:pos="1605"/>
      </w:tabs>
      <w:overflowPunct w:val="0"/>
      <w:autoSpaceDE w:val="0"/>
      <w:autoSpaceDN w:val="0"/>
      <w:adjustRightInd w:val="0"/>
      <w:snapToGrid w:val="0"/>
      <w:spacing w:line="360" w:lineRule="auto"/>
      <w:textAlignment w:val="baseline"/>
    </w:pPr>
    <w:rPr>
      <w:kern w:val="0"/>
      <w:sz w:val="24"/>
      <w:szCs w:val="20"/>
    </w:rPr>
  </w:style>
  <w:style w:type="paragraph" w:customStyle="1" w:styleId="134">
    <w:name w:val="xl50"/>
    <w:basedOn w:val="1"/>
    <w:qFormat/>
    <w:uiPriority w:val="0"/>
    <w:pPr>
      <w:widowControl/>
      <w:pBdr>
        <w:top w:val="single" w:color="auto" w:sz="4" w:space="0"/>
        <w:left w:val="single" w:color="auto" w:sz="8"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35">
    <w:name w:val="样式"/>
    <w:basedOn w:val="1"/>
    <w:next w:val="19"/>
    <w:qFormat/>
    <w:uiPriority w:val="0"/>
    <w:rPr>
      <w:sz w:val="24"/>
    </w:rPr>
  </w:style>
  <w:style w:type="paragraph" w:customStyle="1" w:styleId="136">
    <w:name w:val="font12"/>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37">
    <w:name w:val="Char Char Char Char Char Char Char Char"/>
    <w:basedOn w:val="1"/>
    <w:qFormat/>
    <w:uiPriority w:val="0"/>
    <w:pPr>
      <w:tabs>
        <w:tab w:val="left" w:pos="360"/>
      </w:tabs>
    </w:pPr>
    <w:rPr>
      <w:sz w:val="24"/>
    </w:rPr>
  </w:style>
  <w:style w:type="paragraph" w:customStyle="1" w:styleId="138">
    <w:name w:val="xl129"/>
    <w:basedOn w:val="1"/>
    <w:qFormat/>
    <w:uiPriority w:val="0"/>
    <w:pPr>
      <w:widowControl/>
      <w:pBdr>
        <w:top w:val="single" w:color="auto" w:sz="4" w:space="0"/>
        <w:left w:val="single" w:color="auto" w:sz="4" w:space="0"/>
        <w:bottom w:val="single" w:color="auto" w:sz="4" w:space="0"/>
        <w:right w:val="single" w:color="auto" w:sz="8" w:space="0"/>
      </w:pBdr>
      <w:shd w:val="clear" w:color="000000" w:fill="FF0000"/>
      <w:spacing w:before="100" w:beforeAutospacing="1" w:after="100" w:afterAutospacing="1"/>
      <w:jc w:val="center"/>
    </w:pPr>
    <w:rPr>
      <w:rFonts w:ascii="宋体" w:hAnsi="宋体" w:cs="宋体"/>
      <w:kern w:val="0"/>
      <w:sz w:val="20"/>
      <w:szCs w:val="20"/>
    </w:rPr>
  </w:style>
  <w:style w:type="paragraph" w:customStyle="1" w:styleId="139">
    <w:name w:val="正文+ 小五"/>
    <w:basedOn w:val="1"/>
    <w:qFormat/>
    <w:uiPriority w:val="0"/>
    <w:rPr>
      <w:sz w:val="18"/>
      <w:szCs w:val="18"/>
    </w:rPr>
  </w:style>
  <w:style w:type="paragraph" w:customStyle="1" w:styleId="140">
    <w:name w:val="xl143"/>
    <w:basedOn w:val="1"/>
    <w:qFormat/>
    <w:uiPriority w:val="0"/>
    <w:pPr>
      <w:widowControl/>
      <w:pBdr>
        <w:top w:val="single" w:color="auto" w:sz="4" w:space="0"/>
        <w:left w:val="single" w:color="auto" w:sz="8"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color w:val="000000"/>
      <w:kern w:val="0"/>
      <w:sz w:val="24"/>
    </w:rPr>
  </w:style>
  <w:style w:type="paragraph" w:customStyle="1" w:styleId="141">
    <w:name w:val="xl28"/>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4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43">
    <w:name w:val="xl86"/>
    <w:basedOn w:val="1"/>
    <w:qFormat/>
    <w:uiPriority w:val="0"/>
    <w:pPr>
      <w:widowControl/>
      <w:pBdr>
        <w:top w:val="single" w:color="auto" w:sz="4" w:space="0"/>
        <w:bottom w:val="single" w:color="auto" w:sz="4" w:space="0"/>
      </w:pBdr>
      <w:shd w:val="clear" w:color="000000" w:fill="92D050"/>
      <w:spacing w:before="100" w:beforeAutospacing="1" w:after="100" w:afterAutospacing="1"/>
      <w:jc w:val="right"/>
    </w:pPr>
    <w:rPr>
      <w:rFonts w:ascii="宋体" w:hAnsi="宋体" w:cs="宋体"/>
      <w:b/>
      <w:bCs/>
      <w:kern w:val="0"/>
      <w:sz w:val="24"/>
    </w:rPr>
  </w:style>
  <w:style w:type="paragraph" w:customStyle="1" w:styleId="14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45">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7">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8">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宋体" w:hAnsi="宋体"/>
      <w:color w:val="000000"/>
      <w:kern w:val="0"/>
      <w:sz w:val="20"/>
      <w:szCs w:val="20"/>
    </w:rPr>
  </w:style>
  <w:style w:type="paragraph" w:customStyle="1" w:styleId="149">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5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51">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华文楷体" w:hAnsi="华文楷体" w:eastAsia="华文楷体" w:cs="宋体"/>
      <w:kern w:val="0"/>
      <w:sz w:val="24"/>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53">
    <w:name w:val="xl88"/>
    <w:basedOn w:val="1"/>
    <w:qFormat/>
    <w:uiPriority w:val="0"/>
    <w:pPr>
      <w:widowControl/>
      <w:pBdr>
        <w:top w:val="single" w:color="auto" w:sz="4" w:space="0"/>
        <w:left w:val="single" w:color="auto" w:sz="4" w:space="0"/>
      </w:pBdr>
      <w:shd w:val="clear" w:color="000000" w:fill="92D050"/>
      <w:spacing w:before="100" w:beforeAutospacing="1" w:after="100" w:afterAutospacing="1"/>
      <w:jc w:val="left"/>
    </w:pPr>
    <w:rPr>
      <w:rFonts w:ascii="宋体" w:hAnsi="宋体" w:cs="宋体"/>
      <w:b/>
      <w:bCs/>
      <w:kern w:val="0"/>
      <w:sz w:val="24"/>
    </w:rPr>
  </w:style>
  <w:style w:type="paragraph" w:customStyle="1" w:styleId="154">
    <w:name w:val="xl31"/>
    <w:basedOn w:val="1"/>
    <w:qFormat/>
    <w:uiPriority w:val="0"/>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left"/>
    </w:pPr>
    <w:rPr>
      <w:rFonts w:ascii="宋体" w:hAnsi="宋体"/>
      <w:kern w:val="0"/>
      <w:sz w:val="20"/>
      <w:szCs w:val="20"/>
    </w:rPr>
  </w:style>
  <w:style w:type="paragraph" w:customStyle="1" w:styleId="156">
    <w:name w:val="xl140"/>
    <w:basedOn w:val="1"/>
    <w:qFormat/>
    <w:uiPriority w:val="0"/>
    <w:pPr>
      <w:widowControl/>
      <w:pBdr>
        <w:top w:val="single" w:color="auto" w:sz="4" w:space="0"/>
        <w:left w:val="single" w:color="auto" w:sz="4" w:space="0"/>
        <w:bottom w:val="single" w:color="auto" w:sz="4" w:space="0"/>
        <w:right w:val="single" w:color="auto" w:sz="8" w:space="0"/>
      </w:pBdr>
      <w:shd w:val="clear" w:color="000000" w:fill="95B3D7"/>
      <w:spacing w:before="100" w:beforeAutospacing="1" w:after="100" w:afterAutospacing="1"/>
      <w:jc w:val="center"/>
    </w:pPr>
    <w:rPr>
      <w:rFonts w:ascii="宋体" w:hAnsi="宋体" w:cs="宋体"/>
      <w:b/>
      <w:bCs/>
      <w:color w:val="000000"/>
      <w:kern w:val="0"/>
      <w:sz w:val="24"/>
    </w:rPr>
  </w:style>
  <w:style w:type="paragraph" w:customStyle="1" w:styleId="157">
    <w:name w:val="xl45"/>
    <w:basedOn w:val="1"/>
    <w:qFormat/>
    <w:uiPriority w:val="0"/>
    <w:pPr>
      <w:widowControl/>
      <w:spacing w:before="100" w:beforeAutospacing="1" w:after="100" w:afterAutospacing="1"/>
      <w:jc w:val="center"/>
      <w:textAlignment w:val="center"/>
    </w:pPr>
    <w:rPr>
      <w:rFonts w:ascii="宋体" w:hAnsi="宋体"/>
      <w:b/>
      <w:bCs/>
      <w:kern w:val="0"/>
      <w:sz w:val="28"/>
      <w:szCs w:val="28"/>
    </w:rPr>
  </w:style>
  <w:style w:type="paragraph" w:customStyle="1" w:styleId="158">
    <w:name w:val="xl1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159">
    <w:name w:val="标准"/>
    <w:basedOn w:val="28"/>
    <w:qFormat/>
    <w:uiPriority w:val="0"/>
    <w:pPr>
      <w:adjustRightInd w:val="0"/>
      <w:snapToGrid/>
      <w:spacing w:line="240" w:lineRule="atLeast"/>
      <w:jc w:val="both"/>
      <w:textAlignment w:val="baseline"/>
    </w:pPr>
    <w:rPr>
      <w:kern w:val="0"/>
      <w:sz w:val="21"/>
      <w:szCs w:val="20"/>
    </w:rPr>
  </w:style>
  <w:style w:type="paragraph" w:customStyle="1" w:styleId="160">
    <w:name w:val="封面3"/>
    <w:basedOn w:val="1"/>
    <w:qFormat/>
    <w:uiPriority w:val="0"/>
    <w:pPr>
      <w:suppressAutoHyphens/>
      <w:spacing w:line="360" w:lineRule="auto"/>
      <w:jc w:val="center"/>
    </w:pPr>
    <w:rPr>
      <w:rFonts w:ascii="宋体" w:hAnsi="宋体" w:eastAsia="黑体" w:cs="宋体"/>
      <w:bCs/>
      <w:spacing w:val="-4"/>
      <w:kern w:val="1"/>
      <w:sz w:val="30"/>
      <w:szCs w:val="32"/>
      <w:lang w:val="zh-CN" w:eastAsia="ar-SA"/>
    </w:rPr>
  </w:style>
  <w:style w:type="paragraph" w:customStyle="1" w:styleId="161">
    <w:name w:val="Char1 Char Char Char"/>
    <w:basedOn w:val="1"/>
    <w:qFormat/>
    <w:uiPriority w:val="0"/>
    <w:pPr>
      <w:adjustRightInd w:val="0"/>
      <w:spacing w:line="360" w:lineRule="auto"/>
    </w:pPr>
    <w:rPr>
      <w:kern w:val="0"/>
      <w:sz w:val="24"/>
      <w:szCs w:val="20"/>
    </w:rPr>
  </w:style>
  <w:style w:type="paragraph" w:customStyle="1" w:styleId="162">
    <w:name w:val="xl6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63">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样式2"/>
    <w:basedOn w:val="1"/>
    <w:next w:val="22"/>
    <w:qFormat/>
    <w:uiPriority w:val="0"/>
    <w:rPr>
      <w:rFonts w:ascii="宋体" w:hAnsi="Courier New" w:cs="宋体"/>
      <w:kern w:val="10"/>
      <w:szCs w:val="21"/>
    </w:rPr>
  </w:style>
  <w:style w:type="paragraph" w:customStyle="1" w:styleId="165">
    <w:name w:val="xl130"/>
    <w:basedOn w:val="1"/>
    <w:qFormat/>
    <w:uiPriority w:val="0"/>
    <w:pPr>
      <w:widowControl/>
      <w:pBdr>
        <w:top w:val="single" w:color="auto" w:sz="4" w:space="0"/>
        <w:left w:val="single" w:color="auto" w:sz="4" w:space="0"/>
        <w:bottom w:val="single" w:color="auto" w:sz="4" w:space="0"/>
        <w:right w:val="single" w:color="auto" w:sz="8" w:space="0"/>
      </w:pBdr>
      <w:shd w:val="clear" w:color="000000" w:fill="FF0000"/>
      <w:spacing w:before="100" w:beforeAutospacing="1" w:after="100" w:afterAutospacing="1"/>
      <w:jc w:val="center"/>
    </w:pPr>
    <w:rPr>
      <w:rFonts w:ascii="宋体" w:hAnsi="宋体" w:cs="宋体"/>
      <w:kern w:val="0"/>
      <w:sz w:val="20"/>
      <w:szCs w:val="20"/>
    </w:rPr>
  </w:style>
  <w:style w:type="paragraph" w:customStyle="1" w:styleId="166">
    <w:name w:val="xl127"/>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67">
    <w:name w:val="1.1标题4"/>
    <w:basedOn w:val="1"/>
    <w:qFormat/>
    <w:uiPriority w:val="0"/>
    <w:pPr>
      <w:tabs>
        <w:tab w:val="left" w:pos="-284"/>
      </w:tabs>
      <w:adjustRightInd w:val="0"/>
      <w:snapToGrid w:val="0"/>
      <w:spacing w:line="360" w:lineRule="auto"/>
      <w:ind w:left="-284" w:hanging="567"/>
      <w:outlineLvl w:val="1"/>
    </w:pPr>
    <w:rPr>
      <w:rFonts w:ascii="宋体"/>
      <w:sz w:val="24"/>
      <w:szCs w:val="28"/>
    </w:rPr>
  </w:style>
  <w:style w:type="paragraph" w:customStyle="1" w:styleId="168">
    <w:name w:val="xl122"/>
    <w:basedOn w:val="1"/>
    <w:qFormat/>
    <w:uiPriority w:val="0"/>
    <w:pPr>
      <w:widowControl/>
      <w:pBdr>
        <w:top w:val="single" w:color="auto" w:sz="4" w:space="0"/>
        <w:left w:val="single" w:color="auto" w:sz="4" w:space="0"/>
        <w:bottom w:val="single" w:color="auto" w:sz="4" w:space="0"/>
      </w:pBdr>
      <w:shd w:val="clear" w:color="000000" w:fill="C0504D"/>
      <w:spacing w:before="100" w:beforeAutospacing="1" w:after="100" w:afterAutospacing="1"/>
      <w:jc w:val="right"/>
    </w:pPr>
    <w:rPr>
      <w:rFonts w:ascii="宋体" w:hAnsi="宋体" w:cs="宋体"/>
      <w:kern w:val="0"/>
      <w:sz w:val="24"/>
    </w:rPr>
  </w:style>
  <w:style w:type="paragraph" w:customStyle="1" w:styleId="169">
    <w:name w:val="xl103"/>
    <w:basedOn w:val="1"/>
    <w:qFormat/>
    <w:uiPriority w:val="0"/>
    <w:pPr>
      <w:widowControl/>
      <w:pBdr>
        <w:top w:val="single" w:color="auto" w:sz="4" w:space="0"/>
        <w:left w:val="single" w:color="auto" w:sz="4" w:space="0"/>
      </w:pBdr>
      <w:shd w:val="clear" w:color="000000" w:fill="FFFF00"/>
      <w:spacing w:before="100" w:beforeAutospacing="1" w:after="100" w:afterAutospacing="1"/>
      <w:jc w:val="left"/>
    </w:pPr>
    <w:rPr>
      <w:rFonts w:ascii="宋体" w:hAnsi="宋体" w:cs="宋体"/>
      <w:b/>
      <w:bCs/>
      <w:kern w:val="0"/>
      <w:sz w:val="24"/>
    </w:rPr>
  </w:style>
  <w:style w:type="paragraph" w:customStyle="1" w:styleId="170">
    <w:name w:val="样式3"/>
    <w:basedOn w:val="1"/>
    <w:next w:val="22"/>
    <w:qFormat/>
    <w:uiPriority w:val="0"/>
    <w:rPr>
      <w:rFonts w:ascii="宋体" w:hAnsi="Courier New" w:cs="宋体"/>
      <w:szCs w:val="21"/>
    </w:rPr>
  </w:style>
  <w:style w:type="paragraph" w:customStyle="1" w:styleId="171">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C0504D"/>
      <w:spacing w:before="100" w:beforeAutospacing="1" w:after="100" w:afterAutospacing="1"/>
      <w:jc w:val="right"/>
    </w:pPr>
    <w:rPr>
      <w:rFonts w:ascii="宋体" w:hAnsi="宋体" w:cs="宋体"/>
      <w:kern w:val="0"/>
      <w:sz w:val="24"/>
    </w:rPr>
  </w:style>
  <w:style w:type="paragraph" w:customStyle="1" w:styleId="172">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174">
    <w:name w:val="xl56"/>
    <w:basedOn w:val="1"/>
    <w:qFormat/>
    <w:uiPriority w:val="0"/>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75">
    <w:name w:val="xl77"/>
    <w:basedOn w:val="1"/>
    <w:qFormat/>
    <w:uiPriority w:val="0"/>
    <w:pPr>
      <w:widowControl/>
      <w:pBdr>
        <w:top w:val="single" w:color="auto" w:sz="4" w:space="0"/>
      </w:pBdr>
      <w:shd w:val="clear" w:color="000000" w:fill="92D050"/>
      <w:spacing w:before="100" w:beforeAutospacing="1" w:after="100" w:afterAutospacing="1"/>
      <w:jc w:val="left"/>
    </w:pPr>
    <w:rPr>
      <w:rFonts w:ascii="宋体" w:hAnsi="宋体" w:cs="宋体"/>
      <w:b/>
      <w:bCs/>
      <w:kern w:val="0"/>
      <w:sz w:val="24"/>
    </w:rPr>
  </w:style>
  <w:style w:type="paragraph" w:customStyle="1" w:styleId="176">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7">
    <w:name w:val="font13"/>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7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0">
    <w:name w:val="项目符号3"/>
    <w:basedOn w:val="1"/>
    <w:qFormat/>
    <w:uiPriority w:val="0"/>
    <w:pPr>
      <w:tabs>
        <w:tab w:val="left" w:pos="1260"/>
      </w:tabs>
      <w:ind w:left="1260" w:hanging="420"/>
    </w:pPr>
    <w:rPr>
      <w:sz w:val="24"/>
    </w:rPr>
  </w:style>
  <w:style w:type="paragraph" w:customStyle="1" w:styleId="181">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82">
    <w:name w:val="xl107"/>
    <w:basedOn w:val="1"/>
    <w:qFormat/>
    <w:uiPriority w:val="0"/>
    <w:pPr>
      <w:widowControl/>
      <w:pBdr>
        <w:bottom w:val="single" w:color="auto"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183">
    <w:name w:val="Char Char Char Char Char Char1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列出段落1"/>
    <w:basedOn w:val="1"/>
    <w:qFormat/>
    <w:uiPriority w:val="0"/>
    <w:pPr>
      <w:ind w:firstLine="420" w:firstLineChars="200"/>
    </w:pPr>
  </w:style>
  <w:style w:type="paragraph" w:customStyle="1" w:styleId="1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86">
    <w:name w:val="文档正文模板"/>
    <w:basedOn w:val="1"/>
    <w:qFormat/>
    <w:uiPriority w:val="0"/>
    <w:pPr>
      <w:adjustRightInd w:val="0"/>
      <w:spacing w:line="360" w:lineRule="auto"/>
      <w:ind w:firstLine="480" w:firstLineChars="200"/>
      <w:textAlignment w:val="baseline"/>
    </w:pPr>
    <w:rPr>
      <w:kern w:val="0"/>
      <w:sz w:val="24"/>
      <w:szCs w:val="20"/>
    </w:rPr>
  </w:style>
  <w:style w:type="paragraph" w:customStyle="1" w:styleId="187">
    <w:name w:val="xl76"/>
    <w:basedOn w:val="1"/>
    <w:qFormat/>
    <w:uiPriority w:val="0"/>
    <w:pPr>
      <w:widowControl/>
      <w:pBdr>
        <w:top w:val="single" w:color="auto" w:sz="4" w:space="0"/>
        <w:bottom w:val="single" w:color="auto" w:sz="4" w:space="0"/>
      </w:pBdr>
      <w:shd w:val="clear" w:color="000000" w:fill="92D050"/>
      <w:spacing w:before="100" w:beforeAutospacing="1" w:after="100" w:afterAutospacing="1"/>
      <w:jc w:val="left"/>
    </w:pPr>
    <w:rPr>
      <w:rFonts w:ascii="宋体" w:hAnsi="宋体" w:cs="宋体"/>
      <w:b/>
      <w:bCs/>
      <w:kern w:val="0"/>
      <w:sz w:val="24"/>
    </w:rPr>
  </w:style>
  <w:style w:type="paragraph" w:customStyle="1" w:styleId="188">
    <w:name w:val="retrait3"/>
    <w:basedOn w:val="1"/>
    <w:qFormat/>
    <w:uiPriority w:val="0"/>
    <w:pPr>
      <w:widowControl/>
      <w:spacing w:before="20" w:after="20"/>
      <w:ind w:left="851"/>
      <w:jc w:val="left"/>
    </w:pPr>
    <w:rPr>
      <w:rFonts w:ascii="Arial" w:hAnsi="Arial"/>
      <w:kern w:val="0"/>
      <w:sz w:val="24"/>
      <w:szCs w:val="20"/>
      <w:lang w:val="en-GB"/>
    </w:rPr>
  </w:style>
  <w:style w:type="paragraph" w:customStyle="1" w:styleId="189">
    <w:name w:val="xl80"/>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190">
    <w:name w:val="Char1 Char Char Char Char Char Char Char Char Char"/>
    <w:basedOn w:val="1"/>
    <w:qFormat/>
    <w:uiPriority w:val="0"/>
  </w:style>
  <w:style w:type="paragraph" w:customStyle="1" w:styleId="191">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xl113"/>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right"/>
    </w:pPr>
    <w:rPr>
      <w:rFonts w:ascii="宋体" w:hAnsi="宋体" w:cs="宋体"/>
      <w:b/>
      <w:bCs/>
      <w:kern w:val="0"/>
      <w:sz w:val="24"/>
    </w:rPr>
  </w:style>
  <w:style w:type="paragraph" w:customStyle="1" w:styleId="193">
    <w:name w:val="项目符合2"/>
    <w:basedOn w:val="1"/>
    <w:qFormat/>
    <w:uiPriority w:val="0"/>
    <w:pPr>
      <w:tabs>
        <w:tab w:val="left" w:pos="1049"/>
      </w:tabs>
      <w:ind w:left="1049" w:hanging="420"/>
    </w:pPr>
    <w:rPr>
      <w:sz w:val="24"/>
    </w:rPr>
  </w:style>
  <w:style w:type="paragraph" w:customStyle="1" w:styleId="194">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195">
    <w:name w:val="xl125"/>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pPr>
    <w:rPr>
      <w:rFonts w:ascii="宋体" w:hAnsi="宋体" w:cs="宋体"/>
      <w:b/>
      <w:bCs/>
      <w:kern w:val="0"/>
      <w:sz w:val="24"/>
    </w:rPr>
  </w:style>
  <w:style w:type="paragraph" w:customStyle="1" w:styleId="196">
    <w:name w:val="xl78"/>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pPr>
    <w:rPr>
      <w:rFonts w:ascii="宋体" w:hAnsi="宋体" w:cs="宋体"/>
      <w:b/>
      <w:bCs/>
      <w:kern w:val="0"/>
      <w:sz w:val="24"/>
    </w:rPr>
  </w:style>
  <w:style w:type="paragraph" w:customStyle="1" w:styleId="197">
    <w:name w:val="样式 (西文) 宋体 小四 行距: 1.5 倍行距 首行缩进:  2 字符"/>
    <w:basedOn w:val="1"/>
    <w:qFormat/>
    <w:uiPriority w:val="0"/>
    <w:pPr>
      <w:widowControl/>
      <w:spacing w:line="360" w:lineRule="auto"/>
      <w:ind w:firstLine="480" w:firstLineChars="200"/>
      <w:jc w:val="left"/>
    </w:pPr>
    <w:rPr>
      <w:rFonts w:ascii="宋体" w:hAnsi="宋体" w:eastAsia="仿宋_GB2312" w:cs="宋体"/>
      <w:kern w:val="0"/>
      <w:sz w:val="24"/>
      <w:szCs w:val="20"/>
    </w:rPr>
  </w:style>
  <w:style w:type="paragraph" w:customStyle="1" w:styleId="198">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9">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0">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FF0000"/>
      <w:spacing w:before="100" w:beforeAutospacing="1" w:after="100" w:afterAutospacing="1"/>
      <w:jc w:val="center"/>
    </w:pPr>
    <w:rPr>
      <w:rFonts w:ascii="宋体" w:hAnsi="宋体" w:cs="宋体"/>
      <w:color w:val="000000"/>
      <w:kern w:val="0"/>
      <w:sz w:val="20"/>
      <w:szCs w:val="20"/>
    </w:rPr>
  </w:style>
  <w:style w:type="paragraph" w:customStyle="1" w:styleId="201">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02">
    <w:name w:val="xl119"/>
    <w:basedOn w:val="1"/>
    <w:qFormat/>
    <w:uiPriority w:val="0"/>
    <w:pPr>
      <w:widowControl/>
      <w:pBdr>
        <w:top w:val="single" w:color="auto" w:sz="4" w:space="0"/>
        <w:bottom w:val="single" w:color="auto" w:sz="4" w:space="0"/>
      </w:pBdr>
      <w:shd w:val="clear" w:color="000000" w:fill="C0504D"/>
      <w:spacing w:before="100" w:beforeAutospacing="1" w:after="100" w:afterAutospacing="1"/>
      <w:jc w:val="left"/>
    </w:pPr>
    <w:rPr>
      <w:rFonts w:ascii="宋体" w:hAnsi="宋体" w:cs="宋体"/>
      <w:kern w:val="0"/>
      <w:sz w:val="24"/>
    </w:rPr>
  </w:style>
  <w:style w:type="paragraph" w:customStyle="1" w:styleId="20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04">
    <w:name w:val="xl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205">
    <w:name w:val="Char1 Char Char Char1"/>
    <w:basedOn w:val="1"/>
    <w:qFormat/>
    <w:uiPriority w:val="0"/>
    <w:rPr>
      <w:sz w:val="24"/>
      <w:szCs w:val="20"/>
    </w:rPr>
  </w:style>
  <w:style w:type="paragraph" w:customStyle="1" w:styleId="206">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0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208">
    <w:name w:val="xl11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209">
    <w:name w:val="xl79"/>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210">
    <w:name w:val="xl110"/>
    <w:basedOn w:val="1"/>
    <w:qFormat/>
    <w:uiPriority w:val="0"/>
    <w:pPr>
      <w:widowControl/>
      <w:pBdr>
        <w:top w:val="single" w:color="auto" w:sz="4" w:space="0"/>
        <w:left w:val="single" w:color="auto" w:sz="4" w:space="0"/>
      </w:pBdr>
      <w:spacing w:before="100" w:beforeAutospacing="1" w:after="100" w:afterAutospacing="1"/>
      <w:jc w:val="right"/>
    </w:pPr>
    <w:rPr>
      <w:rFonts w:ascii="宋体" w:hAnsi="宋体" w:cs="宋体"/>
      <w:kern w:val="0"/>
      <w:sz w:val="24"/>
    </w:rPr>
  </w:style>
  <w:style w:type="paragraph" w:customStyle="1" w:styleId="211">
    <w:name w:val="1"/>
    <w:basedOn w:val="1"/>
    <w:next w:val="19"/>
    <w:qFormat/>
    <w:uiPriority w:val="0"/>
    <w:rPr>
      <w:sz w:val="24"/>
    </w:rPr>
  </w:style>
  <w:style w:type="paragraph" w:customStyle="1" w:styleId="212">
    <w:name w:val="样式 样式 正文缩进 + 首行缩进:  2 字符 + 四号 首行缩进:  2 字符"/>
    <w:basedOn w:val="1"/>
    <w:link w:val="247"/>
    <w:qFormat/>
    <w:uiPriority w:val="0"/>
    <w:pPr>
      <w:spacing w:line="360" w:lineRule="auto"/>
      <w:ind w:firstLine="560" w:firstLineChars="200"/>
    </w:pPr>
    <w:rPr>
      <w:rFonts w:cs="宋体"/>
      <w:sz w:val="28"/>
    </w:rPr>
  </w:style>
  <w:style w:type="paragraph" w:customStyle="1" w:styleId="213">
    <w:name w:val="xl90"/>
    <w:basedOn w:val="1"/>
    <w:qFormat/>
    <w:uiPriority w:val="0"/>
    <w:pPr>
      <w:widowControl/>
      <w:pBdr>
        <w:top w:val="single" w:color="auto" w:sz="4" w:space="0"/>
      </w:pBdr>
      <w:shd w:val="clear" w:color="000000" w:fill="92D050"/>
      <w:spacing w:before="100" w:beforeAutospacing="1" w:after="100" w:afterAutospacing="1"/>
      <w:jc w:val="center"/>
    </w:pPr>
    <w:rPr>
      <w:rFonts w:ascii="宋体" w:hAnsi="宋体" w:cs="宋体"/>
      <w:b/>
      <w:bCs/>
      <w:kern w:val="0"/>
      <w:sz w:val="24"/>
    </w:rPr>
  </w:style>
  <w:style w:type="paragraph" w:customStyle="1" w:styleId="214">
    <w:name w:val="xl136"/>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5">
    <w:name w:val="font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正常正文"/>
    <w:basedOn w:val="1"/>
    <w:link w:val="271"/>
    <w:qFormat/>
    <w:uiPriority w:val="0"/>
    <w:pPr>
      <w:widowControl/>
      <w:spacing w:before="100" w:beforeAutospacing="1" w:after="100" w:afterAutospacing="1" w:line="360" w:lineRule="auto"/>
      <w:ind w:firstLine="420"/>
      <w:contextualSpacing/>
    </w:pPr>
    <w:rPr>
      <w:rFonts w:ascii="宋体" w:hAnsi="宋体"/>
      <w:bCs/>
      <w:sz w:val="24"/>
    </w:rPr>
  </w:style>
  <w:style w:type="paragraph" w:customStyle="1" w:styleId="217">
    <w:name w:val="xl89"/>
    <w:basedOn w:val="1"/>
    <w:qFormat/>
    <w:uiPriority w:val="0"/>
    <w:pPr>
      <w:widowControl/>
      <w:pBdr>
        <w:top w:val="single" w:color="auto" w:sz="4" w:space="0"/>
        <w:bottom w:val="single" w:color="auto" w:sz="4" w:space="0"/>
      </w:pBdr>
      <w:shd w:val="clear" w:color="000000" w:fill="92D050"/>
      <w:spacing w:before="100" w:beforeAutospacing="1" w:after="100" w:afterAutospacing="1"/>
      <w:jc w:val="center"/>
    </w:pPr>
    <w:rPr>
      <w:rFonts w:ascii="宋体" w:hAnsi="宋体" w:cs="宋体"/>
      <w:b/>
      <w:bCs/>
      <w:kern w:val="0"/>
      <w:sz w:val="24"/>
    </w:rPr>
  </w:style>
  <w:style w:type="paragraph" w:customStyle="1" w:styleId="218">
    <w:name w:val="xl59"/>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219">
    <w:name w:val="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20">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1">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right"/>
    </w:pPr>
    <w:rPr>
      <w:rFonts w:ascii="宋体" w:hAnsi="宋体"/>
      <w:kern w:val="0"/>
      <w:sz w:val="20"/>
      <w:szCs w:val="20"/>
    </w:rPr>
  </w:style>
  <w:style w:type="paragraph" w:customStyle="1" w:styleId="222">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23">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4">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225">
    <w:name w:val="正文2"/>
    <w:basedOn w:val="19"/>
    <w:qFormat/>
    <w:uiPriority w:val="0"/>
    <w:pPr>
      <w:spacing w:line="360" w:lineRule="auto"/>
      <w:ind w:firstLine="480" w:firstLineChars="200"/>
    </w:pPr>
    <w:rPr>
      <w:rFonts w:ascii="宋体" w:cs="宋体"/>
    </w:rPr>
  </w:style>
  <w:style w:type="paragraph" w:customStyle="1" w:styleId="226">
    <w:name w:val="List Paragraph1"/>
    <w:basedOn w:val="1"/>
    <w:qFormat/>
    <w:uiPriority w:val="0"/>
    <w:pPr>
      <w:ind w:firstLine="420" w:firstLineChars="200"/>
    </w:pPr>
    <w:rPr>
      <w:szCs w:val="21"/>
    </w:rPr>
  </w:style>
  <w:style w:type="paragraph" w:customStyle="1" w:styleId="227">
    <w:name w:val="xl120"/>
    <w:basedOn w:val="1"/>
    <w:qFormat/>
    <w:uiPriority w:val="0"/>
    <w:pPr>
      <w:widowControl/>
      <w:pBdr>
        <w:top w:val="single" w:color="auto" w:sz="4" w:space="0"/>
        <w:bottom w:val="single" w:color="auto" w:sz="4" w:space="0"/>
      </w:pBdr>
      <w:shd w:val="clear" w:color="000000" w:fill="C0504D"/>
      <w:spacing w:before="100" w:beforeAutospacing="1" w:after="100" w:afterAutospacing="1"/>
      <w:jc w:val="center"/>
    </w:pPr>
    <w:rPr>
      <w:rFonts w:ascii="宋体" w:hAnsi="宋体" w:cs="宋体"/>
      <w:kern w:val="0"/>
      <w:sz w:val="24"/>
    </w:rPr>
  </w:style>
  <w:style w:type="paragraph" w:customStyle="1" w:styleId="228">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29">
    <w:name w:val="p121"/>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231">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232">
    <w:name w:val="xl108"/>
    <w:basedOn w:val="1"/>
    <w:qFormat/>
    <w:uiPriority w:val="0"/>
    <w:pPr>
      <w:widowControl/>
      <w:pBdr>
        <w:bottom w:val="single" w:color="auto"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2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4">
    <w:name w:val="Char Char Char Char"/>
    <w:basedOn w:val="1"/>
    <w:qFormat/>
    <w:uiPriority w:val="0"/>
    <w:pPr>
      <w:adjustRightInd w:val="0"/>
      <w:spacing w:line="360" w:lineRule="auto"/>
    </w:pPr>
    <w:rPr>
      <w:kern w:val="0"/>
      <w:sz w:val="24"/>
      <w:szCs w:val="20"/>
    </w:rPr>
  </w:style>
  <w:style w:type="paragraph" w:customStyle="1" w:styleId="235">
    <w:name w:val="Char Char Char Char Char Char Char1"/>
    <w:basedOn w:val="1"/>
    <w:qFormat/>
    <w:uiPriority w:val="0"/>
    <w:rPr>
      <w:sz w:val="28"/>
    </w:rPr>
  </w:style>
  <w:style w:type="paragraph" w:customStyle="1" w:styleId="236">
    <w:name w:val="xl132"/>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37">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olor w:val="000000"/>
      <w:kern w:val="0"/>
      <w:sz w:val="20"/>
      <w:szCs w:val="20"/>
    </w:rPr>
  </w:style>
  <w:style w:type="paragraph" w:customStyle="1" w:styleId="238">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9">
    <w:name w:val="subtitle 2"/>
    <w:basedOn w:val="1"/>
    <w:qFormat/>
    <w:uiPriority w:val="0"/>
    <w:pPr>
      <w:overflowPunct w:val="0"/>
      <w:autoSpaceDE w:val="0"/>
      <w:autoSpaceDN w:val="0"/>
      <w:adjustRightInd w:val="0"/>
      <w:spacing w:before="240" w:after="240" w:line="312" w:lineRule="atLeast"/>
      <w:textAlignment w:val="baseline"/>
    </w:pPr>
    <w:rPr>
      <w:rFonts w:ascii="黑体" w:eastAsia="黑体" w:cs="黑体"/>
      <w:kern w:val="0"/>
      <w:sz w:val="24"/>
    </w:rPr>
  </w:style>
  <w:style w:type="character" w:customStyle="1" w:styleId="240">
    <w:name w:val="标题 9 Char"/>
    <w:link w:val="12"/>
    <w:qFormat/>
    <w:uiPriority w:val="0"/>
    <w:rPr>
      <w:rFonts w:ascii="Arial" w:hAnsi="Arial" w:eastAsia="黑体" w:cs="Arial"/>
      <w:kern w:val="2"/>
      <w:sz w:val="21"/>
      <w:szCs w:val="21"/>
      <w:lang w:val="en-US" w:eastAsia="zh-CN" w:bidi="ar-SA"/>
    </w:rPr>
  </w:style>
  <w:style w:type="character" w:customStyle="1" w:styleId="241">
    <w:name w:val="文档结构图 Char"/>
    <w:link w:val="17"/>
    <w:qFormat/>
    <w:uiPriority w:val="0"/>
    <w:rPr>
      <w:rFonts w:eastAsia="宋体"/>
      <w:kern w:val="2"/>
      <w:sz w:val="21"/>
      <w:szCs w:val="21"/>
      <w:lang w:val="en-US" w:eastAsia="zh-CN" w:bidi="ar-SA"/>
    </w:rPr>
  </w:style>
  <w:style w:type="character" w:customStyle="1" w:styleId="242">
    <w:name w:val="icon-official5"/>
    <w:qFormat/>
    <w:uiPriority w:val="0"/>
    <w:rPr>
      <w:color w:val="FFFFFF"/>
      <w:sz w:val="18"/>
      <w:szCs w:val="18"/>
      <w:shd w:val="clear" w:color="auto" w:fill="6FB963"/>
    </w:rPr>
  </w:style>
  <w:style w:type="character" w:customStyle="1" w:styleId="243">
    <w:name w:val="v151"/>
    <w:qFormat/>
    <w:uiPriority w:val="0"/>
    <w:rPr>
      <w:sz w:val="18"/>
      <w:szCs w:val="18"/>
    </w:rPr>
  </w:style>
  <w:style w:type="character" w:customStyle="1" w:styleId="244">
    <w:name w:val="text1"/>
    <w:qFormat/>
    <w:uiPriority w:val="0"/>
    <w:rPr>
      <w:color w:val="000000"/>
      <w:spacing w:val="0"/>
      <w:sz w:val="20"/>
      <w:szCs w:val="20"/>
      <w:u w:val="none"/>
    </w:rPr>
  </w:style>
  <w:style w:type="character" w:customStyle="1" w:styleId="245">
    <w:name w:val="章标题 Char"/>
    <w:qFormat/>
    <w:uiPriority w:val="0"/>
    <w:rPr>
      <w:rFonts w:eastAsia="宋体"/>
      <w:b/>
      <w:bCs/>
      <w:kern w:val="44"/>
      <w:sz w:val="30"/>
      <w:szCs w:val="30"/>
      <w:lang w:val="en-US" w:eastAsia="zh-CN" w:bidi="ar-SA"/>
    </w:rPr>
  </w:style>
  <w:style w:type="character" w:customStyle="1" w:styleId="246">
    <w:name w:val="正文文本 Char"/>
    <w:link w:val="19"/>
    <w:qFormat/>
    <w:uiPriority w:val="0"/>
    <w:rPr>
      <w:rFonts w:eastAsia="宋体"/>
      <w:kern w:val="2"/>
      <w:sz w:val="24"/>
      <w:szCs w:val="24"/>
      <w:lang w:val="en-US" w:eastAsia="zh-CN" w:bidi="ar-SA"/>
    </w:rPr>
  </w:style>
  <w:style w:type="character" w:customStyle="1" w:styleId="247">
    <w:name w:val="样式 样式 正文缩进 + 首行缩进:  2 字符 + 四号 首行缩进:  2 字符 Char Char"/>
    <w:link w:val="212"/>
    <w:qFormat/>
    <w:uiPriority w:val="0"/>
    <w:rPr>
      <w:rFonts w:eastAsia="宋体" w:cs="宋体"/>
      <w:kern w:val="2"/>
      <w:sz w:val="28"/>
      <w:szCs w:val="24"/>
      <w:lang w:val="en-US" w:eastAsia="zh-CN" w:bidi="ar-SA"/>
    </w:rPr>
  </w:style>
  <w:style w:type="character" w:customStyle="1" w:styleId="248">
    <w:name w:val="纯文本 Char"/>
    <w:link w:val="22"/>
    <w:qFormat/>
    <w:uiPriority w:val="0"/>
    <w:rPr>
      <w:rFonts w:ascii="宋体" w:hAnsi="Courier New" w:eastAsia="楷体_GB2312"/>
      <w:snapToGrid w:val="0"/>
      <w:color w:val="000000"/>
      <w:sz w:val="32"/>
      <w:szCs w:val="21"/>
      <w:lang w:val="en-US" w:eastAsia="zh-CN" w:bidi="ar-SA"/>
    </w:rPr>
  </w:style>
  <w:style w:type="character" w:customStyle="1" w:styleId="249">
    <w:name w:val="批注框文本 Char"/>
    <w:link w:val="26"/>
    <w:qFormat/>
    <w:uiPriority w:val="0"/>
    <w:rPr>
      <w:rFonts w:eastAsia="宋体"/>
      <w:kern w:val="2"/>
      <w:sz w:val="18"/>
      <w:szCs w:val="18"/>
      <w:lang w:val="en-US" w:eastAsia="zh-CN" w:bidi="ar-SA"/>
    </w:rPr>
  </w:style>
  <w:style w:type="character" w:customStyle="1" w:styleId="250">
    <w:name w:val="正文文本缩进 3 Char"/>
    <w:link w:val="32"/>
    <w:qFormat/>
    <w:uiPriority w:val="0"/>
    <w:rPr>
      <w:rFonts w:eastAsia="宋体"/>
      <w:kern w:val="2"/>
      <w:sz w:val="21"/>
      <w:szCs w:val="21"/>
      <w:lang w:val="en-US" w:eastAsia="zh-CN" w:bidi="ar-SA"/>
    </w:rPr>
  </w:style>
  <w:style w:type="character" w:customStyle="1" w:styleId="251">
    <w:name w:val="标题 2 Char"/>
    <w:link w:val="5"/>
    <w:qFormat/>
    <w:uiPriority w:val="0"/>
    <w:rPr>
      <w:rFonts w:ascii="Arial" w:hAnsi="Arial" w:eastAsia="黑体"/>
      <w:b/>
      <w:kern w:val="2"/>
      <w:sz w:val="44"/>
      <w:lang w:val="en-US" w:eastAsia="zh-CN" w:bidi="ar-SA"/>
    </w:rPr>
  </w:style>
  <w:style w:type="character" w:customStyle="1" w:styleId="252">
    <w:name w:val="正文缩进 Char"/>
    <w:link w:val="16"/>
    <w:qFormat/>
    <w:uiPriority w:val="0"/>
    <w:rPr>
      <w:rFonts w:eastAsia="宋体"/>
      <w:kern w:val="2"/>
      <w:sz w:val="21"/>
      <w:szCs w:val="21"/>
      <w:lang w:val="en-US" w:eastAsia="zh-CN" w:bidi="ar-SA"/>
    </w:rPr>
  </w:style>
  <w:style w:type="character" w:customStyle="1" w:styleId="253">
    <w:name w:val="style111"/>
    <w:qFormat/>
    <w:uiPriority w:val="0"/>
    <w:rPr>
      <w:color w:val="333333"/>
      <w:sz w:val="18"/>
      <w:szCs w:val="18"/>
    </w:rPr>
  </w:style>
  <w:style w:type="character" w:customStyle="1" w:styleId="254">
    <w:name w:val="标题 8 Char"/>
    <w:link w:val="11"/>
    <w:qFormat/>
    <w:uiPriority w:val="0"/>
    <w:rPr>
      <w:rFonts w:ascii="Arial" w:hAnsi="Arial" w:eastAsia="黑体" w:cs="Arial"/>
      <w:kern w:val="2"/>
      <w:sz w:val="24"/>
      <w:szCs w:val="24"/>
      <w:lang w:val="en-US" w:eastAsia="zh-CN" w:bidi="ar-SA"/>
    </w:rPr>
  </w:style>
  <w:style w:type="character" w:customStyle="1" w:styleId="255">
    <w:name w:val="标题 3 Char Char1"/>
    <w:qFormat/>
    <w:uiPriority w:val="0"/>
    <w:rPr>
      <w:rFonts w:eastAsia="宋体"/>
      <w:b/>
      <w:bCs/>
      <w:kern w:val="2"/>
      <w:sz w:val="32"/>
      <w:szCs w:val="32"/>
      <w:lang w:val="en-US" w:eastAsia="zh-CN" w:bidi="ar-SA"/>
    </w:rPr>
  </w:style>
  <w:style w:type="character" w:customStyle="1" w:styleId="256">
    <w:name w:val="font91"/>
    <w:qFormat/>
    <w:uiPriority w:val="0"/>
    <w:rPr>
      <w:rFonts w:hint="eastAsia" w:ascii="仿宋_GB2312" w:eastAsia="仿宋_GB2312" w:cs="仿宋_GB2312"/>
      <w:color w:val="000000"/>
      <w:sz w:val="22"/>
      <w:szCs w:val="22"/>
      <w:u w:val="none"/>
      <w:vertAlign w:val="subscript"/>
    </w:rPr>
  </w:style>
  <w:style w:type="character" w:customStyle="1" w:styleId="257">
    <w:name w:val="hover12"/>
    <w:qFormat/>
    <w:uiPriority w:val="0"/>
    <w:rPr>
      <w:shd w:val="clear" w:color="auto" w:fill="DFDFDF"/>
    </w:rPr>
  </w:style>
  <w:style w:type="character" w:customStyle="1" w:styleId="258">
    <w:name w:val="批注文字 Char"/>
    <w:link w:val="14"/>
    <w:qFormat/>
    <w:uiPriority w:val="0"/>
    <w:rPr>
      <w:rFonts w:eastAsia="宋体"/>
      <w:kern w:val="2"/>
      <w:sz w:val="21"/>
      <w:szCs w:val="24"/>
      <w:lang w:val="en-US" w:eastAsia="zh-CN" w:bidi="ar-SA"/>
    </w:rPr>
  </w:style>
  <w:style w:type="character" w:customStyle="1" w:styleId="259">
    <w:name w:val="节标题 Char"/>
    <w:qFormat/>
    <w:uiPriority w:val="0"/>
    <w:rPr>
      <w:rFonts w:ascii="宋体" w:hAnsi="宋体" w:eastAsia="宋体" w:cs="Arial"/>
      <w:b/>
      <w:bCs/>
      <w:sz w:val="28"/>
      <w:szCs w:val="28"/>
      <w:lang w:val="en-US" w:eastAsia="zh-CN" w:bidi="ar-SA"/>
    </w:rPr>
  </w:style>
  <w:style w:type="character" w:customStyle="1" w:styleId="260">
    <w:name w:val="style41"/>
    <w:qFormat/>
    <w:uiPriority w:val="0"/>
    <w:rPr>
      <w:sz w:val="21"/>
      <w:szCs w:val="21"/>
    </w:rPr>
  </w:style>
  <w:style w:type="character" w:customStyle="1" w:styleId="261">
    <w:name w:val="font01"/>
    <w:qFormat/>
    <w:uiPriority w:val="0"/>
    <w:rPr>
      <w:rFonts w:hint="default" w:ascii="Times New Roman" w:hAnsi="Times New Roman" w:cs="Times New Roman"/>
      <w:color w:val="000000"/>
      <w:sz w:val="24"/>
      <w:szCs w:val="24"/>
      <w:u w:val="none"/>
    </w:rPr>
  </w:style>
  <w:style w:type="character" w:customStyle="1" w:styleId="262">
    <w:name w:val="headline-content2"/>
    <w:basedOn w:val="41"/>
    <w:qFormat/>
    <w:uiPriority w:val="0"/>
  </w:style>
  <w:style w:type="character" w:customStyle="1" w:styleId="263">
    <w:name w:val="param_td12"/>
    <w:basedOn w:val="41"/>
    <w:qFormat/>
    <w:uiPriority w:val="0"/>
  </w:style>
  <w:style w:type="character" w:customStyle="1" w:styleId="264">
    <w:name w:val="v15"/>
    <w:basedOn w:val="41"/>
    <w:qFormat/>
    <w:uiPriority w:val="0"/>
  </w:style>
  <w:style w:type="character" w:customStyle="1" w:styleId="265">
    <w:name w:val="样式5 Char Char"/>
    <w:link w:val="64"/>
    <w:qFormat/>
    <w:uiPriority w:val="0"/>
    <w:rPr>
      <w:rFonts w:eastAsia="宋体"/>
      <w:b/>
      <w:kern w:val="2"/>
      <w:sz w:val="24"/>
      <w:szCs w:val="24"/>
      <w:lang w:val="en-US" w:eastAsia="zh-CN" w:bidi="ar-SA"/>
    </w:rPr>
  </w:style>
  <w:style w:type="character" w:customStyle="1" w:styleId="266">
    <w:name w:val="正文文本 2 Char"/>
    <w:link w:val="36"/>
    <w:qFormat/>
    <w:uiPriority w:val="0"/>
    <w:rPr>
      <w:rFonts w:eastAsia="宋体"/>
      <w:color w:val="FF0000"/>
      <w:kern w:val="2"/>
      <w:sz w:val="24"/>
      <w:szCs w:val="24"/>
      <w:lang w:val="en-US" w:eastAsia="zh-CN" w:bidi="ar-SA"/>
    </w:rPr>
  </w:style>
  <w:style w:type="character" w:customStyle="1" w:styleId="267">
    <w:name w:val="font21"/>
    <w:qFormat/>
    <w:uiPriority w:val="0"/>
    <w:rPr>
      <w:rFonts w:hint="eastAsia" w:ascii="宋体" w:hAnsi="宋体" w:eastAsia="宋体" w:cs="宋体"/>
      <w:color w:val="000000"/>
      <w:sz w:val="22"/>
      <w:szCs w:val="22"/>
      <w:u w:val="none"/>
      <w:vertAlign w:val="subscript"/>
    </w:rPr>
  </w:style>
  <w:style w:type="character" w:customStyle="1" w:styleId="268">
    <w:name w:val="Char Char12"/>
    <w:qFormat/>
    <w:uiPriority w:val="0"/>
    <w:rPr>
      <w:rFonts w:eastAsia="宋体"/>
      <w:color w:val="FF0000"/>
      <w:kern w:val="2"/>
      <w:sz w:val="24"/>
      <w:szCs w:val="24"/>
      <w:lang w:val="en-US" w:eastAsia="zh-CN" w:bidi="ar-SA"/>
    </w:rPr>
  </w:style>
  <w:style w:type="character" w:customStyle="1" w:styleId="269">
    <w:name w:val="font81"/>
    <w:qFormat/>
    <w:uiPriority w:val="0"/>
    <w:rPr>
      <w:rFonts w:hint="eastAsia" w:ascii="宋体" w:hAnsi="宋体" w:eastAsia="宋体" w:cs="宋体"/>
      <w:color w:val="000000"/>
      <w:sz w:val="22"/>
      <w:szCs w:val="22"/>
      <w:u w:val="none"/>
      <w:vertAlign w:val="subscript"/>
    </w:rPr>
  </w:style>
  <w:style w:type="character" w:customStyle="1" w:styleId="270">
    <w:name w:val="文档正文 Char Char"/>
    <w:qFormat/>
    <w:uiPriority w:val="0"/>
    <w:rPr>
      <w:rFonts w:ascii="仿宋_GB2312" w:eastAsia="仿宋_GB2312"/>
      <w:sz w:val="28"/>
      <w:lang w:val="en-US" w:eastAsia="zh-CN" w:bidi="ar-SA"/>
    </w:rPr>
  </w:style>
  <w:style w:type="character" w:customStyle="1" w:styleId="271">
    <w:name w:val="正常正文 Char Char"/>
    <w:link w:val="216"/>
    <w:qFormat/>
    <w:uiPriority w:val="0"/>
    <w:rPr>
      <w:rFonts w:ascii="宋体" w:hAnsi="宋体" w:eastAsia="宋体"/>
      <w:bCs/>
      <w:kern w:val="2"/>
      <w:sz w:val="24"/>
      <w:szCs w:val="24"/>
      <w:lang w:bidi="ar-SA"/>
    </w:rPr>
  </w:style>
  <w:style w:type="character" w:customStyle="1" w:styleId="272">
    <w:name w:val="bullet Char"/>
    <w:qFormat/>
    <w:uiPriority w:val="0"/>
    <w:rPr>
      <w:rFonts w:ascii="Arial" w:hAnsi="Arial" w:eastAsia="宋体" w:cs="Arial"/>
      <w:kern w:val="2"/>
      <w:sz w:val="24"/>
      <w:szCs w:val="24"/>
      <w:lang w:val="en-US" w:eastAsia="zh-CN" w:bidi="ar-SA"/>
    </w:rPr>
  </w:style>
  <w:style w:type="character" w:customStyle="1" w:styleId="273">
    <w:name w:val="小标题 Char"/>
    <w:qFormat/>
    <w:uiPriority w:val="0"/>
    <w:rPr>
      <w:rFonts w:ascii="宋体" w:eastAsia="宋体" w:cs="宋体"/>
      <w:b/>
      <w:bCs/>
      <w:kern w:val="2"/>
      <w:sz w:val="24"/>
      <w:szCs w:val="24"/>
      <w:lang w:val="en-US" w:eastAsia="zh-CN" w:bidi="ar-SA"/>
    </w:rPr>
  </w:style>
  <w:style w:type="character" w:customStyle="1" w:styleId="274">
    <w:name w:val="正文文本缩进 Char"/>
    <w:link w:val="3"/>
    <w:qFormat/>
    <w:uiPriority w:val="0"/>
    <w:rPr>
      <w:rFonts w:eastAsia="宋体"/>
      <w:kern w:val="2"/>
      <w:sz w:val="32"/>
      <w:szCs w:val="24"/>
      <w:lang w:val="hr-HR" w:eastAsia="zh-CN" w:bidi="ar-EG"/>
    </w:rPr>
  </w:style>
  <w:style w:type="character" w:customStyle="1" w:styleId="275">
    <w:name w:val="font71"/>
    <w:qFormat/>
    <w:uiPriority w:val="0"/>
    <w:rPr>
      <w:rFonts w:ascii="仿宋_GB2312" w:eastAsia="仿宋_GB2312" w:cs="仿宋_GB2312"/>
      <w:b/>
      <w:color w:val="000000"/>
      <w:sz w:val="22"/>
      <w:szCs w:val="22"/>
      <w:u w:val="none"/>
    </w:rPr>
  </w:style>
  <w:style w:type="character" w:customStyle="1" w:styleId="276">
    <w:name w:val="页眉 Char"/>
    <w:link w:val="28"/>
    <w:qFormat/>
    <w:uiPriority w:val="0"/>
    <w:rPr>
      <w:rFonts w:eastAsia="宋体"/>
      <w:kern w:val="2"/>
      <w:sz w:val="18"/>
      <w:szCs w:val="18"/>
      <w:lang w:val="en-US" w:eastAsia="zh-CN" w:bidi="ar-SA"/>
    </w:rPr>
  </w:style>
  <w:style w:type="character" w:customStyle="1" w:styleId="277">
    <w:name w:val="blacktext style109"/>
    <w:basedOn w:val="41"/>
    <w:qFormat/>
    <w:uiPriority w:val="0"/>
  </w:style>
  <w:style w:type="character" w:customStyle="1" w:styleId="278">
    <w:name w:val="Char Char15"/>
    <w:qFormat/>
    <w:uiPriority w:val="0"/>
    <w:rPr>
      <w:rFonts w:ascii="Arial" w:hAnsi="Arial" w:eastAsia="黑体" w:cs="Arial"/>
      <w:kern w:val="2"/>
      <w:sz w:val="21"/>
      <w:szCs w:val="21"/>
      <w:lang w:val="en-US" w:eastAsia="zh-CN" w:bidi="ar-SA"/>
    </w:rPr>
  </w:style>
  <w:style w:type="character" w:customStyle="1" w:styleId="279">
    <w:name w:val="页脚 Char"/>
    <w:link w:val="27"/>
    <w:qFormat/>
    <w:uiPriority w:val="0"/>
    <w:rPr>
      <w:rFonts w:eastAsia="宋体"/>
      <w:kern w:val="2"/>
      <w:sz w:val="18"/>
      <w:szCs w:val="18"/>
      <w:lang w:val="en-US" w:eastAsia="zh-CN" w:bidi="ar-SA"/>
    </w:rPr>
  </w:style>
  <w:style w:type="character" w:customStyle="1" w:styleId="280">
    <w:name w:val="标题 1 Char"/>
    <w:link w:val="4"/>
    <w:qFormat/>
    <w:uiPriority w:val="0"/>
    <w:rPr>
      <w:rFonts w:eastAsia="宋体"/>
      <w:b/>
      <w:bCs/>
      <w:kern w:val="44"/>
      <w:sz w:val="44"/>
      <w:szCs w:val="44"/>
      <w:lang w:val="en-US" w:eastAsia="zh-CN" w:bidi="ar-SA"/>
    </w:rPr>
  </w:style>
  <w:style w:type="character" w:customStyle="1" w:styleId="281">
    <w:name w:val="批注文字 Char1"/>
    <w:qFormat/>
    <w:uiPriority w:val="0"/>
    <w:rPr>
      <w:kern w:val="2"/>
      <w:sz w:val="21"/>
      <w:szCs w:val="24"/>
    </w:rPr>
  </w:style>
  <w:style w:type="character" w:customStyle="1" w:styleId="282">
    <w:name w:val="Char Char16"/>
    <w:qFormat/>
    <w:uiPriority w:val="0"/>
    <w:rPr>
      <w:rFonts w:ascii="Arial" w:hAnsi="Arial" w:eastAsia="黑体" w:cs="Arial"/>
      <w:kern w:val="2"/>
      <w:sz w:val="24"/>
      <w:szCs w:val="24"/>
      <w:lang w:val="en-US" w:eastAsia="zh-CN" w:bidi="ar-SA"/>
    </w:rPr>
  </w:style>
  <w:style w:type="character" w:customStyle="1" w:styleId="283">
    <w:name w:val="font31"/>
    <w:qFormat/>
    <w:uiPriority w:val="0"/>
    <w:rPr>
      <w:rFonts w:hint="eastAsia" w:ascii="仿宋_GB2312" w:eastAsia="仿宋_GB2312" w:cs="仿宋_GB2312"/>
      <w:color w:val="000000"/>
      <w:sz w:val="22"/>
      <w:szCs w:val="22"/>
      <w:u w:val="none"/>
    </w:rPr>
  </w:style>
  <w:style w:type="character" w:customStyle="1" w:styleId="284">
    <w:name w:val="标题 4 Char"/>
    <w:link w:val="7"/>
    <w:qFormat/>
    <w:uiPriority w:val="0"/>
    <w:rPr>
      <w:rFonts w:ascii="Arial" w:hAnsi="Arial" w:eastAsia="黑体"/>
      <w:b/>
      <w:bCs/>
      <w:kern w:val="2"/>
      <w:sz w:val="28"/>
      <w:szCs w:val="28"/>
      <w:lang w:val="en-US" w:eastAsia="zh-CN" w:bidi="ar-SA"/>
    </w:rPr>
  </w:style>
  <w:style w:type="character" w:customStyle="1" w:styleId="285">
    <w:name w:val="style1101"/>
    <w:qFormat/>
    <w:uiPriority w:val="0"/>
    <w:rPr>
      <w:color w:val="000099"/>
      <w:sz w:val="21"/>
      <w:szCs w:val="21"/>
    </w:rPr>
  </w:style>
  <w:style w:type="character" w:customStyle="1" w:styleId="286">
    <w:name w:val="标题 3 Char"/>
    <w:link w:val="6"/>
    <w:qFormat/>
    <w:uiPriority w:val="0"/>
    <w:rPr>
      <w:rFonts w:eastAsia="宋体"/>
      <w:b/>
      <w:bCs/>
      <w:kern w:val="2"/>
      <w:sz w:val="32"/>
      <w:szCs w:val="32"/>
      <w:lang w:val="en-US" w:eastAsia="zh-CN" w:bidi="ar-SA"/>
    </w:rPr>
  </w:style>
  <w:style w:type="character" w:customStyle="1" w:styleId="287">
    <w:name w:val="标题 Char"/>
    <w:link w:val="40"/>
    <w:qFormat/>
    <w:uiPriority w:val="0"/>
    <w:rPr>
      <w:rFonts w:ascii="Cambria" w:hAnsi="Cambria" w:eastAsia="宋体"/>
      <w:b/>
      <w:bCs/>
      <w:kern w:val="2"/>
      <w:sz w:val="32"/>
      <w:szCs w:val="32"/>
      <w:lang w:val="en-US" w:eastAsia="zh-CN" w:bidi="ar-SA"/>
    </w:rPr>
  </w:style>
  <w:style w:type="character" w:customStyle="1" w:styleId="288">
    <w:name w:val="标题 7 Char"/>
    <w:link w:val="10"/>
    <w:qFormat/>
    <w:uiPriority w:val="0"/>
    <w:rPr>
      <w:rFonts w:eastAsia="宋体"/>
      <w:b/>
      <w:bCs/>
      <w:kern w:val="2"/>
      <w:sz w:val="24"/>
      <w:szCs w:val="24"/>
      <w:lang w:val="en-US" w:eastAsia="zh-CN" w:bidi="ar-SA"/>
    </w:rPr>
  </w:style>
  <w:style w:type="character" w:customStyle="1" w:styleId="289">
    <w:name w:val="Char Char14"/>
    <w:qFormat/>
    <w:uiPriority w:val="0"/>
    <w:rPr>
      <w:rFonts w:eastAsia="宋体"/>
      <w:kern w:val="2"/>
      <w:sz w:val="21"/>
      <w:szCs w:val="21"/>
      <w:lang w:val="en-US" w:eastAsia="zh-CN" w:bidi="ar-SA"/>
    </w:rPr>
  </w:style>
  <w:style w:type="character" w:customStyle="1" w:styleId="290">
    <w:name w:val="Char Char17"/>
    <w:qFormat/>
    <w:uiPriority w:val="0"/>
    <w:rPr>
      <w:rFonts w:eastAsia="宋体"/>
      <w:b/>
      <w:bCs/>
      <w:kern w:val="2"/>
      <w:sz w:val="24"/>
      <w:szCs w:val="24"/>
      <w:lang w:val="en-US" w:eastAsia="zh-CN" w:bidi="ar-SA"/>
    </w:rPr>
  </w:style>
  <w:style w:type="paragraph" w:customStyle="1" w:styleId="291">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2642</Words>
  <Characters>15062</Characters>
  <Lines>125</Lines>
  <Paragraphs>35</Paragraphs>
  <TotalTime>3</TotalTime>
  <ScaleCrop>false</ScaleCrop>
  <LinksUpToDate>false</LinksUpToDate>
  <CharactersWithSpaces>17669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2020-08-05T02:21:00Z</dcterms:created>
  <dc:creator>风之客</dc:creator>
  <cp:lastModifiedBy>Administrator</cp:lastModifiedBy>
  <cp:lastPrinted>2016-12-13T02:09:00Z</cp:lastPrinted>
  <dcterms:modified xsi:type="dcterms:W3CDTF">2020-08-07T02:43:36Z</dcterms:modified>
  <dc:title>湖 北  招 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