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Times New Roman" w:hAnsi="Times New Roman"/>
          <w:sz w:val="24"/>
        </w:rPr>
      </w:pPr>
      <w:bookmarkStart w:id="0" w:name="_GoBack"/>
      <w:r>
        <w:rPr>
          <w:rFonts w:hint="eastAsia" w:ascii="Times New Roman" w:hAnsi="Times New Roman" w:eastAsia="黑体"/>
          <w:sz w:val="24"/>
        </w:rPr>
        <w:t>附录</w:t>
      </w:r>
      <w:r>
        <w:rPr>
          <w:rFonts w:ascii="Times New Roman" w:hAnsi="Times New Roman" w:eastAsia="黑体"/>
          <w:sz w:val="24"/>
        </w:rPr>
        <w:t xml:space="preserve">3  </w:t>
      </w:r>
      <w:r>
        <w:rPr>
          <w:rFonts w:hint="eastAsia" w:ascii="Times New Roman" w:hAnsi="Times New Roman" w:eastAsia="黑体"/>
          <w:sz w:val="24"/>
        </w:rPr>
        <w:t>资格审查条件</w:t>
      </w:r>
      <w:r>
        <w:rPr>
          <w:rFonts w:ascii="Times New Roman" w:hAnsi="Times New Roman"/>
          <w:sz w:val="24"/>
        </w:rPr>
        <w:t>(</w:t>
      </w:r>
      <w:r>
        <w:rPr>
          <w:rFonts w:hint="eastAsia" w:ascii="Times New Roman" w:hAnsi="Times New Roman"/>
          <w:sz w:val="24"/>
        </w:rPr>
        <w:t>财务最低要求</w:t>
      </w:r>
      <w:r>
        <w:rPr>
          <w:rFonts w:ascii="Times New Roman" w:hAnsi="Times New Roman"/>
          <w:sz w:val="24"/>
        </w:rPr>
        <w:t>)</w:t>
      </w:r>
    </w:p>
    <w:bookmarkEnd w:id="0"/>
    <w:p>
      <w:pPr>
        <w:adjustRightInd w:val="0"/>
        <w:snapToGrid w:val="0"/>
        <w:rPr>
          <w:rFonts w:hint="eastAsia" w:ascii="Times New Roman" w:hAnsi="Times New Roman"/>
          <w:sz w:val="24"/>
        </w:rPr>
      </w:pPr>
    </w:p>
    <w:tbl>
      <w:tblPr>
        <w:tblStyle w:val="2"/>
        <w:tblW w:w="90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6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8" w:hRule="atLeast"/>
          <w:jc w:val="center"/>
        </w:trPr>
        <w:tc>
          <w:tcPr>
            <w:tcW w:w="2192" w:type="dxa"/>
            <w:vAlign w:val="center"/>
          </w:tcPr>
          <w:p>
            <w:pPr>
              <w:adjustRightInd w:val="0"/>
              <w:snapToGrid w:val="0"/>
              <w:jc w:val="center"/>
              <w:rPr>
                <w:rFonts w:ascii="Times New Roman" w:hAnsi="Times New Roman"/>
                <w:sz w:val="24"/>
              </w:rPr>
            </w:pPr>
            <w:r>
              <w:rPr>
                <w:rFonts w:ascii="Times New Roman" w:hAnsi="Times New Roman"/>
                <w:sz w:val="24"/>
              </w:rPr>
              <w:t>标段</w:t>
            </w:r>
          </w:p>
        </w:tc>
        <w:tc>
          <w:tcPr>
            <w:tcW w:w="6813" w:type="dxa"/>
            <w:vAlign w:val="center"/>
          </w:tcPr>
          <w:p>
            <w:pPr>
              <w:adjustRightInd w:val="0"/>
              <w:snapToGrid w:val="0"/>
              <w:jc w:val="center"/>
              <w:rPr>
                <w:rFonts w:ascii="Times New Roman" w:hAnsi="Times New Roman"/>
                <w:sz w:val="24"/>
              </w:rPr>
            </w:pPr>
            <w:r>
              <w:rPr>
                <w:rFonts w:ascii="Times New Roman" w:hAnsi="Times New Roman"/>
                <w:sz w:val="24"/>
              </w:rPr>
              <w:t>财</w:t>
            </w:r>
            <w:r>
              <w:rPr>
                <w:rFonts w:hint="eastAsia" w:ascii="Times New Roman" w:hAnsi="Times New Roman"/>
                <w:sz w:val="24"/>
              </w:rPr>
              <w:t xml:space="preserve"> </w:t>
            </w:r>
            <w:r>
              <w:rPr>
                <w:rFonts w:ascii="Times New Roman" w:hAnsi="Times New Roman"/>
                <w:sz w:val="24"/>
              </w:rPr>
              <w:t>务</w:t>
            </w:r>
            <w:r>
              <w:rPr>
                <w:rFonts w:hint="eastAsia" w:ascii="Times New Roman" w:hAnsi="Times New Roman"/>
                <w:sz w:val="24"/>
              </w:rPr>
              <w:t xml:space="preserve"> </w:t>
            </w:r>
            <w:r>
              <w:rPr>
                <w:rFonts w:ascii="Times New Roman" w:hAnsi="Times New Roman"/>
                <w:sz w:val="24"/>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4" w:hRule="atLeast"/>
          <w:jc w:val="center"/>
        </w:trPr>
        <w:tc>
          <w:tcPr>
            <w:tcW w:w="2192" w:type="dxa"/>
            <w:vAlign w:val="center"/>
          </w:tcPr>
          <w:p>
            <w:pPr>
              <w:adjustRightInd w:val="0"/>
              <w:snapToGrid w:val="0"/>
              <w:jc w:val="center"/>
              <w:rPr>
                <w:rFonts w:ascii="Times New Roman" w:hAnsi="Times New Roman"/>
                <w:sz w:val="24"/>
              </w:rPr>
            </w:pPr>
            <w:r>
              <w:rPr>
                <w:rFonts w:ascii="Times New Roman" w:hAnsi="Times New Roman" w:eastAsia="黑体"/>
                <w:b/>
                <w:sz w:val="24"/>
              </w:rPr>
              <w:t>CKCF-1</w:t>
            </w:r>
          </w:p>
        </w:tc>
        <w:tc>
          <w:tcPr>
            <w:tcW w:w="6813" w:type="dxa"/>
            <w:vAlign w:val="center"/>
          </w:tcPr>
          <w:p>
            <w:pPr>
              <w:spacing w:line="400" w:lineRule="exact"/>
              <w:rPr>
                <w:rFonts w:ascii="Times New Roman" w:hAnsi="Times New Roman"/>
                <w:sz w:val="24"/>
              </w:rPr>
            </w:pPr>
            <w:r>
              <w:rPr>
                <w:szCs w:val="21"/>
              </w:rPr>
              <w:t>2017-2019年度不良贷款率≤</w:t>
            </w:r>
            <w:r>
              <w:rPr>
                <w:rFonts w:hint="eastAsia"/>
                <w:b/>
                <w:bCs/>
                <w:szCs w:val="21"/>
              </w:rPr>
              <w:t>2.5</w:t>
            </w:r>
            <w:r>
              <w:rPr>
                <w:szCs w:val="21"/>
              </w:rPr>
              <w:t>%，资本充足率≥</w:t>
            </w:r>
            <w:r>
              <w:rPr>
                <w:rFonts w:hint="eastAsia"/>
                <w:b/>
                <w:bCs/>
                <w:szCs w:val="21"/>
              </w:rPr>
              <w:t>8</w:t>
            </w:r>
            <w:r>
              <w:rPr>
                <w:b/>
                <w:bCs/>
                <w:szCs w:val="21"/>
              </w:rPr>
              <w:t>%</w:t>
            </w:r>
            <w:r>
              <w:rPr>
                <w:szCs w:val="21"/>
              </w:rPr>
              <w:t>，拨备覆盖率≥150%，流动性比率≥</w:t>
            </w:r>
            <w:r>
              <w:rPr>
                <w:rFonts w:hint="eastAsia"/>
                <w:b/>
                <w:bCs/>
                <w:szCs w:val="21"/>
              </w:rPr>
              <w:t>2</w:t>
            </w:r>
            <w:r>
              <w:rPr>
                <w:b/>
                <w:bCs/>
                <w:szCs w:val="21"/>
              </w:rPr>
              <w:t>%</w:t>
            </w:r>
            <w:r>
              <w:rPr>
                <w:rFonts w:hint="eastAsia"/>
                <w:szCs w:val="21"/>
              </w:rPr>
              <w:t>（</w:t>
            </w:r>
            <w:r>
              <w:rPr>
                <w:rFonts w:hint="eastAsia"/>
                <w:b/>
                <w:bCs/>
                <w:szCs w:val="21"/>
              </w:rPr>
              <w:t>可提供上级银行的财务数据或其他说明材料</w:t>
            </w:r>
            <w:r>
              <w:rPr>
                <w:rFonts w:hint="eastAsia"/>
                <w:szCs w:val="21"/>
              </w:rPr>
              <w:t>）</w:t>
            </w:r>
          </w:p>
        </w:tc>
      </w:tr>
    </w:tbl>
    <w:p>
      <w:pPr>
        <w:spacing w:line="240" w:lineRule="auto"/>
        <w:rPr>
          <w:rFonts w:ascii="仿宋_GB2312" w:hAnsi="Times New Roman" w:eastAsia="仿宋_GB2312"/>
          <w:b/>
          <w:sz w:val="18"/>
          <w:szCs w:val="18"/>
        </w:rPr>
      </w:pPr>
      <w:r>
        <w:rPr>
          <w:rFonts w:hint="eastAsia" w:ascii="仿宋_GB2312" w:hAnsi="Times New Roman" w:eastAsia="仿宋_GB2312"/>
          <w:b/>
          <w:sz w:val="18"/>
          <w:szCs w:val="18"/>
        </w:rPr>
        <w:t>注：投标人应提供</w:t>
      </w:r>
      <w:r>
        <w:rPr>
          <w:rFonts w:ascii="仿宋_GB2312" w:hAnsi="Times New Roman" w:eastAsia="仿宋_GB2312"/>
          <w:b/>
          <w:sz w:val="18"/>
          <w:szCs w:val="18"/>
        </w:rPr>
        <w:t>2017</w:t>
      </w:r>
      <w:r>
        <w:rPr>
          <w:rFonts w:hint="eastAsia" w:ascii="仿宋_GB2312" w:hAnsi="Times New Roman" w:eastAsia="仿宋_GB2312"/>
          <w:b/>
          <w:sz w:val="18"/>
          <w:szCs w:val="18"/>
        </w:rPr>
        <w:t>年、</w:t>
      </w:r>
      <w:r>
        <w:rPr>
          <w:rFonts w:ascii="仿宋_GB2312" w:hAnsi="Times New Roman" w:eastAsia="仿宋_GB2312"/>
          <w:b/>
          <w:sz w:val="18"/>
          <w:szCs w:val="18"/>
        </w:rPr>
        <w:t>2018</w:t>
      </w:r>
      <w:r>
        <w:rPr>
          <w:rFonts w:hint="eastAsia" w:ascii="仿宋_GB2312" w:hAnsi="Times New Roman" w:eastAsia="仿宋_GB2312"/>
          <w:b/>
          <w:sz w:val="18"/>
          <w:szCs w:val="18"/>
        </w:rPr>
        <w:t>年、</w:t>
      </w:r>
      <w:r>
        <w:rPr>
          <w:rFonts w:ascii="仿宋_GB2312" w:hAnsi="Times New Roman" w:eastAsia="仿宋_GB2312"/>
          <w:b/>
          <w:sz w:val="18"/>
          <w:szCs w:val="18"/>
        </w:rPr>
        <w:t>2019</w:t>
      </w:r>
      <w:r>
        <w:rPr>
          <w:rFonts w:hint="eastAsia" w:ascii="仿宋_GB2312" w:hAnsi="Times New Roman" w:eastAsia="仿宋_GB2312"/>
          <w:b/>
          <w:sz w:val="18"/>
          <w:szCs w:val="18"/>
        </w:rPr>
        <w:t>年财务报表（包括财务报表说明、资产负债表、现金流量表、利润及利润分配表（或损益表）及其他财务资料）及由独立于投标人的会计师事务所出具的相应年度审计报告的原件彩色扫描件</w:t>
      </w:r>
      <w:r>
        <w:rPr>
          <w:rFonts w:ascii="仿宋_GB2312" w:hAnsi="Times New Roman" w:eastAsia="仿宋_GB2312"/>
          <w:b/>
          <w:sz w:val="18"/>
          <w:szCs w:val="18"/>
        </w:rPr>
        <w:t>。</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2000019F"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E06F0"/>
    <w:rsid w:val="00547FAD"/>
    <w:rsid w:val="00810448"/>
    <w:rsid w:val="01EB7710"/>
    <w:rsid w:val="02807CD9"/>
    <w:rsid w:val="0316544D"/>
    <w:rsid w:val="03720500"/>
    <w:rsid w:val="03EE4E23"/>
    <w:rsid w:val="03FC0664"/>
    <w:rsid w:val="059B4F71"/>
    <w:rsid w:val="07846A8C"/>
    <w:rsid w:val="084D4665"/>
    <w:rsid w:val="0A4D539E"/>
    <w:rsid w:val="0B4E5C08"/>
    <w:rsid w:val="0B8A6BB3"/>
    <w:rsid w:val="0BAA4186"/>
    <w:rsid w:val="0BC46650"/>
    <w:rsid w:val="0BE71AAA"/>
    <w:rsid w:val="0D524E22"/>
    <w:rsid w:val="0E6A38B0"/>
    <w:rsid w:val="0EE824EC"/>
    <w:rsid w:val="0F64361C"/>
    <w:rsid w:val="0F791F59"/>
    <w:rsid w:val="0FAE06F0"/>
    <w:rsid w:val="0FCD2CDF"/>
    <w:rsid w:val="1031459A"/>
    <w:rsid w:val="103655FF"/>
    <w:rsid w:val="10785AFD"/>
    <w:rsid w:val="10F551B4"/>
    <w:rsid w:val="121028AC"/>
    <w:rsid w:val="125901E8"/>
    <w:rsid w:val="12A16E17"/>
    <w:rsid w:val="12C552C4"/>
    <w:rsid w:val="148B210E"/>
    <w:rsid w:val="174F6E69"/>
    <w:rsid w:val="17E52BB1"/>
    <w:rsid w:val="18232EDB"/>
    <w:rsid w:val="1A2A5F78"/>
    <w:rsid w:val="1A322CE1"/>
    <w:rsid w:val="1BDA5FBA"/>
    <w:rsid w:val="1C9E5905"/>
    <w:rsid w:val="1CE1677F"/>
    <w:rsid w:val="1E3B59D0"/>
    <w:rsid w:val="1EC07429"/>
    <w:rsid w:val="1F8D328D"/>
    <w:rsid w:val="1FBF6423"/>
    <w:rsid w:val="1FC5185E"/>
    <w:rsid w:val="20A3603A"/>
    <w:rsid w:val="213F66EE"/>
    <w:rsid w:val="21911F52"/>
    <w:rsid w:val="227248AC"/>
    <w:rsid w:val="230F6DBF"/>
    <w:rsid w:val="233E339B"/>
    <w:rsid w:val="23553086"/>
    <w:rsid w:val="25666528"/>
    <w:rsid w:val="25865167"/>
    <w:rsid w:val="25AF7AE9"/>
    <w:rsid w:val="25CA6CBB"/>
    <w:rsid w:val="25EF6CC8"/>
    <w:rsid w:val="2654324C"/>
    <w:rsid w:val="266912AE"/>
    <w:rsid w:val="26A011FD"/>
    <w:rsid w:val="27AC3765"/>
    <w:rsid w:val="28804121"/>
    <w:rsid w:val="28C13B66"/>
    <w:rsid w:val="28D408E2"/>
    <w:rsid w:val="28D83756"/>
    <w:rsid w:val="294E49DE"/>
    <w:rsid w:val="29AF056C"/>
    <w:rsid w:val="2AE15FA3"/>
    <w:rsid w:val="2B1F284D"/>
    <w:rsid w:val="2B70719E"/>
    <w:rsid w:val="2DD73665"/>
    <w:rsid w:val="2E717737"/>
    <w:rsid w:val="2E7C019C"/>
    <w:rsid w:val="2E8A0310"/>
    <w:rsid w:val="2F2B542E"/>
    <w:rsid w:val="2F503FC3"/>
    <w:rsid w:val="3183026C"/>
    <w:rsid w:val="3189573C"/>
    <w:rsid w:val="31A32D05"/>
    <w:rsid w:val="31FA4487"/>
    <w:rsid w:val="32583A34"/>
    <w:rsid w:val="32B31027"/>
    <w:rsid w:val="32EF1F87"/>
    <w:rsid w:val="337F153C"/>
    <w:rsid w:val="33D342CA"/>
    <w:rsid w:val="33E82D95"/>
    <w:rsid w:val="33F8423C"/>
    <w:rsid w:val="34E17ED0"/>
    <w:rsid w:val="35B2564E"/>
    <w:rsid w:val="374016A5"/>
    <w:rsid w:val="38134194"/>
    <w:rsid w:val="38D24E93"/>
    <w:rsid w:val="38DF10E0"/>
    <w:rsid w:val="394457F9"/>
    <w:rsid w:val="3C027531"/>
    <w:rsid w:val="3D0859E5"/>
    <w:rsid w:val="3D5B6E77"/>
    <w:rsid w:val="3DE670FF"/>
    <w:rsid w:val="3F860BD2"/>
    <w:rsid w:val="3F9D4F14"/>
    <w:rsid w:val="3FAC665A"/>
    <w:rsid w:val="3FF10628"/>
    <w:rsid w:val="40EF1177"/>
    <w:rsid w:val="423E1A39"/>
    <w:rsid w:val="42FA52B0"/>
    <w:rsid w:val="43624028"/>
    <w:rsid w:val="45312C6E"/>
    <w:rsid w:val="455E128E"/>
    <w:rsid w:val="457735BA"/>
    <w:rsid w:val="45846861"/>
    <w:rsid w:val="465F72AF"/>
    <w:rsid w:val="468F1D3C"/>
    <w:rsid w:val="47627E3C"/>
    <w:rsid w:val="47DA0958"/>
    <w:rsid w:val="4AEA2CEA"/>
    <w:rsid w:val="4AF400EF"/>
    <w:rsid w:val="4B2A3296"/>
    <w:rsid w:val="4BB30B80"/>
    <w:rsid w:val="4BED1154"/>
    <w:rsid w:val="4C0F65DA"/>
    <w:rsid w:val="4C4A42B4"/>
    <w:rsid w:val="4CB12B07"/>
    <w:rsid w:val="4F15707A"/>
    <w:rsid w:val="4F656BB8"/>
    <w:rsid w:val="4FD06A07"/>
    <w:rsid w:val="50081E90"/>
    <w:rsid w:val="50554832"/>
    <w:rsid w:val="50780683"/>
    <w:rsid w:val="5086089F"/>
    <w:rsid w:val="51573AF1"/>
    <w:rsid w:val="5173209C"/>
    <w:rsid w:val="52354882"/>
    <w:rsid w:val="52420529"/>
    <w:rsid w:val="52FF5E6E"/>
    <w:rsid w:val="5358171F"/>
    <w:rsid w:val="541B4E30"/>
    <w:rsid w:val="54E01321"/>
    <w:rsid w:val="555C188F"/>
    <w:rsid w:val="55B83B04"/>
    <w:rsid w:val="55F15779"/>
    <w:rsid w:val="58F75CC3"/>
    <w:rsid w:val="59E00910"/>
    <w:rsid w:val="59E53186"/>
    <w:rsid w:val="5A8C2696"/>
    <w:rsid w:val="5ACA31DC"/>
    <w:rsid w:val="5AD560AA"/>
    <w:rsid w:val="5B417D11"/>
    <w:rsid w:val="5BC65E33"/>
    <w:rsid w:val="5BCC49A8"/>
    <w:rsid w:val="5BF55FD9"/>
    <w:rsid w:val="5C2A2F23"/>
    <w:rsid w:val="5CAB6060"/>
    <w:rsid w:val="5D864425"/>
    <w:rsid w:val="5DB73AEA"/>
    <w:rsid w:val="5E39558E"/>
    <w:rsid w:val="5F3C6BD7"/>
    <w:rsid w:val="5F605B6B"/>
    <w:rsid w:val="60CA4C2F"/>
    <w:rsid w:val="61536E60"/>
    <w:rsid w:val="61AB1626"/>
    <w:rsid w:val="61C22639"/>
    <w:rsid w:val="6283503B"/>
    <w:rsid w:val="62B326DD"/>
    <w:rsid w:val="62F71AD4"/>
    <w:rsid w:val="65531115"/>
    <w:rsid w:val="66CC16EB"/>
    <w:rsid w:val="68311EEB"/>
    <w:rsid w:val="689B58D4"/>
    <w:rsid w:val="69B53C7E"/>
    <w:rsid w:val="6A577463"/>
    <w:rsid w:val="6BA80CA3"/>
    <w:rsid w:val="6C153926"/>
    <w:rsid w:val="6D3F5EDB"/>
    <w:rsid w:val="6E0B2414"/>
    <w:rsid w:val="7056168F"/>
    <w:rsid w:val="70A16118"/>
    <w:rsid w:val="72BB6874"/>
    <w:rsid w:val="73CA20D8"/>
    <w:rsid w:val="73D563BF"/>
    <w:rsid w:val="73F22259"/>
    <w:rsid w:val="74486A38"/>
    <w:rsid w:val="754327B1"/>
    <w:rsid w:val="765A2BBC"/>
    <w:rsid w:val="768F1642"/>
    <w:rsid w:val="76D67C9C"/>
    <w:rsid w:val="76FF4D25"/>
    <w:rsid w:val="77C203B3"/>
    <w:rsid w:val="78A503BA"/>
    <w:rsid w:val="79326295"/>
    <w:rsid w:val="7943797B"/>
    <w:rsid w:val="79461014"/>
    <w:rsid w:val="79471310"/>
    <w:rsid w:val="7A2201DB"/>
    <w:rsid w:val="7A451E8D"/>
    <w:rsid w:val="7ACA73CD"/>
    <w:rsid w:val="7BF676D9"/>
    <w:rsid w:val="7D1A5FEE"/>
    <w:rsid w:val="7FCF4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atLeast"/>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2020-09-02T08:35:00Z</dcterms:created>
  <dc:creator>NTKO</dc:creator>
  <cp:lastModifiedBy>NTKO</cp:lastModifiedBy>
  <dcterms:modified xsi:type="dcterms:W3CDTF">2020-09-02T08:38:28Z</dcterms:modified>
  <dc:title>附录3  资格审查条件(财务最低要求)</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