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宜昌市森林病虫防治检疫站专业正射影像拼图软件项目询价响应文件</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供应商名称</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（盖章）</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报价一览表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4"/>
        <w:tblW w:w="8299" w:type="dxa"/>
        <w:tblInd w:w="0" w:type="dxa"/>
        <w:tblLayout w:type="fixed"/>
        <w:tblCellMar>
          <w:top w:w="0" w:type="dxa"/>
          <w:left w:w="0" w:type="dxa"/>
          <w:bottom w:w="0" w:type="dxa"/>
          <w:right w:w="0" w:type="dxa"/>
        </w:tblCellMar>
      </w:tblPr>
      <w:tblGrid>
        <w:gridCol w:w="501"/>
        <w:gridCol w:w="911"/>
        <w:gridCol w:w="4575"/>
        <w:gridCol w:w="537"/>
        <w:gridCol w:w="625"/>
        <w:gridCol w:w="1150"/>
      </w:tblGrid>
      <w:tr>
        <w:tblPrEx>
          <w:tblCellMar>
            <w:top w:w="0" w:type="dxa"/>
            <w:left w:w="0" w:type="dxa"/>
            <w:bottom w:w="0" w:type="dxa"/>
            <w:right w:w="0" w:type="dxa"/>
          </w:tblCellMar>
        </w:tblPrEx>
        <w:trPr>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名称</w:t>
            </w:r>
          </w:p>
        </w:tc>
        <w:tc>
          <w:tcPr>
            <w:tcW w:w="4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分项报价（元）</w:t>
            </w: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default" w:ascii="方正仿宋_GBK" w:hAnsi="方正仿宋_GBK" w:eastAsia="方正仿宋_GBK" w:cs="方正仿宋_GBK"/>
                <w:i w:val="0"/>
                <w:color w:val="000000"/>
                <w:sz w:val="22"/>
                <w:szCs w:val="22"/>
                <w:u w:val="none"/>
                <w:lang w:val="en-US" w:eastAsia="zh-CN"/>
              </w:rPr>
              <w:t>专业正射影像拼图软件</w:t>
            </w:r>
          </w:p>
        </w:tc>
        <w:tc>
          <w:tcPr>
            <w:tcW w:w="4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1.支持无人机数据、航空影像、倾斜摄影和近景摄影测量数据；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2.支持多种格式数据（JPG或者TIF格式）；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3.支持视频数据直接处理：*.avi、*.mp4、*.wmv和*.mov格式；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4.支持任意坐标参考系统，选择公开的投影系统或者自定义投影坐标系统；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5.支持导入外部点云数据，生成DSM和正射影像；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6.具备DTM/DEM生成功能， 可自动生成等高线；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7.支持大数据量同时处理，能生成三维地形数据；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8.可与ArcGIS、CASS、Inpho、SSK等测图成图软件结合进行化图采集及输出；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9.具备多测区（多工程 ）林地数据整合及联合平差功能；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10.支持西安80坐标数据到国家2000数据的互转功能；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11.支持多光谱、高光谱影像的数据拼接处理；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12.具备自动转点和二次转点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13.支持影像与激光点云数据的融合功能；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14.基于多光谱、高光谱影像的地物分类；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15.影像重叠度不够时，能够点云插值生成正射影像；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16.数据处理在5个步骤以内完成数据处理；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17.拼图完成可以在拼图软件中直接导出林业xian80和林业国家2000坐标系统，无需纠偏，即可叠加现有林业资料；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18．支持拼图完成后自动关机功能，以保证数据安全。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19.含通图采集</w:t>
            </w:r>
            <w:bookmarkStart w:id="0" w:name="_GoBack"/>
            <w:bookmarkEnd w:id="0"/>
            <w:r>
              <w:rPr>
                <w:rFonts w:hint="eastAsia" w:ascii="宋体" w:hAnsi="宋体" w:cs="宋体"/>
                <w:i w:val="0"/>
                <w:color w:val="000000"/>
                <w:kern w:val="0"/>
                <w:sz w:val="18"/>
                <w:szCs w:val="18"/>
                <w:u w:val="none"/>
                <w:lang w:val="en-US" w:eastAsia="zh-CN" w:bidi="ar"/>
              </w:rPr>
              <w:t>软件永久版授权一套（含HUAWEI MatePad Pro 5G，8G+256G全网通，认证型号：MRX-AN19）。</w:t>
            </w: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b/>
                <w:bCs/>
                <w:i w:val="0"/>
                <w:color w:val="000000"/>
                <w:kern w:val="0"/>
                <w:sz w:val="24"/>
                <w:szCs w:val="24"/>
                <w:u w:val="none"/>
                <w:lang w:val="en-US" w:eastAsia="zh-CN" w:bidi="ar"/>
              </w:rPr>
              <w:t>总价（大写）：                         小写：</w:t>
            </w: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报价包括：  1.含税开票    2.包调试安装     3.包后期1年维护。</w:t>
            </w:r>
          </w:p>
        </w:tc>
      </w:tr>
    </w:tbl>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供应商名称（盖章）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法定代表人或委托人（签字或盖章）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营业执照复印件（盖章）及法人身份证复印件（盖章）</w:t>
      </w:r>
    </w:p>
    <w:p>
      <w:pP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94120" cy="8903335"/>
                    </a:xfrm>
                    <a:prstGeom prst="rect">
                      <a:avLst/>
                    </a:prstGeom>
                    <a:noFill/>
                    <a:ln w="9525">
                      <a:noFill/>
                    </a:ln>
                  </pic:spPr>
                </pic:pic>
              </a:graphicData>
            </a:graphic>
          </wp:anchor>
        </w:drawing>
      </w:r>
    </w:p>
    <w:p>
      <w:pPr>
        <w:rPr>
          <w:rFonts w:ascii="宋体" w:hAnsi="宋体" w:eastAsia="宋体" w:cs="宋体"/>
          <w:sz w:val="24"/>
          <w:szCs w:val="24"/>
        </w:rPr>
      </w:pPr>
      <w:r>
        <w:rPr>
          <w:rFonts w:ascii="宋体" w:hAnsi="宋体" w:eastAsia="宋体" w:cs="宋体"/>
          <w:sz w:val="24"/>
          <w:szCs w:val="24"/>
        </w:rPr>
        <w:br w:type="page"/>
      </w:r>
    </w:p>
    <w:p>
      <w:pPr>
        <w:rPr>
          <w:rFonts w:hint="default" w:ascii="方正小标宋_GBK" w:hAnsi="方正小标宋_GBK" w:eastAsia="方正小标宋_GBK" w:cs="方正小标宋_GBK"/>
          <w:b w:val="0"/>
          <w:bCs w:val="0"/>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7750175</wp:posOffset>
                </wp:positionV>
                <wp:extent cx="4942205" cy="561340"/>
                <wp:effectExtent l="4445" t="4445" r="6350" b="5715"/>
                <wp:wrapNone/>
                <wp:docPr id="4" name="文本框 4"/>
                <wp:cNvGraphicFramePr/>
                <a:graphic xmlns:a="http://schemas.openxmlformats.org/drawingml/2006/main">
                  <a:graphicData uri="http://schemas.microsoft.com/office/word/2010/wordprocessingShape">
                    <wps:wsp>
                      <wps:cNvSpPr txBox="1"/>
                      <wps:spPr>
                        <a:xfrm>
                          <a:off x="1393825" y="8664575"/>
                          <a:ext cx="4942205" cy="561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pt;margin-top:610.25pt;height:44.2pt;width:389.15pt;z-index:251660288;mso-width-relative:page;mso-height-relative:page;" fillcolor="#FFFFFF [3201]" filled="t" stroked="t" coordsize="21600,21600" o:gfxdata="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sttIfYAAAADAEAAA8AAAAAAAAA&#10;AQAgAAAAIgAAAGRycy9kb3ducmV2LnhtbFBLAQIUABQAAAAIAIdO4kDSvm76SgIAAHUEAAAOAAAA&#10;AAAAAAEAIAAAACcBAABkcnMvZTJvRG9jLnhtbFBLBQYAAAAABgAGAFkBAADjBQAAAAA=&#10;">
                <v:fill on="t" focussize="0,0"/>
                <v:stroke weight="0.5pt" color="#000000 [3204]" joinstyle="round"/>
                <v:imagedata o:title=""/>
                <o:lock v:ext="edit" aspectratio="f"/>
                <v:textbo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v:textbox>
              </v:shape>
            </w:pict>
          </mc:Fallback>
        </mc:AlternateContent>
      </w: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1199515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5"/>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致宜昌市森林病虫防治检疫站：</w:t>
      </w:r>
    </w:p>
    <w:p>
      <w:pPr>
        <w:pStyle w:val="7"/>
        <w:keepNext w:val="0"/>
        <w:keepLines w:val="0"/>
        <w:pageBreakBefore w:val="0"/>
        <w:widowControl w:val="0"/>
        <w:kinsoku/>
        <w:overflowPunct/>
        <w:topLinePunct w:val="0"/>
        <w:autoSpaceDE/>
        <w:autoSpaceDN/>
        <w:bidi w:val="0"/>
        <w:snapToGrid/>
        <w:spacing w:line="500" w:lineRule="exact"/>
        <w:ind w:firstLine="554" w:firstLineChars="198"/>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我单位如果中标宜昌市森林病虫防治检疫站专业正射影像拼图软件项目</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将保证做到：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1.保证提供的软件、设备是全新的、符合国家相关技术标准或行业标准、国内相关部门手续完备、具有制造商质量保证书（或合格证明）的设备；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2.所提供的软件、设备符合询价文件的技术要求；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3.所有软件、设备提供一年技术服务和保修；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4.保证软件和设备配件齐全、包装完整、完好未拆封；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5.保证严格按照国家相关规范进行安装，并保证所有投标产品质量符合国家相关法律、法规和规定的要求。</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供应商名称（盖章）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法定代表人或委托人（签字或盖章）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p>
    <w:p>
      <w:pPr>
        <w:pStyle w:val="7"/>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0E05E6-AF69-48DB-8DAB-7C79C3F7C3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2C604C26-70BB-46AF-9D1A-94CA4A346013}"/>
  </w:font>
  <w:font w:name="方正小标宋简体">
    <w:panose1 w:val="02010601030101010101"/>
    <w:charset w:val="86"/>
    <w:family w:val="auto"/>
    <w:pitch w:val="default"/>
    <w:sig w:usb0="00000001" w:usb1="080E0000" w:usb2="00000000" w:usb3="00000000" w:csb0="00040000" w:csb1="00000000"/>
    <w:embedRegular r:id="rId3" w:fontKey="{14B17982-0B51-41FF-A261-52251A5C5DA1}"/>
  </w:font>
  <w:font w:name="方正仿宋_GBK">
    <w:altName w:val="微软雅黑"/>
    <w:panose1 w:val="03000509000000000000"/>
    <w:charset w:val="86"/>
    <w:family w:val="auto"/>
    <w:pitch w:val="default"/>
    <w:sig w:usb0="00000000" w:usb1="00000000" w:usb2="00000000" w:usb3="00000000" w:csb0="00040000" w:csb1="00000000"/>
    <w:embedRegular r:id="rId4" w:fontKey="{29EAF362-5578-4D91-A235-F5889E6F9A55}"/>
  </w:font>
  <w:font w:name="仿宋">
    <w:panose1 w:val="02010609060101010101"/>
    <w:charset w:val="86"/>
    <w:family w:val="auto"/>
    <w:pitch w:val="default"/>
    <w:sig w:usb0="800002BF" w:usb1="38CF7CFA" w:usb2="00000016" w:usb3="00000000" w:csb0="00040001" w:csb1="00000000"/>
    <w:embedRegular r:id="rId5" w:fontKey="{F7DD61B7-F108-4F09-941B-4DC8AB396AA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35357"/>
    <w:rsid w:val="0CDE63EF"/>
    <w:rsid w:val="1B0B6100"/>
    <w:rsid w:val="283C28EC"/>
    <w:rsid w:val="29A10824"/>
    <w:rsid w:val="34C554F3"/>
    <w:rsid w:val="3D5A3126"/>
    <w:rsid w:val="46125265"/>
    <w:rsid w:val="4BA36869"/>
    <w:rsid w:val="629B63F1"/>
    <w:rsid w:val="6B54266A"/>
    <w:rsid w:val="6EF31E04"/>
    <w:rsid w:val="7D067140"/>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11111111111"/>
    <w:basedOn w:val="1"/>
    <w:qFormat/>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7">
    <w:name w:val="正文_1"/>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剑侠</cp:lastModifiedBy>
  <cp:lastPrinted>2020-06-03T07:05:00Z</cp:lastPrinted>
  <dcterms:modified xsi:type="dcterms:W3CDTF">2020-09-22T09:07:21Z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