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eastAsia="zh-CN"/>
        </w:rPr>
        <w:t>宜昌市十强建筑企业评分标准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一、产值指标(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完成年建筑业总产值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亿元得基本分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分，超过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亿元部分每增加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市外施工年产值占建筑业总产值比例达到10%以上得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，超过10%部分每增加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元加1分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52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3.以上两项得分总和60分封顶。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二、纳税指标（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1.企业在本市年纳税总额超过1000万元得基本分20分，超过1000万元部分每增加100万元加1分。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2.以上得分总和60分封顶。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三、市场诚信(30分)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近两年未发生重大工程质量事故、伤亡安全生产事故和拖欠农民工工资问题，加基础分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召开评审会议当天为基准日，核定企业诚信分值，企业诚信分值在100分以上的，每超过10分加2分。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3.以上两项得分总和30分封顶。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515D7"/>
    <w:rsid w:val="7C65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2020-11-05T06:39:00Z</dcterms:created>
  <dc:creator>CaoChen</dc:creator>
  <cp:lastModifiedBy>CaoChen</cp:lastModifiedBy>
  <dcterms:modified xsi:type="dcterms:W3CDTF">2020-11-05T06:40:23Z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