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2"/>
        <w:rPr>
          <w:rFonts w:ascii="Times New Roman"/>
          <w:sz w:val="14"/>
        </w:rPr>
      </w:pPr>
    </w:p>
    <w:p>
      <w:pPr>
        <w:pStyle w:val="4"/>
        <w:spacing w:before="91"/>
        <w:ind w:left="218" w:right="9405"/>
        <w:rPr>
          <w:rFonts w:ascii="Times New Roman"/>
        </w:rPr>
      </w:pPr>
      <w:r>
        <w:drawing>
          <wp:anchor distT="0" distB="0" distL="0" distR="0" simplePos="0" relativeHeight="251659264" behindDoc="0" locked="0" layoutInCell="1" allowOverlap="1">
            <wp:simplePos x="0" y="0"/>
            <wp:positionH relativeFrom="page">
              <wp:posOffset>5518150</wp:posOffset>
            </wp:positionH>
            <wp:positionV relativeFrom="paragraph">
              <wp:posOffset>-106045</wp:posOffset>
            </wp:positionV>
            <wp:extent cx="1403350" cy="7207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7" cstate="print"/>
                    <a:stretch>
                      <a:fillRect/>
                    </a:stretch>
                  </pic:blipFill>
                  <pic:spPr>
                    <a:xfrm>
                      <a:off x="0" y="0"/>
                      <a:ext cx="1403603" cy="720851"/>
                    </a:xfrm>
                    <a:prstGeom prst="rect">
                      <a:avLst/>
                    </a:prstGeom>
                  </pic:spPr>
                </pic:pic>
              </a:graphicData>
            </a:graphic>
          </wp:anchor>
        </w:drawing>
      </w:r>
      <w:r>
        <w:rPr>
          <w:rFonts w:ascii="Times New Roman"/>
        </w:rPr>
        <w:t>ICS Z</w:t>
      </w:r>
    </w:p>
    <w:p>
      <w:pPr>
        <w:pStyle w:val="4"/>
        <w:rPr>
          <w:rFonts w:ascii="Times New Roman"/>
          <w:sz w:val="20"/>
        </w:rPr>
      </w:pPr>
    </w:p>
    <w:p>
      <w:pPr>
        <w:pStyle w:val="4"/>
        <w:rPr>
          <w:rFonts w:ascii="Times New Roman"/>
          <w:sz w:val="20"/>
        </w:rPr>
      </w:pPr>
    </w:p>
    <w:p>
      <w:pPr>
        <w:pStyle w:val="4"/>
        <w:spacing w:before="9"/>
        <w:rPr>
          <w:rFonts w:ascii="Times New Roman"/>
          <w:sz w:val="16"/>
        </w:rPr>
      </w:pPr>
    </w:p>
    <w:p>
      <w:pPr>
        <w:spacing w:before="0" w:line="897" w:lineRule="exact"/>
        <w:ind w:left="218" w:right="0" w:firstLine="0"/>
        <w:jc w:val="left"/>
        <w:rPr>
          <w:rFonts w:hint="eastAsia" w:ascii="微软雅黑" w:eastAsia="微软雅黑"/>
          <w:b/>
          <w:sz w:val="52"/>
        </w:rPr>
      </w:pPr>
      <w:r>
        <w:rPr>
          <w:rFonts w:hint="eastAsia" w:ascii="微软雅黑" w:eastAsia="微软雅黑"/>
          <w:b/>
          <w:spacing w:val="100"/>
          <w:w w:val="145"/>
          <w:sz w:val="52"/>
        </w:rPr>
        <w:t>中华人民共和国国家标准</w:t>
      </w:r>
    </w:p>
    <w:p>
      <w:pPr>
        <w:pStyle w:val="4"/>
        <w:spacing w:before="3"/>
        <w:rPr>
          <w:rFonts w:ascii="微软雅黑"/>
          <w:b/>
          <w:sz w:val="12"/>
        </w:rPr>
      </w:pPr>
    </w:p>
    <w:p>
      <w:pPr>
        <w:spacing w:before="89" w:line="311" w:lineRule="exact"/>
        <w:ind w:left="7857" w:right="0" w:firstLine="0"/>
        <w:jc w:val="left"/>
        <w:rPr>
          <w:rFonts w:ascii="Times New Roman" w:hAnsi="Times New Roman"/>
          <w:sz w:val="28"/>
        </w:rPr>
      </w:pPr>
      <w:r>
        <w:rPr>
          <w:rFonts w:ascii="Times New Roman" w:hAnsi="Times New Roman"/>
          <w:sz w:val="28"/>
        </w:rPr>
        <w:t>GB</w:t>
      </w:r>
      <w:r>
        <w:rPr>
          <w:rFonts w:ascii="Times New Roman" w:hAnsi="Times New Roman"/>
          <w:spacing w:val="-7"/>
          <w:sz w:val="28"/>
        </w:rPr>
        <w:t xml:space="preserve"> </w:t>
      </w:r>
      <w:r>
        <w:rPr>
          <w:rFonts w:ascii="Times New Roman" w:hAnsi="Times New Roman"/>
          <w:sz w:val="28"/>
        </w:rPr>
        <w:t>15618—2018</w:t>
      </w:r>
    </w:p>
    <w:p>
      <w:pPr>
        <w:pStyle w:val="4"/>
        <w:spacing w:line="259" w:lineRule="exact"/>
        <w:ind w:left="7936"/>
        <w:rPr>
          <w:rFonts w:ascii="Times New Roman" w:hAnsi="Times New Roman" w:eastAsia="Times New Roman"/>
        </w:rPr>
      </w:pPr>
      <w:r>
        <w:pict>
          <v:line id="_x0000_s1026" o:spid="_x0000_s1026" o:spt="20" style="position:absolute;left:0pt;margin-left:78.05pt;margin-top:40.35pt;height:0pt;width:482pt;mso-position-horizontal-relative:page;z-index:251660288;mso-width-relative:page;mso-height-relative:page;" stroked="t" coordsize="21600,21600">
            <v:path arrowok="t"/>
            <v:fill focussize="0,0"/>
            <v:stroke weight="1pt" color="#000000"/>
            <v:imagedata o:title=""/>
            <o:lock v:ext="edit"/>
          </v:line>
        </w:pict>
      </w:r>
      <w:r>
        <w:t>代替</w:t>
      </w:r>
      <w:r>
        <w:rPr>
          <w:rFonts w:ascii="Times New Roman" w:hAnsi="Times New Roman" w:eastAsia="Times New Roman"/>
        </w:rPr>
        <w:t>GB</w:t>
      </w:r>
      <w:r>
        <w:rPr>
          <w:rFonts w:ascii="Times New Roman" w:hAnsi="Times New Roman" w:eastAsia="Times New Roman"/>
          <w:spacing w:val="-2"/>
        </w:rPr>
        <w:t xml:space="preserve"> </w:t>
      </w:r>
      <w:r>
        <w:rPr>
          <w:rFonts w:ascii="Times New Roman" w:hAnsi="Times New Roman" w:eastAsia="Times New Roman"/>
        </w:rPr>
        <w:t>15618</w:t>
      </w:r>
      <w:r>
        <w:t>—</w:t>
      </w:r>
      <w:r>
        <w:rPr>
          <w:rFonts w:ascii="Times New Roman" w:hAnsi="Times New Roman" w:eastAsia="Times New Roman"/>
        </w:rPr>
        <w:t>1995</w:t>
      </w:r>
    </w:p>
    <w:p>
      <w:pPr>
        <w:pStyle w:val="4"/>
        <w:rPr>
          <w:rFonts w:ascii="Times New Roman"/>
          <w:sz w:val="22"/>
        </w:rPr>
      </w:pPr>
    </w:p>
    <w:p>
      <w:pPr>
        <w:pStyle w:val="4"/>
        <w:rPr>
          <w:rFonts w:ascii="Times New Roman"/>
          <w:sz w:val="22"/>
        </w:rPr>
      </w:pPr>
    </w:p>
    <w:p>
      <w:pPr>
        <w:pStyle w:val="4"/>
        <w:rPr>
          <w:rFonts w:ascii="Times New Roman"/>
          <w:sz w:val="22"/>
        </w:rPr>
      </w:pPr>
    </w:p>
    <w:p>
      <w:pPr>
        <w:pStyle w:val="4"/>
        <w:rPr>
          <w:rFonts w:ascii="Times New Roman"/>
          <w:sz w:val="22"/>
        </w:rPr>
      </w:pPr>
    </w:p>
    <w:p>
      <w:pPr>
        <w:pStyle w:val="4"/>
        <w:rPr>
          <w:rFonts w:ascii="Times New Roman"/>
          <w:sz w:val="22"/>
        </w:rPr>
      </w:pPr>
    </w:p>
    <w:p>
      <w:pPr>
        <w:pStyle w:val="4"/>
        <w:rPr>
          <w:rFonts w:ascii="Times New Roman"/>
          <w:sz w:val="22"/>
        </w:rPr>
      </w:pPr>
    </w:p>
    <w:p>
      <w:pPr>
        <w:pStyle w:val="4"/>
        <w:rPr>
          <w:rFonts w:ascii="Times New Roman"/>
          <w:sz w:val="22"/>
        </w:rPr>
      </w:pPr>
    </w:p>
    <w:p>
      <w:pPr>
        <w:pStyle w:val="4"/>
        <w:spacing w:before="6"/>
        <w:rPr>
          <w:rFonts w:ascii="Times New Roman"/>
          <w:sz w:val="31"/>
        </w:rPr>
      </w:pPr>
    </w:p>
    <w:p>
      <w:pPr>
        <w:pStyle w:val="2"/>
        <w:ind w:right="288"/>
      </w:pPr>
      <w:r>
        <w:t>土壤环境质量</w:t>
      </w:r>
    </w:p>
    <w:p>
      <w:pPr>
        <w:spacing w:before="344"/>
        <w:ind w:left="0" w:right="290" w:firstLine="0"/>
        <w:jc w:val="center"/>
        <w:rPr>
          <w:rFonts w:hint="eastAsia" w:ascii="黑体" w:eastAsia="黑体"/>
          <w:sz w:val="52"/>
        </w:rPr>
      </w:pPr>
      <w:r>
        <w:rPr>
          <w:rFonts w:hint="eastAsia" w:ascii="黑体" w:eastAsia="黑体"/>
          <w:sz w:val="52"/>
        </w:rPr>
        <w:t>农用地土壤污染风险管控标准</w:t>
      </w:r>
    </w:p>
    <w:p>
      <w:pPr>
        <w:spacing w:before="346"/>
        <w:ind w:left="0" w:right="290" w:firstLine="0"/>
        <w:jc w:val="center"/>
        <w:rPr>
          <w:rFonts w:hint="eastAsia" w:ascii="黑体" w:eastAsia="黑体"/>
          <w:sz w:val="52"/>
        </w:rPr>
      </w:pPr>
      <w:r>
        <w:rPr>
          <w:rFonts w:hint="eastAsia" w:ascii="黑体" w:eastAsia="黑体"/>
          <w:sz w:val="52"/>
        </w:rPr>
        <w:t>（试行）</w:t>
      </w:r>
    </w:p>
    <w:p>
      <w:pPr>
        <w:pStyle w:val="3"/>
        <w:spacing w:before="342"/>
        <w:ind w:right="272"/>
      </w:pPr>
      <w:r>
        <w:t>Soil environmental quality</w:t>
      </w:r>
    </w:p>
    <w:p>
      <w:pPr>
        <w:spacing w:before="160"/>
        <w:ind w:left="0" w:right="259" w:firstLine="0"/>
        <w:jc w:val="center"/>
        <w:rPr>
          <w:rFonts w:ascii="Times New Roman"/>
          <w:b/>
          <w:sz w:val="28"/>
        </w:rPr>
      </w:pPr>
      <w:r>
        <w:rPr>
          <w:rFonts w:ascii="Times New Roman"/>
          <w:b/>
          <w:sz w:val="28"/>
        </w:rPr>
        <w:t>Risk control standard for soil contamination of agricultural land</w:t>
      </w:r>
    </w:p>
    <w:p>
      <w:pPr>
        <w:pStyle w:val="4"/>
        <w:spacing w:before="11"/>
        <w:rPr>
          <w:rFonts w:ascii="Times New Roman"/>
          <w:b/>
          <w:sz w:val="29"/>
        </w:rPr>
      </w:pPr>
    </w:p>
    <w:p>
      <w:pPr>
        <w:spacing w:before="0"/>
        <w:ind w:left="0" w:right="293" w:firstLine="0"/>
        <w:jc w:val="center"/>
        <w:rPr>
          <w:sz w:val="32"/>
        </w:rPr>
      </w:pPr>
      <w:r>
        <w:rPr>
          <w:sz w:val="32"/>
        </w:rPr>
        <w:t>（发布稿）</w:t>
      </w:r>
    </w:p>
    <w:p>
      <w:pPr>
        <w:pStyle w:val="4"/>
        <w:spacing w:before="3"/>
        <w:rPr>
          <w:sz w:val="25"/>
        </w:rPr>
      </w:pPr>
    </w:p>
    <w:p>
      <w:pPr>
        <w:pStyle w:val="4"/>
        <w:ind w:right="292"/>
        <w:jc w:val="center"/>
        <w:rPr>
          <w:rFonts w:hint="eastAsia" w:ascii="黑体" w:eastAsia="黑体"/>
        </w:rPr>
      </w:pPr>
      <w:r>
        <w:rPr>
          <w:rFonts w:hint="eastAsia" w:ascii="黑体" w:eastAsia="黑体"/>
        </w:rPr>
        <w:t>本电子版为发布稿。 请以中国环境科学出社的正式标准文本电子版为发布稿。</w:t>
      </w: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spacing w:before="8"/>
        <w:rPr>
          <w:rFonts w:ascii="黑体"/>
          <w:sz w:val="17"/>
        </w:rPr>
      </w:pPr>
    </w:p>
    <w:p>
      <w:pPr>
        <w:tabs>
          <w:tab w:val="left" w:pos="7780"/>
        </w:tabs>
        <w:spacing w:before="0"/>
        <w:ind w:left="218" w:right="0" w:firstLine="0"/>
        <w:jc w:val="left"/>
        <w:rPr>
          <w:rFonts w:hint="eastAsia" w:ascii="黑体" w:eastAsia="黑体"/>
          <w:sz w:val="28"/>
        </w:rPr>
      </w:pPr>
      <w:r>
        <w:rPr>
          <w:rFonts w:ascii="Times New Roman" w:eastAsia="Times New Roman"/>
          <w:sz w:val="28"/>
        </w:rPr>
        <w:t>2018-06-22</w:t>
      </w:r>
      <w:r>
        <w:rPr>
          <w:rFonts w:ascii="Times New Roman" w:eastAsia="Times New Roman"/>
          <w:spacing w:val="-3"/>
          <w:sz w:val="28"/>
        </w:rPr>
        <w:t xml:space="preserve"> </w:t>
      </w:r>
      <w:r>
        <w:rPr>
          <w:rFonts w:hint="eastAsia" w:ascii="黑体" w:eastAsia="黑体"/>
          <w:sz w:val="28"/>
        </w:rPr>
        <w:t>发布</w:t>
      </w:r>
      <w:r>
        <w:rPr>
          <w:rFonts w:hint="eastAsia" w:ascii="黑体" w:eastAsia="黑体"/>
          <w:sz w:val="28"/>
        </w:rPr>
        <w:tab/>
      </w:r>
      <w:r>
        <w:rPr>
          <w:rFonts w:ascii="Times New Roman" w:eastAsia="Times New Roman"/>
          <w:sz w:val="28"/>
        </w:rPr>
        <w:t>2018-08-01</w:t>
      </w:r>
      <w:r>
        <w:rPr>
          <w:rFonts w:ascii="Times New Roman" w:eastAsia="Times New Roman"/>
          <w:spacing w:val="-3"/>
          <w:sz w:val="28"/>
        </w:rPr>
        <w:t xml:space="preserve"> </w:t>
      </w:r>
      <w:r>
        <w:rPr>
          <w:rFonts w:hint="eastAsia" w:ascii="黑体" w:eastAsia="黑体"/>
          <w:sz w:val="28"/>
        </w:rPr>
        <w:t>实施</w:t>
      </w:r>
    </w:p>
    <w:p>
      <w:pPr>
        <w:pStyle w:val="4"/>
        <w:rPr>
          <w:rFonts w:ascii="黑体"/>
          <w:sz w:val="20"/>
        </w:rPr>
      </w:pPr>
    </w:p>
    <w:p>
      <w:pPr>
        <w:pStyle w:val="4"/>
        <w:spacing w:before="7"/>
        <w:rPr>
          <w:rFonts w:ascii="黑体"/>
          <w:sz w:val="23"/>
        </w:rPr>
      </w:pPr>
      <w:r>
        <w:pict>
          <v:line id="_x0000_s1027" o:spid="_x0000_s1027" o:spt="20" style="position:absolute;left:0pt;margin-left:67.9pt;margin-top:17.5pt;height:0pt;width:482pt;mso-position-horizontal-relative:page;mso-wrap-distance-bottom:0pt;mso-wrap-distance-top:0pt;z-index:-251658240;mso-width-relative:page;mso-height-relative:page;" stroked="t" coordsize="21600,21600">
            <v:path arrowok="t"/>
            <v:fill focussize="0,0"/>
            <v:stroke weight="1pt" color="#000000"/>
            <v:imagedata o:title=""/>
            <o:lock v:ext="edit"/>
            <w10:wrap type="topAndBottom"/>
          </v:line>
        </w:pict>
      </w:r>
    </w:p>
    <w:p>
      <w:pPr>
        <w:pStyle w:val="4"/>
        <w:spacing w:before="1"/>
        <w:rPr>
          <w:rFonts w:ascii="黑体"/>
          <w:sz w:val="8"/>
        </w:rPr>
      </w:pPr>
    </w:p>
    <w:p>
      <w:pPr>
        <w:tabs>
          <w:tab w:val="left" w:pos="3611"/>
          <w:tab w:val="left" w:pos="4732"/>
          <w:tab w:val="left" w:pos="5851"/>
          <w:tab w:val="left" w:pos="6969"/>
          <w:tab w:val="left" w:pos="8522"/>
        </w:tabs>
        <w:spacing w:before="0" w:line="619" w:lineRule="exact"/>
        <w:ind w:left="2493" w:right="0" w:firstLine="0"/>
        <w:jc w:val="left"/>
        <w:rPr>
          <w:rFonts w:hint="eastAsia" w:ascii="黑体" w:eastAsia="黑体"/>
          <w:sz w:val="28"/>
        </w:rPr>
      </w:pPr>
      <w:r>
        <w:rPr>
          <w:rFonts w:hint="eastAsia" w:ascii="微软雅黑" w:eastAsia="微软雅黑"/>
          <w:b/>
          <w:w w:val="125"/>
          <w:sz w:val="36"/>
        </w:rPr>
        <w:t>生</w:t>
      </w:r>
      <w:r>
        <w:rPr>
          <w:rFonts w:hint="eastAsia" w:ascii="微软雅黑" w:eastAsia="微软雅黑"/>
          <w:b/>
          <w:w w:val="125"/>
          <w:sz w:val="36"/>
        </w:rPr>
        <w:tab/>
      </w:r>
      <w:r>
        <w:rPr>
          <w:rFonts w:hint="eastAsia" w:ascii="微软雅黑" w:eastAsia="微软雅黑"/>
          <w:b/>
          <w:w w:val="125"/>
          <w:sz w:val="36"/>
        </w:rPr>
        <w:t>态</w:t>
      </w:r>
      <w:r>
        <w:rPr>
          <w:rFonts w:hint="eastAsia" w:ascii="微软雅黑" w:eastAsia="微软雅黑"/>
          <w:b/>
          <w:w w:val="125"/>
          <w:sz w:val="36"/>
        </w:rPr>
        <w:tab/>
      </w:r>
      <w:r>
        <w:rPr>
          <w:rFonts w:hint="eastAsia" w:ascii="微软雅黑" w:eastAsia="微软雅黑"/>
          <w:b/>
          <w:w w:val="125"/>
          <w:sz w:val="36"/>
        </w:rPr>
        <w:t>环</w:t>
      </w:r>
      <w:r>
        <w:rPr>
          <w:rFonts w:hint="eastAsia" w:ascii="微软雅黑" w:eastAsia="微软雅黑"/>
          <w:b/>
          <w:w w:val="125"/>
          <w:sz w:val="36"/>
        </w:rPr>
        <w:tab/>
      </w:r>
      <w:r>
        <w:rPr>
          <w:rFonts w:hint="eastAsia" w:ascii="微软雅黑" w:eastAsia="微软雅黑"/>
          <w:b/>
          <w:w w:val="125"/>
          <w:sz w:val="36"/>
        </w:rPr>
        <w:t>境</w:t>
      </w:r>
      <w:r>
        <w:rPr>
          <w:rFonts w:hint="eastAsia" w:ascii="微软雅黑" w:eastAsia="微软雅黑"/>
          <w:b/>
          <w:w w:val="125"/>
          <w:sz w:val="36"/>
        </w:rPr>
        <w:tab/>
      </w:r>
      <w:r>
        <w:rPr>
          <w:rFonts w:hint="eastAsia" w:ascii="微软雅黑" w:eastAsia="微软雅黑"/>
          <w:b/>
          <w:w w:val="125"/>
          <w:sz w:val="36"/>
        </w:rPr>
        <w:t>部</w:t>
      </w:r>
      <w:r>
        <w:rPr>
          <w:rFonts w:hint="eastAsia" w:ascii="微软雅黑" w:eastAsia="微软雅黑"/>
          <w:b/>
          <w:w w:val="125"/>
          <w:sz w:val="36"/>
        </w:rPr>
        <w:tab/>
      </w:r>
      <w:r>
        <w:rPr>
          <w:rFonts w:hint="eastAsia" w:ascii="黑体" w:eastAsia="黑体"/>
          <w:spacing w:val="43"/>
          <w:w w:val="120"/>
          <w:position w:val="-18"/>
          <w:sz w:val="28"/>
        </w:rPr>
        <w:t>发</w:t>
      </w:r>
      <w:r>
        <w:rPr>
          <w:rFonts w:hint="eastAsia" w:ascii="黑体" w:eastAsia="黑体"/>
          <w:w w:val="120"/>
          <w:position w:val="-18"/>
          <w:sz w:val="28"/>
        </w:rPr>
        <w:t>布</w:t>
      </w:r>
    </w:p>
    <w:p>
      <w:pPr>
        <w:spacing w:before="0" w:line="551" w:lineRule="exact"/>
        <w:ind w:left="2320" w:right="0" w:firstLine="0"/>
        <w:jc w:val="left"/>
        <w:rPr>
          <w:rFonts w:hint="eastAsia" w:ascii="微软雅黑" w:eastAsia="微软雅黑"/>
          <w:b/>
          <w:sz w:val="36"/>
        </w:rPr>
      </w:pPr>
      <w:r>
        <w:rPr>
          <w:rFonts w:hint="eastAsia" w:ascii="微软雅黑" w:eastAsia="微软雅黑"/>
          <w:b/>
          <w:w w:val="135"/>
          <w:sz w:val="36"/>
        </w:rPr>
        <w:t>国家市场监督管理总局</w:t>
      </w:r>
    </w:p>
    <w:p>
      <w:pPr>
        <w:spacing w:after="0" w:line="551" w:lineRule="exact"/>
        <w:jc w:val="left"/>
        <w:rPr>
          <w:rFonts w:hint="eastAsia" w:ascii="微软雅黑" w:eastAsia="微软雅黑"/>
          <w:sz w:val="36"/>
        </w:rPr>
        <w:sectPr>
          <w:type w:val="continuous"/>
          <w:pgSz w:w="11910" w:h="16840"/>
          <w:pgMar w:top="1020" w:right="740" w:bottom="280" w:left="1200" w:header="720" w:footer="720" w:gutter="0"/>
        </w:sectPr>
      </w:pPr>
    </w:p>
    <w:p>
      <w:pPr>
        <w:tabs>
          <w:tab w:val="left" w:pos="638"/>
        </w:tabs>
        <w:spacing w:before="57"/>
        <w:ind w:left="0" w:right="175" w:firstLine="0"/>
        <w:jc w:val="center"/>
        <w:rPr>
          <w:rFonts w:hint="eastAsia" w:ascii="黑体" w:eastAsia="黑体"/>
          <w:sz w:val="32"/>
        </w:rPr>
      </w:pPr>
      <w:r>
        <w:rPr>
          <w:rFonts w:hint="eastAsia" w:ascii="黑体" w:eastAsia="黑体"/>
          <w:sz w:val="32"/>
        </w:rPr>
        <w:t>目</w:t>
      </w:r>
      <w:r>
        <w:rPr>
          <w:rFonts w:hint="eastAsia" w:ascii="黑体" w:eastAsia="黑体"/>
          <w:sz w:val="32"/>
        </w:rPr>
        <w:tab/>
      </w:r>
      <w:r>
        <w:rPr>
          <w:rFonts w:hint="eastAsia" w:ascii="黑体" w:eastAsia="黑体"/>
          <w:sz w:val="32"/>
        </w:rPr>
        <w:t>次</w:t>
      </w:r>
    </w:p>
    <w:p>
      <w:pPr>
        <w:tabs>
          <w:tab w:val="left" w:pos="698"/>
          <w:tab w:val="right" w:leader="dot" w:pos="9563"/>
        </w:tabs>
        <w:spacing w:before="481"/>
        <w:ind w:left="218" w:right="0" w:firstLine="0"/>
        <w:jc w:val="left"/>
        <w:rPr>
          <w:rFonts w:hint="eastAsia" w:ascii="黑体" w:eastAsia="黑体"/>
          <w:sz w:val="24"/>
        </w:rPr>
      </w:pPr>
      <w:r>
        <w:fldChar w:fldCharType="begin"/>
      </w:r>
      <w:r>
        <w:instrText xml:space="preserve"> HYPERLINK \l "_bookmark0" </w:instrText>
      </w:r>
      <w:r>
        <w:fldChar w:fldCharType="separate"/>
      </w:r>
      <w:r>
        <w:rPr>
          <w:rFonts w:hint="eastAsia" w:ascii="黑体" w:eastAsia="黑体"/>
          <w:sz w:val="24"/>
        </w:rPr>
        <w:t>前</w:t>
      </w:r>
      <w:r>
        <w:rPr>
          <w:rFonts w:hint="eastAsia" w:ascii="黑体" w:eastAsia="黑体"/>
          <w:sz w:val="24"/>
        </w:rPr>
        <w:tab/>
      </w:r>
      <w:r>
        <w:rPr>
          <w:rFonts w:hint="eastAsia" w:ascii="黑体" w:eastAsia="黑体"/>
          <w:sz w:val="24"/>
        </w:rPr>
        <w:t>言</w:t>
      </w:r>
      <w:r>
        <w:rPr>
          <w:rFonts w:hint="eastAsia" w:ascii="黑体" w:eastAsia="黑体"/>
          <w:sz w:val="24"/>
        </w:rPr>
        <w:tab/>
      </w:r>
      <w:r>
        <w:rPr>
          <w:rFonts w:hint="eastAsia" w:ascii="黑体" w:eastAsia="黑体"/>
          <w:sz w:val="24"/>
        </w:rPr>
        <w:t>ii</w:t>
      </w:r>
      <w:r>
        <w:rPr>
          <w:rFonts w:hint="eastAsia" w:ascii="黑体" w:eastAsia="黑体"/>
          <w:sz w:val="24"/>
        </w:rPr>
        <w:fldChar w:fldCharType="end"/>
      </w:r>
    </w:p>
    <w:p>
      <w:pPr>
        <w:pStyle w:val="8"/>
        <w:numPr>
          <w:ilvl w:val="0"/>
          <w:numId w:val="1"/>
        </w:numPr>
        <w:tabs>
          <w:tab w:val="left" w:pos="459"/>
          <w:tab w:val="right" w:leader="dot" w:pos="9563"/>
        </w:tabs>
        <w:spacing w:before="213" w:after="0" w:line="240" w:lineRule="auto"/>
        <w:ind w:left="458" w:right="0" w:hanging="241"/>
        <w:jc w:val="left"/>
        <w:rPr>
          <w:rFonts w:hint="eastAsia" w:ascii="黑体" w:eastAsia="黑体"/>
          <w:sz w:val="24"/>
        </w:rPr>
      </w:pPr>
      <w:bookmarkStart w:id="0" w:name="1 适用范围"/>
      <w:bookmarkEnd w:id="0"/>
      <w:r>
        <w:fldChar w:fldCharType="begin"/>
      </w:r>
      <w:r>
        <w:instrText xml:space="preserve"> HYPERLINK \l "_bookmark1" </w:instrText>
      </w:r>
      <w:r>
        <w:fldChar w:fldCharType="separate"/>
      </w:r>
      <w:bookmarkStart w:id="1" w:name="1 适用范围"/>
      <w:bookmarkEnd w:id="1"/>
      <w:r>
        <w:rPr>
          <w:rFonts w:hint="eastAsia" w:ascii="黑体" w:eastAsia="黑体"/>
          <w:sz w:val="24"/>
        </w:rPr>
        <w:t>适用范围</w:t>
      </w:r>
      <w:r>
        <w:rPr>
          <w:rFonts w:hint="eastAsia" w:ascii="黑体" w:eastAsia="黑体"/>
          <w:sz w:val="24"/>
        </w:rPr>
        <w:tab/>
      </w:r>
      <w:r>
        <w:rPr>
          <w:rFonts w:hint="eastAsia" w:ascii="黑体" w:eastAsia="黑体"/>
          <w:sz w:val="24"/>
        </w:rPr>
        <w:t>1</w:t>
      </w:r>
      <w:r>
        <w:rPr>
          <w:rFonts w:hint="eastAsia" w:ascii="黑体" w:eastAsia="黑体"/>
          <w:sz w:val="24"/>
        </w:rPr>
        <w:fldChar w:fldCharType="end"/>
      </w:r>
    </w:p>
    <w:p>
      <w:pPr>
        <w:pStyle w:val="8"/>
        <w:numPr>
          <w:ilvl w:val="0"/>
          <w:numId w:val="1"/>
        </w:numPr>
        <w:tabs>
          <w:tab w:val="left" w:pos="459"/>
          <w:tab w:val="right" w:leader="dot" w:pos="9563"/>
        </w:tabs>
        <w:spacing w:before="214" w:after="0" w:line="240" w:lineRule="auto"/>
        <w:ind w:left="458" w:right="0" w:hanging="241"/>
        <w:jc w:val="left"/>
        <w:rPr>
          <w:rFonts w:hint="eastAsia" w:ascii="黑体" w:eastAsia="黑体"/>
          <w:sz w:val="24"/>
        </w:rPr>
      </w:pPr>
      <w:bookmarkStart w:id="2" w:name="2 规范性引用文件"/>
      <w:bookmarkEnd w:id="2"/>
      <w:r>
        <w:fldChar w:fldCharType="begin"/>
      </w:r>
      <w:r>
        <w:instrText xml:space="preserve"> HYPERLINK \l "_bookmark2" </w:instrText>
      </w:r>
      <w:r>
        <w:fldChar w:fldCharType="separate"/>
      </w:r>
      <w:bookmarkStart w:id="3" w:name="2 规范性引用文件"/>
      <w:bookmarkEnd w:id="3"/>
      <w:r>
        <w:rPr>
          <w:rFonts w:hint="eastAsia" w:ascii="黑体" w:eastAsia="黑体"/>
          <w:sz w:val="24"/>
        </w:rPr>
        <w:t>规范性引用文件</w:t>
      </w:r>
      <w:r>
        <w:rPr>
          <w:rFonts w:hint="eastAsia" w:ascii="黑体" w:eastAsia="黑体"/>
          <w:sz w:val="24"/>
        </w:rPr>
        <w:tab/>
      </w:r>
      <w:r>
        <w:rPr>
          <w:rFonts w:hint="eastAsia" w:ascii="黑体" w:eastAsia="黑体"/>
          <w:sz w:val="24"/>
        </w:rPr>
        <w:t>1</w:t>
      </w:r>
      <w:r>
        <w:rPr>
          <w:rFonts w:hint="eastAsia" w:ascii="黑体" w:eastAsia="黑体"/>
          <w:sz w:val="24"/>
        </w:rPr>
        <w:fldChar w:fldCharType="end"/>
      </w:r>
    </w:p>
    <w:p>
      <w:pPr>
        <w:pStyle w:val="8"/>
        <w:numPr>
          <w:ilvl w:val="0"/>
          <w:numId w:val="1"/>
        </w:numPr>
        <w:tabs>
          <w:tab w:val="left" w:pos="459"/>
          <w:tab w:val="right" w:leader="dot" w:pos="9563"/>
        </w:tabs>
        <w:spacing w:before="211" w:after="0" w:line="240" w:lineRule="auto"/>
        <w:ind w:left="458" w:right="0" w:hanging="241"/>
        <w:jc w:val="left"/>
        <w:rPr>
          <w:rFonts w:hint="eastAsia" w:ascii="黑体" w:eastAsia="黑体"/>
          <w:sz w:val="24"/>
        </w:rPr>
      </w:pPr>
      <w:bookmarkStart w:id="4" w:name="3 术语和定义"/>
      <w:bookmarkEnd w:id="4"/>
      <w:r>
        <w:fldChar w:fldCharType="begin"/>
      </w:r>
      <w:r>
        <w:instrText xml:space="preserve"> HYPERLINK \l "_bookmark3" </w:instrText>
      </w:r>
      <w:r>
        <w:fldChar w:fldCharType="separate"/>
      </w:r>
      <w:bookmarkStart w:id="5" w:name="3 术语和定义"/>
      <w:bookmarkEnd w:id="5"/>
      <w:r>
        <w:rPr>
          <w:rFonts w:hint="eastAsia" w:ascii="黑体" w:eastAsia="黑体"/>
          <w:sz w:val="24"/>
        </w:rPr>
        <w:t>术语和定义</w:t>
      </w:r>
      <w:r>
        <w:rPr>
          <w:rFonts w:hint="eastAsia" w:ascii="黑体" w:eastAsia="黑体"/>
          <w:sz w:val="24"/>
        </w:rPr>
        <w:tab/>
      </w:r>
      <w:r>
        <w:rPr>
          <w:rFonts w:hint="eastAsia" w:ascii="黑体" w:eastAsia="黑体"/>
          <w:sz w:val="24"/>
        </w:rPr>
        <w:t>1</w:t>
      </w:r>
      <w:r>
        <w:rPr>
          <w:rFonts w:hint="eastAsia" w:ascii="黑体" w:eastAsia="黑体"/>
          <w:sz w:val="24"/>
        </w:rPr>
        <w:fldChar w:fldCharType="end"/>
      </w:r>
    </w:p>
    <w:p>
      <w:pPr>
        <w:pStyle w:val="8"/>
        <w:numPr>
          <w:ilvl w:val="0"/>
          <w:numId w:val="1"/>
        </w:numPr>
        <w:tabs>
          <w:tab w:val="left" w:pos="459"/>
          <w:tab w:val="right" w:leader="dot" w:pos="9563"/>
        </w:tabs>
        <w:spacing w:before="213" w:after="0" w:line="240" w:lineRule="auto"/>
        <w:ind w:left="458" w:right="0" w:hanging="241"/>
        <w:jc w:val="left"/>
        <w:rPr>
          <w:rFonts w:hint="eastAsia" w:ascii="黑体" w:eastAsia="黑体"/>
          <w:sz w:val="24"/>
        </w:rPr>
      </w:pPr>
      <w:bookmarkStart w:id="6" w:name="4 农用地土壤污染风险筛选值"/>
      <w:bookmarkEnd w:id="6"/>
      <w:r>
        <w:fldChar w:fldCharType="begin"/>
      </w:r>
      <w:r>
        <w:instrText xml:space="preserve"> HYPERLINK \l "_bookmark4" </w:instrText>
      </w:r>
      <w:r>
        <w:fldChar w:fldCharType="separate"/>
      </w:r>
      <w:bookmarkStart w:id="7" w:name="4 农用地土壤污染风险筛选值"/>
      <w:bookmarkEnd w:id="7"/>
      <w:r>
        <w:rPr>
          <w:rFonts w:hint="eastAsia" w:ascii="黑体" w:eastAsia="黑体"/>
          <w:sz w:val="24"/>
        </w:rPr>
        <w:t>农用地土壤污染风险筛选值</w:t>
      </w:r>
      <w:r>
        <w:rPr>
          <w:rFonts w:hint="eastAsia" w:ascii="黑体" w:eastAsia="黑体"/>
          <w:sz w:val="24"/>
        </w:rPr>
        <w:tab/>
      </w:r>
      <w:r>
        <w:rPr>
          <w:rFonts w:hint="eastAsia" w:ascii="黑体" w:eastAsia="黑体"/>
          <w:sz w:val="24"/>
        </w:rPr>
        <w:t>2</w:t>
      </w:r>
      <w:r>
        <w:rPr>
          <w:rFonts w:hint="eastAsia" w:ascii="黑体" w:eastAsia="黑体"/>
          <w:sz w:val="24"/>
        </w:rPr>
        <w:fldChar w:fldCharType="end"/>
      </w:r>
    </w:p>
    <w:p>
      <w:pPr>
        <w:pStyle w:val="8"/>
        <w:numPr>
          <w:ilvl w:val="0"/>
          <w:numId w:val="1"/>
        </w:numPr>
        <w:tabs>
          <w:tab w:val="left" w:pos="459"/>
          <w:tab w:val="right" w:leader="dot" w:pos="9563"/>
        </w:tabs>
        <w:spacing w:before="213" w:after="0" w:line="240" w:lineRule="auto"/>
        <w:ind w:left="458" w:right="0" w:hanging="241"/>
        <w:jc w:val="left"/>
        <w:rPr>
          <w:rFonts w:hint="eastAsia" w:ascii="黑体" w:eastAsia="黑体"/>
          <w:sz w:val="24"/>
        </w:rPr>
      </w:pPr>
      <w:bookmarkStart w:id="8" w:name="5 农用地土壤污染风险管制值"/>
      <w:bookmarkEnd w:id="8"/>
      <w:r>
        <w:fldChar w:fldCharType="begin"/>
      </w:r>
      <w:r>
        <w:instrText xml:space="preserve"> HYPERLINK \l "_bookmark5" </w:instrText>
      </w:r>
      <w:r>
        <w:fldChar w:fldCharType="separate"/>
      </w:r>
      <w:bookmarkStart w:id="9" w:name="5 农用地土壤污染风险管制值"/>
      <w:bookmarkEnd w:id="9"/>
      <w:r>
        <w:rPr>
          <w:rFonts w:hint="eastAsia" w:ascii="黑体" w:eastAsia="黑体"/>
          <w:sz w:val="24"/>
        </w:rPr>
        <w:t>农用地土壤污染风险管制值</w:t>
      </w:r>
      <w:r>
        <w:rPr>
          <w:rFonts w:hint="eastAsia" w:ascii="黑体" w:eastAsia="黑体"/>
          <w:sz w:val="24"/>
        </w:rPr>
        <w:tab/>
      </w:r>
      <w:r>
        <w:rPr>
          <w:rFonts w:hint="eastAsia" w:ascii="黑体" w:eastAsia="黑体"/>
          <w:sz w:val="24"/>
        </w:rPr>
        <w:t>3</w:t>
      </w:r>
      <w:r>
        <w:rPr>
          <w:rFonts w:hint="eastAsia" w:ascii="黑体" w:eastAsia="黑体"/>
          <w:sz w:val="24"/>
        </w:rPr>
        <w:fldChar w:fldCharType="end"/>
      </w:r>
    </w:p>
    <w:p>
      <w:pPr>
        <w:pStyle w:val="8"/>
        <w:numPr>
          <w:ilvl w:val="0"/>
          <w:numId w:val="1"/>
        </w:numPr>
        <w:tabs>
          <w:tab w:val="left" w:pos="459"/>
          <w:tab w:val="right" w:leader="dot" w:pos="9563"/>
        </w:tabs>
        <w:spacing w:before="211" w:after="0" w:line="240" w:lineRule="auto"/>
        <w:ind w:left="458" w:right="0" w:hanging="241"/>
        <w:jc w:val="left"/>
        <w:rPr>
          <w:rFonts w:hint="eastAsia" w:ascii="黑体" w:eastAsia="黑体"/>
          <w:sz w:val="24"/>
        </w:rPr>
      </w:pPr>
      <w:bookmarkStart w:id="10" w:name="6 农用地土壤污染风险筛选值和管制值"/>
      <w:bookmarkEnd w:id="10"/>
      <w:r>
        <w:fldChar w:fldCharType="begin"/>
      </w:r>
      <w:r>
        <w:instrText xml:space="preserve"> HYPERLINK \l "_bookmark6" </w:instrText>
      </w:r>
      <w:r>
        <w:fldChar w:fldCharType="separate"/>
      </w:r>
      <w:bookmarkStart w:id="11" w:name="6 农用地土壤污染风险筛选值和管制值"/>
      <w:bookmarkEnd w:id="11"/>
      <w:r>
        <w:rPr>
          <w:rFonts w:hint="eastAsia" w:ascii="黑体" w:eastAsia="黑体"/>
          <w:sz w:val="24"/>
        </w:rPr>
        <w:t>农用地土壤污染风险筛选值和管制值的使用</w:t>
      </w:r>
      <w:r>
        <w:rPr>
          <w:rFonts w:hint="eastAsia" w:ascii="黑体" w:eastAsia="黑体"/>
          <w:sz w:val="24"/>
        </w:rPr>
        <w:tab/>
      </w:r>
      <w:r>
        <w:rPr>
          <w:rFonts w:hint="eastAsia" w:ascii="黑体" w:eastAsia="黑体"/>
          <w:sz w:val="24"/>
        </w:rPr>
        <w:t>3</w:t>
      </w:r>
      <w:r>
        <w:rPr>
          <w:rFonts w:hint="eastAsia" w:ascii="黑体" w:eastAsia="黑体"/>
          <w:sz w:val="24"/>
        </w:rPr>
        <w:fldChar w:fldCharType="end"/>
      </w:r>
    </w:p>
    <w:p>
      <w:pPr>
        <w:pStyle w:val="8"/>
        <w:numPr>
          <w:ilvl w:val="0"/>
          <w:numId w:val="1"/>
        </w:numPr>
        <w:tabs>
          <w:tab w:val="left" w:pos="459"/>
          <w:tab w:val="right" w:leader="dot" w:pos="9563"/>
        </w:tabs>
        <w:spacing w:before="213" w:after="0" w:line="240" w:lineRule="auto"/>
        <w:ind w:left="458" w:right="0" w:hanging="241"/>
        <w:jc w:val="left"/>
        <w:rPr>
          <w:rFonts w:hint="eastAsia" w:ascii="黑体" w:eastAsia="黑体"/>
          <w:sz w:val="24"/>
        </w:rPr>
      </w:pPr>
      <w:bookmarkStart w:id="12" w:name="7 监测要求"/>
      <w:bookmarkEnd w:id="12"/>
      <w:r>
        <w:fldChar w:fldCharType="begin"/>
      </w:r>
      <w:r>
        <w:instrText xml:space="preserve"> HYPERLINK \l "_bookmark7" </w:instrText>
      </w:r>
      <w:r>
        <w:fldChar w:fldCharType="separate"/>
      </w:r>
      <w:bookmarkStart w:id="13" w:name="7 监测要求"/>
      <w:bookmarkEnd w:id="13"/>
      <w:r>
        <w:rPr>
          <w:rFonts w:hint="eastAsia" w:ascii="黑体" w:eastAsia="黑体"/>
          <w:sz w:val="24"/>
        </w:rPr>
        <w:t>监测要求</w:t>
      </w:r>
      <w:r>
        <w:rPr>
          <w:rFonts w:hint="eastAsia" w:ascii="黑体" w:eastAsia="黑体"/>
          <w:sz w:val="24"/>
        </w:rPr>
        <w:tab/>
      </w:r>
      <w:r>
        <w:rPr>
          <w:rFonts w:hint="eastAsia" w:ascii="黑体" w:eastAsia="黑体"/>
          <w:sz w:val="24"/>
        </w:rPr>
        <w:t>3</w:t>
      </w:r>
      <w:r>
        <w:rPr>
          <w:rFonts w:hint="eastAsia" w:ascii="黑体" w:eastAsia="黑体"/>
          <w:sz w:val="24"/>
        </w:rPr>
        <w:fldChar w:fldCharType="end"/>
      </w:r>
    </w:p>
    <w:p>
      <w:pPr>
        <w:pStyle w:val="8"/>
        <w:numPr>
          <w:ilvl w:val="0"/>
          <w:numId w:val="1"/>
        </w:numPr>
        <w:tabs>
          <w:tab w:val="left" w:pos="459"/>
          <w:tab w:val="right" w:leader="dot" w:pos="9563"/>
        </w:tabs>
        <w:spacing w:before="214" w:after="0" w:line="240" w:lineRule="auto"/>
        <w:ind w:left="458" w:right="0" w:hanging="241"/>
        <w:jc w:val="left"/>
        <w:rPr>
          <w:rFonts w:hint="eastAsia" w:ascii="黑体" w:eastAsia="黑体"/>
          <w:sz w:val="24"/>
        </w:rPr>
      </w:pPr>
      <w:bookmarkStart w:id="14" w:name="8 实施与监督"/>
      <w:bookmarkEnd w:id="14"/>
      <w:r>
        <w:fldChar w:fldCharType="begin"/>
      </w:r>
      <w:r>
        <w:instrText xml:space="preserve"> HYPERLINK \l "_bookmark8" </w:instrText>
      </w:r>
      <w:r>
        <w:fldChar w:fldCharType="separate"/>
      </w:r>
      <w:bookmarkStart w:id="15" w:name="8 实施与监督"/>
      <w:bookmarkEnd w:id="15"/>
      <w:r>
        <w:rPr>
          <w:rFonts w:hint="eastAsia" w:ascii="黑体" w:eastAsia="黑体"/>
          <w:sz w:val="24"/>
        </w:rPr>
        <w:t>实施与监督</w:t>
      </w:r>
      <w:r>
        <w:rPr>
          <w:rFonts w:hint="eastAsia" w:ascii="黑体" w:eastAsia="黑体"/>
          <w:sz w:val="24"/>
        </w:rPr>
        <w:tab/>
      </w:r>
      <w:r>
        <w:rPr>
          <w:rFonts w:hint="eastAsia" w:ascii="黑体" w:eastAsia="黑体"/>
          <w:sz w:val="24"/>
        </w:rPr>
        <w:t>4</w:t>
      </w:r>
      <w:r>
        <w:rPr>
          <w:rFonts w:hint="eastAsia" w:ascii="黑体" w:eastAsia="黑体"/>
          <w:sz w:val="24"/>
        </w:rPr>
        <w:fldChar w:fldCharType="end"/>
      </w:r>
    </w:p>
    <w:p>
      <w:pPr>
        <w:spacing w:after="0" w:line="240" w:lineRule="auto"/>
        <w:jc w:val="left"/>
        <w:rPr>
          <w:rFonts w:hint="eastAsia" w:ascii="黑体" w:eastAsia="黑体"/>
          <w:sz w:val="24"/>
        </w:rPr>
        <w:sectPr>
          <w:headerReference r:id="rId3" w:type="default"/>
          <w:footerReference r:id="rId4" w:type="default"/>
          <w:pgSz w:w="11910" w:h="16840"/>
          <w:pgMar w:top="1640" w:right="740" w:bottom="1040" w:left="1200" w:header="1428" w:footer="850" w:gutter="0"/>
          <w:pgNumType w:start="1"/>
        </w:sectPr>
      </w:pPr>
    </w:p>
    <w:p>
      <w:pPr>
        <w:pStyle w:val="4"/>
        <w:rPr>
          <w:rFonts w:ascii="黑体"/>
          <w:sz w:val="28"/>
        </w:rPr>
      </w:pPr>
    </w:p>
    <w:p>
      <w:pPr>
        <w:pStyle w:val="4"/>
        <w:spacing w:before="3"/>
        <w:rPr>
          <w:rFonts w:ascii="黑体"/>
          <w:sz w:val="28"/>
        </w:rPr>
      </w:pPr>
    </w:p>
    <w:p>
      <w:pPr>
        <w:tabs>
          <w:tab w:val="left" w:pos="561"/>
        </w:tabs>
        <w:spacing w:before="0"/>
        <w:ind w:left="0" w:right="175" w:firstLine="0"/>
        <w:jc w:val="center"/>
        <w:rPr>
          <w:b/>
          <w:sz w:val="28"/>
        </w:rPr>
      </w:pPr>
      <w:bookmarkStart w:id="16" w:name="_bookmark0"/>
      <w:bookmarkEnd w:id="16"/>
      <w:bookmarkStart w:id="17" w:name="前  言"/>
      <w:bookmarkEnd w:id="17"/>
      <w:r>
        <w:rPr>
          <w:b/>
          <w:sz w:val="28"/>
        </w:rPr>
        <w:t>前</w:t>
      </w:r>
      <w:r>
        <w:rPr>
          <w:b/>
          <w:sz w:val="28"/>
        </w:rPr>
        <w:tab/>
      </w:r>
      <w:r>
        <w:rPr>
          <w:b/>
          <w:sz w:val="28"/>
        </w:rPr>
        <w:t>言</w:t>
      </w:r>
    </w:p>
    <w:p>
      <w:pPr>
        <w:pStyle w:val="4"/>
        <w:rPr>
          <w:b/>
          <w:sz w:val="28"/>
        </w:rPr>
      </w:pPr>
    </w:p>
    <w:p>
      <w:pPr>
        <w:pStyle w:val="4"/>
        <w:spacing w:before="8"/>
        <w:rPr>
          <w:b/>
          <w:sz w:val="32"/>
        </w:rPr>
      </w:pPr>
    </w:p>
    <w:p>
      <w:pPr>
        <w:pStyle w:val="4"/>
        <w:spacing w:line="278" w:lineRule="auto"/>
        <w:ind w:left="218" w:right="393" w:firstLine="420"/>
      </w:pPr>
      <w:r>
        <w:rPr>
          <w:spacing w:val="-6"/>
        </w:rPr>
        <w:t>为贯彻落实《中华人民共和国环境保护法》，保护农用地土壤环境，管控农用地土壤污染风险，保障农产品质量安全、农作物正常生长和土壤生态环境，制定本标准。</w:t>
      </w:r>
    </w:p>
    <w:p>
      <w:pPr>
        <w:pStyle w:val="4"/>
        <w:spacing w:line="278" w:lineRule="auto"/>
        <w:ind w:left="638" w:right="1769"/>
        <w:rPr>
          <w:w w:val="95"/>
        </w:rPr>
      </w:pPr>
      <w:r>
        <w:t>本标准规定了农用地土壤污染风险筛选值和管制值，以及监测、实施与监督要求。</w:t>
      </w:r>
    </w:p>
    <w:p>
      <w:pPr>
        <w:pStyle w:val="4"/>
        <w:spacing w:line="278" w:lineRule="auto"/>
        <w:ind w:left="638" w:right="1769"/>
      </w:pPr>
      <w:r>
        <w:rPr>
          <w:spacing w:val="-11"/>
        </w:rPr>
        <w:t xml:space="preserve">本标准于 </w:t>
      </w:r>
      <w:r>
        <w:rPr>
          <w:rFonts w:ascii="Times New Roman" w:eastAsia="Times New Roman"/>
        </w:rPr>
        <w:t>1995</w:t>
      </w:r>
      <w:r>
        <w:rPr>
          <w:rFonts w:ascii="Times New Roman" w:eastAsia="Times New Roman"/>
          <w:spacing w:val="1"/>
        </w:rPr>
        <w:t xml:space="preserve"> </w:t>
      </w:r>
      <w:r>
        <w:t>年首次发布，本次为第一次修订。</w:t>
      </w:r>
    </w:p>
    <w:p>
      <w:pPr>
        <w:pStyle w:val="4"/>
        <w:spacing w:line="269" w:lineRule="exact"/>
        <w:ind w:left="638"/>
      </w:pPr>
      <w:r>
        <w:t>本次修订的主要内容：</w:t>
      </w:r>
    </w:p>
    <w:p>
      <w:pPr>
        <w:pStyle w:val="4"/>
        <w:spacing w:before="43" w:line="278" w:lineRule="auto"/>
        <w:ind w:left="218" w:right="393" w:firstLine="420"/>
      </w:pPr>
      <w:r>
        <w:rPr>
          <w:spacing w:val="-1"/>
        </w:rPr>
        <w:t>——标准名称由《土壤环境质量标准》调整为《土壤环境质量 农用地土壤污染风险管控标准</w:t>
      </w:r>
      <w:r>
        <w:t>（试行</w:t>
      </w:r>
      <w:r>
        <w:rPr>
          <w:spacing w:val="-104"/>
        </w:rPr>
        <w:t>）</w:t>
      </w:r>
      <w:r>
        <w:rPr>
          <w:spacing w:val="-52"/>
        </w:rPr>
        <w:t>》；</w:t>
      </w:r>
    </w:p>
    <w:p>
      <w:pPr>
        <w:pStyle w:val="4"/>
        <w:spacing w:line="269" w:lineRule="exact"/>
        <w:ind w:left="638"/>
      </w:pPr>
      <w:r>
        <w:t>——更新了规范性引用文件，增加了标准的术语和定义；</w:t>
      </w:r>
    </w:p>
    <w:p>
      <w:pPr>
        <w:pStyle w:val="4"/>
        <w:spacing w:before="43" w:line="278" w:lineRule="auto"/>
        <w:ind w:left="218" w:right="388" w:firstLine="420"/>
      </w:pPr>
      <w:r>
        <w:rPr>
          <w:spacing w:val="-9"/>
          <w:w w:val="95"/>
        </w:rPr>
        <w:t>——</w:t>
      </w:r>
      <w:r>
        <w:t>规定了农用地土壤中镉、汞、砷、铅、铬、铜、镍、锌等基本项目，以及六六六、滴滴涕、苯   并[a]芘等其他项目的风险筛选值；</w:t>
      </w:r>
    </w:p>
    <w:p>
      <w:pPr>
        <w:pStyle w:val="4"/>
        <w:spacing w:line="269" w:lineRule="exact"/>
        <w:ind w:left="638"/>
      </w:pPr>
      <w:r>
        <w:t>——规定了农用地土壤中镉、汞、砷、铅、铬的风险管制值；</w:t>
      </w:r>
    </w:p>
    <w:p>
      <w:pPr>
        <w:pStyle w:val="4"/>
        <w:spacing w:before="43"/>
        <w:ind w:left="638"/>
      </w:pPr>
      <w:r>
        <w:t>——更新了监测、实施与监督要求。</w:t>
      </w:r>
    </w:p>
    <w:p>
      <w:pPr>
        <w:pStyle w:val="4"/>
        <w:spacing w:before="43" w:line="278" w:lineRule="auto"/>
        <w:ind w:left="638" w:right="2930"/>
      </w:pPr>
      <w:r>
        <w:rPr>
          <w:spacing w:val="-15"/>
        </w:rPr>
        <w:t>自本标准实施之日起，《土壤环境质量标准》</w:t>
      </w:r>
      <w:r>
        <w:t>（</w:t>
      </w:r>
      <w:r>
        <w:rPr>
          <w:rFonts w:ascii="Times New Roman" w:eastAsia="Times New Roman"/>
        </w:rPr>
        <w:t>GB 15618-1995</w:t>
      </w:r>
      <w:r>
        <w:t>）废止。本标准由生态环境部土壤环境管理司、科技标准司组织制订。</w:t>
      </w:r>
    </w:p>
    <w:p>
      <w:pPr>
        <w:pStyle w:val="4"/>
        <w:spacing w:line="278" w:lineRule="auto"/>
        <w:ind w:left="218" w:right="393" w:firstLine="420"/>
      </w:pPr>
      <w:r>
        <w:t>本标准主要起草单位：生态环境部南京环境科学研究所、中国科学院南京土壤研究所、中国农业科学院</w:t>
      </w:r>
      <w:r>
        <w:rPr>
          <w:spacing w:val="-6"/>
        </w:rPr>
        <w:t>农业资源与农业区划研究所、中国环境科学研究院。</w:t>
      </w:r>
    </w:p>
    <w:p>
      <w:pPr>
        <w:pStyle w:val="4"/>
        <w:spacing w:line="269" w:lineRule="exact"/>
        <w:ind w:left="638"/>
      </w:pPr>
      <w:r>
        <w:t xml:space="preserve">本标准生态环境部 </w:t>
      </w:r>
      <w:r>
        <w:rPr>
          <w:rFonts w:ascii="Times New Roman" w:eastAsia="Times New Roman"/>
        </w:rPr>
        <w:t xml:space="preserve">2018 </w:t>
      </w:r>
      <w:r>
        <w:t xml:space="preserve">年 </w:t>
      </w:r>
      <w:r>
        <w:rPr>
          <w:rFonts w:ascii="Times New Roman" w:eastAsia="Times New Roman"/>
        </w:rPr>
        <w:t xml:space="preserve">5 </w:t>
      </w:r>
      <w:r>
        <w:t xml:space="preserve">月 </w:t>
      </w:r>
      <w:r>
        <w:rPr>
          <w:rFonts w:ascii="Times New Roman" w:eastAsia="Times New Roman"/>
        </w:rPr>
        <w:t xml:space="preserve">17 </w:t>
      </w:r>
      <w:r>
        <w:t>日批准。</w:t>
      </w:r>
    </w:p>
    <w:p>
      <w:pPr>
        <w:pStyle w:val="4"/>
        <w:spacing w:before="43" w:line="278" w:lineRule="auto"/>
        <w:ind w:left="638" w:right="6072"/>
      </w:pPr>
      <w:r>
        <w:rPr>
          <w:spacing w:val="-11"/>
        </w:rPr>
        <w:t xml:space="preserve">本标准自 </w:t>
      </w:r>
      <w:r>
        <w:rPr>
          <w:rFonts w:ascii="Times New Roman" w:eastAsia="Times New Roman"/>
        </w:rPr>
        <w:t xml:space="preserve">2018 </w:t>
      </w:r>
      <w:r>
        <w:rPr>
          <w:spacing w:val="-27"/>
        </w:rPr>
        <w:t xml:space="preserve">年 </w:t>
      </w:r>
      <w:r>
        <w:rPr>
          <w:rFonts w:ascii="Times New Roman" w:eastAsia="Times New Roman"/>
        </w:rPr>
        <w:t xml:space="preserve">8 </w:t>
      </w:r>
      <w:r>
        <w:rPr>
          <w:spacing w:val="-27"/>
        </w:rPr>
        <w:t xml:space="preserve">月 </w:t>
      </w:r>
      <w:r>
        <w:rPr>
          <w:rFonts w:ascii="Times New Roman" w:eastAsia="Times New Roman"/>
        </w:rPr>
        <w:t xml:space="preserve">1 </w:t>
      </w:r>
      <w:r>
        <w:rPr>
          <w:spacing w:val="-3"/>
        </w:rPr>
        <w:t>日起实施。</w:t>
      </w:r>
      <w:r>
        <w:t>本标准由生态环境部解释。</w:t>
      </w:r>
    </w:p>
    <w:p>
      <w:pPr>
        <w:spacing w:after="0" w:line="278" w:lineRule="auto"/>
        <w:sectPr>
          <w:pgSz w:w="11910" w:h="16840"/>
          <w:pgMar w:top="1640" w:right="740" w:bottom="1040" w:left="1200" w:header="1428" w:footer="850" w:gutter="0"/>
        </w:sectPr>
      </w:pPr>
    </w:p>
    <w:p>
      <w:pPr>
        <w:pStyle w:val="4"/>
        <w:rPr>
          <w:sz w:val="20"/>
        </w:rPr>
      </w:pPr>
    </w:p>
    <w:p>
      <w:pPr>
        <w:pStyle w:val="4"/>
        <w:rPr>
          <w:sz w:val="20"/>
        </w:rPr>
      </w:pPr>
    </w:p>
    <w:p>
      <w:pPr>
        <w:pStyle w:val="4"/>
        <w:spacing w:before="3"/>
        <w:rPr>
          <w:sz w:val="22"/>
        </w:rPr>
      </w:pPr>
    </w:p>
    <w:p>
      <w:pPr>
        <w:spacing w:before="54"/>
        <w:ind w:left="0" w:right="197" w:firstLine="0"/>
        <w:jc w:val="center"/>
        <w:rPr>
          <w:rFonts w:hint="eastAsia" w:ascii="黑体" w:eastAsia="黑体"/>
          <w:sz w:val="32"/>
        </w:rPr>
      </w:pPr>
      <w:r>
        <w:rPr>
          <w:rFonts w:hint="eastAsia" w:ascii="黑体" w:eastAsia="黑体"/>
          <w:sz w:val="32"/>
        </w:rPr>
        <w:t>土壤环境质量</w:t>
      </w:r>
    </w:p>
    <w:p>
      <w:pPr>
        <w:spacing w:before="214"/>
        <w:ind w:left="0" w:right="199" w:firstLine="0"/>
        <w:jc w:val="center"/>
        <w:rPr>
          <w:rFonts w:hint="eastAsia" w:ascii="黑体" w:eastAsia="黑体"/>
          <w:sz w:val="32"/>
        </w:rPr>
      </w:pPr>
      <w:r>
        <w:rPr>
          <w:rFonts w:hint="eastAsia" w:ascii="黑体" w:eastAsia="黑体"/>
          <w:sz w:val="32"/>
        </w:rPr>
        <w:t>农用地土壤污染风险管控标准</w:t>
      </w:r>
    </w:p>
    <w:p>
      <w:pPr>
        <w:pStyle w:val="4"/>
        <w:spacing w:before="4"/>
        <w:rPr>
          <w:rFonts w:ascii="黑体"/>
          <w:sz w:val="27"/>
        </w:rPr>
      </w:pPr>
    </w:p>
    <w:p>
      <w:pPr>
        <w:pStyle w:val="8"/>
        <w:numPr>
          <w:ilvl w:val="0"/>
          <w:numId w:val="2"/>
        </w:numPr>
        <w:tabs>
          <w:tab w:val="left" w:pos="428"/>
        </w:tabs>
        <w:spacing w:before="70" w:after="0" w:line="240" w:lineRule="auto"/>
        <w:ind w:left="427" w:right="0" w:hanging="210"/>
        <w:jc w:val="left"/>
        <w:rPr>
          <w:rFonts w:hint="eastAsia" w:ascii="黑体" w:eastAsia="黑体"/>
          <w:sz w:val="21"/>
        </w:rPr>
      </w:pPr>
      <w:bookmarkStart w:id="18" w:name="_bookmark1"/>
      <w:bookmarkEnd w:id="18"/>
      <w:bookmarkStart w:id="19" w:name="_bookmark1"/>
      <w:bookmarkEnd w:id="19"/>
      <w:bookmarkStart w:id="20" w:name="1 适用范围"/>
      <w:bookmarkEnd w:id="20"/>
      <w:r>
        <w:rPr>
          <w:rFonts w:hint="eastAsia" w:ascii="黑体" w:eastAsia="黑体"/>
          <w:sz w:val="21"/>
        </w:rPr>
        <w:t>适用范围</w:t>
      </w:r>
    </w:p>
    <w:p>
      <w:pPr>
        <w:pStyle w:val="4"/>
        <w:spacing w:line="278" w:lineRule="auto"/>
        <w:ind w:left="638" w:right="1769"/>
      </w:pPr>
    </w:p>
    <w:p>
      <w:pPr>
        <w:pStyle w:val="4"/>
        <w:spacing w:line="278" w:lineRule="auto"/>
        <w:ind w:left="638" w:right="1769"/>
        <w:rPr>
          <w:w w:val="95"/>
        </w:rPr>
      </w:pPr>
      <w:r>
        <w:t>本标准规定了农用地土壤污染风险筛选值和管制值，以及监测、实施和监督要求。</w:t>
      </w:r>
    </w:p>
    <w:p>
      <w:pPr>
        <w:pStyle w:val="4"/>
        <w:spacing w:line="278" w:lineRule="auto"/>
        <w:ind w:left="638" w:right="1769"/>
      </w:pPr>
      <w:r>
        <w:t>本标准适用于耕地土壤污染风险筛查和分类。园地和牧草地可参照执行。</w:t>
      </w:r>
    </w:p>
    <w:p>
      <w:pPr>
        <w:pStyle w:val="4"/>
        <w:spacing w:before="11"/>
        <w:rPr>
          <w:sz w:val="22"/>
        </w:rPr>
      </w:pPr>
    </w:p>
    <w:p>
      <w:pPr>
        <w:pStyle w:val="8"/>
        <w:numPr>
          <w:ilvl w:val="0"/>
          <w:numId w:val="2"/>
        </w:numPr>
        <w:tabs>
          <w:tab w:val="left" w:pos="428"/>
        </w:tabs>
        <w:spacing w:before="0" w:after="0" w:line="240" w:lineRule="auto"/>
        <w:ind w:left="427" w:right="0" w:hanging="210"/>
        <w:jc w:val="left"/>
        <w:rPr>
          <w:rFonts w:hint="eastAsia" w:ascii="黑体" w:eastAsia="黑体"/>
          <w:sz w:val="21"/>
        </w:rPr>
      </w:pPr>
      <w:bookmarkStart w:id="21" w:name="_bookmark2"/>
      <w:bookmarkEnd w:id="21"/>
      <w:bookmarkStart w:id="22" w:name="2 规范性引用文件"/>
      <w:bookmarkEnd w:id="22"/>
      <w:bookmarkStart w:id="23" w:name="_bookmark2"/>
      <w:bookmarkEnd w:id="23"/>
      <w:r>
        <w:rPr>
          <w:rFonts w:hint="eastAsia" w:ascii="黑体" w:eastAsia="黑体"/>
          <w:sz w:val="21"/>
        </w:rPr>
        <w:t>规范性引用文件</w:t>
      </w:r>
    </w:p>
    <w:p>
      <w:pPr>
        <w:pStyle w:val="4"/>
        <w:spacing w:before="2"/>
        <w:rPr>
          <w:rFonts w:ascii="黑体"/>
          <w:sz w:val="26"/>
        </w:rPr>
      </w:pPr>
    </w:p>
    <w:p>
      <w:pPr>
        <w:pStyle w:val="4"/>
        <w:spacing w:before="1"/>
        <w:ind w:left="638"/>
      </w:pPr>
      <w:r>
        <w:t>本标准内容引用了下列文件或其中的条款。凡是不注明日期的引用文件，其最新版本适用于本标准。</w:t>
      </w:r>
    </w:p>
    <w:p>
      <w:pPr>
        <w:pStyle w:val="4"/>
        <w:tabs>
          <w:tab w:val="left" w:pos="2627"/>
        </w:tabs>
        <w:spacing w:before="42" w:line="278" w:lineRule="auto"/>
        <w:ind w:left="496" w:right="2719"/>
      </w:pPr>
      <w:r>
        <w:rPr>
          <w:rFonts w:ascii="Times New Roman" w:eastAsia="Times New Roman"/>
        </w:rPr>
        <w:t>GB/T14550</w:t>
      </w:r>
      <w:r>
        <w:rPr>
          <w:rFonts w:ascii="Times New Roman" w:eastAsia="Times New Roman"/>
        </w:rPr>
        <w:tab/>
      </w:r>
      <w:r>
        <w:t>土壤质量</w:t>
      </w:r>
      <w:r>
        <w:rPr>
          <w:spacing w:val="-1"/>
        </w:rPr>
        <w:t xml:space="preserve"> </w:t>
      </w:r>
      <w:r>
        <w:t>六六六和滴滴涕的测定</w:t>
      </w:r>
      <w:r>
        <w:rPr>
          <w:spacing w:val="-2"/>
        </w:rPr>
        <w:t xml:space="preserve"> </w:t>
      </w:r>
      <w:r>
        <w:t>气相色谱法</w:t>
      </w:r>
      <w:r>
        <w:rPr>
          <w:rFonts w:ascii="Times New Roman" w:eastAsia="Times New Roman"/>
        </w:rPr>
        <w:t>GB/T</w:t>
      </w:r>
      <w:r>
        <w:rPr>
          <w:rFonts w:ascii="Times New Roman" w:eastAsia="Times New Roman"/>
          <w:spacing w:val="-3"/>
        </w:rPr>
        <w:t xml:space="preserve"> </w:t>
      </w:r>
      <w:r>
        <w:rPr>
          <w:rFonts w:ascii="Times New Roman" w:eastAsia="Times New Roman"/>
        </w:rPr>
        <w:t>17136</w:t>
      </w:r>
      <w:r>
        <w:rPr>
          <w:rFonts w:ascii="Times New Roman" w:eastAsia="Times New Roman"/>
        </w:rPr>
        <w:tab/>
      </w:r>
      <w:r>
        <w:t>土壤质量 总汞的测定</w:t>
      </w:r>
      <w:r>
        <w:rPr>
          <w:spacing w:val="-3"/>
        </w:rPr>
        <w:t xml:space="preserve"> </w:t>
      </w:r>
      <w:r>
        <w:t>冷原子吸收分光光度法</w:t>
      </w:r>
      <w:r>
        <w:rPr>
          <w:rFonts w:ascii="Times New Roman" w:eastAsia="Times New Roman"/>
        </w:rPr>
        <w:t>GB/T</w:t>
      </w:r>
      <w:r>
        <w:rPr>
          <w:rFonts w:ascii="Times New Roman" w:eastAsia="Times New Roman"/>
          <w:spacing w:val="-3"/>
        </w:rPr>
        <w:t xml:space="preserve"> </w:t>
      </w:r>
      <w:r>
        <w:rPr>
          <w:rFonts w:ascii="Times New Roman" w:eastAsia="Times New Roman"/>
        </w:rPr>
        <w:t>17138</w:t>
      </w:r>
      <w:r>
        <w:rPr>
          <w:rFonts w:ascii="Times New Roman" w:eastAsia="Times New Roman"/>
        </w:rPr>
        <w:tab/>
      </w:r>
      <w:r>
        <w:t>土壤质量</w:t>
      </w:r>
      <w:r>
        <w:rPr>
          <w:spacing w:val="-5"/>
        </w:rPr>
        <w:t xml:space="preserve"> </w:t>
      </w:r>
      <w:r>
        <w:t>铜、锌的测定</w:t>
      </w:r>
      <w:r>
        <w:rPr>
          <w:spacing w:val="-7"/>
        </w:rPr>
        <w:t xml:space="preserve"> </w:t>
      </w:r>
      <w:r>
        <w:t>火焰原子吸收分光光度法</w:t>
      </w:r>
      <w:r>
        <w:rPr>
          <w:rFonts w:ascii="Times New Roman" w:eastAsia="Times New Roman"/>
        </w:rPr>
        <w:t>GB/T</w:t>
      </w:r>
      <w:r>
        <w:rPr>
          <w:rFonts w:ascii="Times New Roman" w:eastAsia="Times New Roman"/>
          <w:spacing w:val="-3"/>
        </w:rPr>
        <w:t xml:space="preserve"> </w:t>
      </w:r>
      <w:r>
        <w:rPr>
          <w:rFonts w:ascii="Times New Roman" w:eastAsia="Times New Roman"/>
        </w:rPr>
        <w:t>17139</w:t>
      </w:r>
      <w:r>
        <w:rPr>
          <w:rFonts w:ascii="Times New Roman" w:eastAsia="Times New Roman"/>
        </w:rPr>
        <w:tab/>
      </w:r>
      <w:r>
        <w:t>土壤质量 镍的测定</w:t>
      </w:r>
      <w:r>
        <w:rPr>
          <w:spacing w:val="-3"/>
        </w:rPr>
        <w:t xml:space="preserve"> </w:t>
      </w:r>
      <w:r>
        <w:t>火焰原子吸收分光光度法</w:t>
      </w:r>
    </w:p>
    <w:p>
      <w:pPr>
        <w:pStyle w:val="4"/>
        <w:tabs>
          <w:tab w:val="left" w:pos="2627"/>
        </w:tabs>
        <w:spacing w:line="269" w:lineRule="exact"/>
        <w:ind w:left="496"/>
      </w:pPr>
      <w:r>
        <w:rPr>
          <w:rFonts w:ascii="Times New Roman" w:eastAsia="Times New Roman"/>
        </w:rPr>
        <w:t>GB/T</w:t>
      </w:r>
      <w:r>
        <w:rPr>
          <w:rFonts w:ascii="Times New Roman" w:eastAsia="Times New Roman"/>
          <w:spacing w:val="-3"/>
        </w:rPr>
        <w:t xml:space="preserve"> </w:t>
      </w:r>
      <w:r>
        <w:rPr>
          <w:rFonts w:ascii="Times New Roman" w:eastAsia="Times New Roman"/>
        </w:rPr>
        <w:t>17141</w:t>
      </w:r>
      <w:r>
        <w:rPr>
          <w:rFonts w:ascii="Times New Roman" w:eastAsia="Times New Roman"/>
        </w:rPr>
        <w:tab/>
      </w:r>
      <w:r>
        <w:t>土壤质量 铅、镉的测定 石墨炉原子吸收分光光度法</w:t>
      </w:r>
    </w:p>
    <w:p>
      <w:pPr>
        <w:pStyle w:val="4"/>
        <w:tabs>
          <w:tab w:val="left" w:pos="2627"/>
        </w:tabs>
        <w:spacing w:before="43"/>
        <w:ind w:left="496"/>
      </w:pPr>
      <w:r>
        <w:rPr>
          <w:rFonts w:ascii="Times New Roman" w:eastAsia="Times New Roman"/>
        </w:rPr>
        <w:t>GB/T</w:t>
      </w:r>
      <w:r>
        <w:rPr>
          <w:rFonts w:ascii="Times New Roman" w:eastAsia="Times New Roman"/>
          <w:spacing w:val="-3"/>
        </w:rPr>
        <w:t xml:space="preserve"> </w:t>
      </w:r>
      <w:r>
        <w:rPr>
          <w:rFonts w:ascii="Times New Roman" w:eastAsia="Times New Roman"/>
        </w:rPr>
        <w:t>21010</w:t>
      </w:r>
      <w:r>
        <w:rPr>
          <w:rFonts w:ascii="Times New Roman" w:eastAsia="Times New Roman"/>
        </w:rPr>
        <w:tab/>
      </w:r>
      <w:r>
        <w:t>土地利用现状分类</w:t>
      </w:r>
    </w:p>
    <w:p>
      <w:pPr>
        <w:pStyle w:val="4"/>
        <w:tabs>
          <w:tab w:val="left" w:pos="2627"/>
        </w:tabs>
        <w:spacing w:before="43"/>
        <w:ind w:left="496"/>
      </w:pPr>
      <w:r>
        <w:rPr>
          <w:rFonts w:ascii="Times New Roman" w:eastAsia="Times New Roman"/>
        </w:rPr>
        <w:t>GB/T</w:t>
      </w:r>
      <w:r>
        <w:rPr>
          <w:rFonts w:ascii="Times New Roman" w:eastAsia="Times New Roman"/>
          <w:spacing w:val="-3"/>
        </w:rPr>
        <w:t xml:space="preserve"> </w:t>
      </w:r>
      <w:r>
        <w:rPr>
          <w:rFonts w:ascii="Times New Roman" w:eastAsia="Times New Roman"/>
        </w:rPr>
        <w:t>22105</w:t>
      </w:r>
      <w:r>
        <w:rPr>
          <w:rFonts w:ascii="Times New Roman" w:eastAsia="Times New Roman"/>
        </w:rPr>
        <w:tab/>
      </w:r>
      <w:r>
        <w:rPr>
          <w:spacing w:val="-1"/>
        </w:rPr>
        <w:t>土壤质量 总汞、总砷、总铅的测定 原子荧光法</w:t>
      </w:r>
    </w:p>
    <w:p>
      <w:pPr>
        <w:pStyle w:val="4"/>
        <w:tabs>
          <w:tab w:val="left" w:pos="2627"/>
        </w:tabs>
        <w:spacing w:before="43"/>
        <w:ind w:left="496"/>
      </w:pPr>
      <w:r>
        <w:rPr>
          <w:rFonts w:ascii="Times New Roman" w:eastAsia="Times New Roman"/>
        </w:rPr>
        <w:t>HJ/T</w:t>
      </w:r>
      <w:r>
        <w:rPr>
          <w:rFonts w:ascii="Times New Roman" w:eastAsia="Times New Roman"/>
          <w:spacing w:val="-4"/>
        </w:rPr>
        <w:t xml:space="preserve"> </w:t>
      </w:r>
      <w:r>
        <w:rPr>
          <w:rFonts w:ascii="Times New Roman" w:eastAsia="Times New Roman"/>
        </w:rPr>
        <w:t>166</w:t>
      </w:r>
      <w:r>
        <w:rPr>
          <w:rFonts w:ascii="Times New Roman" w:eastAsia="Times New Roman"/>
        </w:rPr>
        <w:tab/>
      </w:r>
      <w:r>
        <w:t>土壤环境监测技术规范</w:t>
      </w:r>
    </w:p>
    <w:p>
      <w:pPr>
        <w:pStyle w:val="4"/>
        <w:tabs>
          <w:tab w:val="left" w:pos="2627"/>
        </w:tabs>
        <w:spacing w:before="43"/>
        <w:ind w:left="496"/>
      </w:pPr>
      <w:r>
        <w:rPr>
          <w:rFonts w:ascii="Times New Roman" w:eastAsia="Times New Roman"/>
        </w:rPr>
        <w:t>HJ</w:t>
      </w:r>
      <w:r>
        <w:rPr>
          <w:rFonts w:ascii="Times New Roman" w:eastAsia="Times New Roman"/>
          <w:spacing w:val="-1"/>
        </w:rPr>
        <w:t xml:space="preserve"> </w:t>
      </w:r>
      <w:r>
        <w:rPr>
          <w:rFonts w:ascii="Times New Roman" w:eastAsia="Times New Roman"/>
        </w:rPr>
        <w:t>491</w:t>
      </w:r>
      <w:r>
        <w:rPr>
          <w:rFonts w:ascii="Times New Roman" w:eastAsia="Times New Roman"/>
        </w:rPr>
        <w:tab/>
      </w:r>
      <w:r>
        <w:t>土壤 总铬的测定 火焰原子吸收分光光度法</w:t>
      </w:r>
    </w:p>
    <w:p>
      <w:pPr>
        <w:pStyle w:val="4"/>
        <w:tabs>
          <w:tab w:val="left" w:pos="2627"/>
        </w:tabs>
        <w:spacing w:before="43"/>
        <w:ind w:left="496"/>
      </w:pPr>
      <w:r>
        <w:rPr>
          <w:rFonts w:ascii="Times New Roman" w:eastAsia="Times New Roman"/>
        </w:rPr>
        <w:t>HJ</w:t>
      </w:r>
      <w:r>
        <w:rPr>
          <w:rFonts w:ascii="Times New Roman" w:eastAsia="Times New Roman"/>
          <w:spacing w:val="-1"/>
        </w:rPr>
        <w:t xml:space="preserve"> </w:t>
      </w:r>
      <w:r>
        <w:rPr>
          <w:rFonts w:ascii="Times New Roman" w:eastAsia="Times New Roman"/>
        </w:rPr>
        <w:t>680</w:t>
      </w:r>
      <w:r>
        <w:rPr>
          <w:rFonts w:ascii="Times New Roman" w:eastAsia="Times New Roman"/>
        </w:rPr>
        <w:tab/>
      </w:r>
      <w:r>
        <w:rPr>
          <w:spacing w:val="-1"/>
        </w:rPr>
        <w:t>土壤和沉积物 汞、砷、硒、铋、锑的测定 微波消解</w:t>
      </w:r>
      <w:r>
        <w:rPr>
          <w:rFonts w:ascii="Times New Roman" w:eastAsia="Times New Roman"/>
        </w:rPr>
        <w:t>/</w:t>
      </w:r>
      <w:r>
        <w:t>原子荧光法</w:t>
      </w:r>
    </w:p>
    <w:p>
      <w:pPr>
        <w:pStyle w:val="4"/>
        <w:tabs>
          <w:tab w:val="left" w:pos="2627"/>
        </w:tabs>
        <w:spacing w:before="43"/>
        <w:ind w:left="496"/>
      </w:pPr>
      <w:r>
        <w:rPr>
          <w:rFonts w:ascii="Times New Roman" w:eastAsia="Times New Roman"/>
        </w:rPr>
        <w:t>HJ</w:t>
      </w:r>
      <w:r>
        <w:rPr>
          <w:rFonts w:ascii="Times New Roman" w:eastAsia="Times New Roman"/>
          <w:spacing w:val="-1"/>
        </w:rPr>
        <w:t xml:space="preserve"> </w:t>
      </w:r>
      <w:r>
        <w:rPr>
          <w:rFonts w:ascii="Times New Roman" w:eastAsia="Times New Roman"/>
        </w:rPr>
        <w:t>780</w:t>
      </w:r>
      <w:r>
        <w:rPr>
          <w:rFonts w:ascii="Times New Roman" w:eastAsia="Times New Roman"/>
        </w:rPr>
        <w:tab/>
      </w:r>
      <w:r>
        <w:rPr>
          <w:spacing w:val="-3"/>
        </w:rPr>
        <w:t xml:space="preserve">土壤和沉积物 无机元素的测定 波长色散 </w:t>
      </w:r>
      <w:r>
        <w:rPr>
          <w:rFonts w:ascii="Times New Roman" w:eastAsia="Times New Roman"/>
        </w:rPr>
        <w:t xml:space="preserve">X </w:t>
      </w:r>
      <w:r>
        <w:t>射线荧光光谱法</w:t>
      </w:r>
    </w:p>
    <w:p>
      <w:pPr>
        <w:pStyle w:val="4"/>
        <w:tabs>
          <w:tab w:val="left" w:pos="2627"/>
        </w:tabs>
        <w:spacing w:before="43"/>
        <w:ind w:left="496"/>
      </w:pPr>
      <w:r>
        <w:rPr>
          <w:rFonts w:ascii="Times New Roman" w:eastAsia="Times New Roman"/>
        </w:rPr>
        <w:t>HJ</w:t>
      </w:r>
      <w:r>
        <w:rPr>
          <w:rFonts w:ascii="Times New Roman" w:eastAsia="Times New Roman"/>
          <w:spacing w:val="-1"/>
        </w:rPr>
        <w:t xml:space="preserve"> </w:t>
      </w:r>
      <w:r>
        <w:rPr>
          <w:rFonts w:ascii="Times New Roman" w:eastAsia="Times New Roman"/>
        </w:rPr>
        <w:t>784</w:t>
      </w:r>
      <w:r>
        <w:rPr>
          <w:rFonts w:ascii="Times New Roman" w:eastAsia="Times New Roman"/>
        </w:rPr>
        <w:tab/>
      </w:r>
      <w:r>
        <w:rPr>
          <w:spacing w:val="-1"/>
        </w:rPr>
        <w:t>土壤和沉积物 多环芳烃的测定 高效液相色谱法</w:t>
      </w:r>
    </w:p>
    <w:p>
      <w:pPr>
        <w:pStyle w:val="4"/>
        <w:tabs>
          <w:tab w:val="left" w:pos="2627"/>
        </w:tabs>
        <w:spacing w:before="43"/>
        <w:ind w:left="496"/>
      </w:pPr>
      <w:r>
        <w:rPr>
          <w:rFonts w:ascii="Times New Roman" w:eastAsia="Times New Roman"/>
        </w:rPr>
        <w:t>HJ</w:t>
      </w:r>
      <w:r>
        <w:rPr>
          <w:rFonts w:ascii="Times New Roman" w:eastAsia="Times New Roman"/>
          <w:spacing w:val="-1"/>
        </w:rPr>
        <w:t xml:space="preserve"> </w:t>
      </w:r>
      <w:r>
        <w:rPr>
          <w:rFonts w:ascii="Times New Roman" w:eastAsia="Times New Roman"/>
        </w:rPr>
        <w:t>803</w:t>
      </w:r>
      <w:r>
        <w:rPr>
          <w:rFonts w:ascii="Times New Roman" w:eastAsia="Times New Roman"/>
        </w:rPr>
        <w:tab/>
      </w:r>
      <w:r>
        <w:t xml:space="preserve">土壤和沉积物 </w:t>
      </w:r>
      <w:r>
        <w:rPr>
          <w:rFonts w:ascii="Times New Roman" w:eastAsia="Times New Roman"/>
        </w:rPr>
        <w:t>12</w:t>
      </w:r>
      <w:r>
        <w:rPr>
          <w:rFonts w:ascii="Times New Roman" w:eastAsia="Times New Roman"/>
          <w:spacing w:val="-3"/>
        </w:rPr>
        <w:t xml:space="preserve"> </w:t>
      </w:r>
      <w:r>
        <w:t>种金属元素的测定 王水提取</w:t>
      </w:r>
      <w:r>
        <w:rPr>
          <w:rFonts w:ascii="Times New Roman" w:eastAsia="Times New Roman"/>
        </w:rPr>
        <w:t>-</w:t>
      </w:r>
      <w:r>
        <w:t>电感耦合等离子体质谱法</w:t>
      </w:r>
    </w:p>
    <w:p>
      <w:pPr>
        <w:pStyle w:val="4"/>
        <w:tabs>
          <w:tab w:val="left" w:pos="2627"/>
        </w:tabs>
        <w:spacing w:before="43"/>
        <w:ind w:left="496"/>
      </w:pPr>
      <w:r>
        <w:rPr>
          <w:rFonts w:ascii="Times New Roman" w:eastAsia="Times New Roman"/>
        </w:rPr>
        <w:t>HJ</w:t>
      </w:r>
      <w:r>
        <w:rPr>
          <w:rFonts w:ascii="Times New Roman" w:eastAsia="Times New Roman"/>
          <w:spacing w:val="-1"/>
        </w:rPr>
        <w:t xml:space="preserve"> </w:t>
      </w:r>
      <w:r>
        <w:rPr>
          <w:rFonts w:ascii="Times New Roman" w:eastAsia="Times New Roman"/>
        </w:rPr>
        <w:t>805</w:t>
      </w:r>
      <w:r>
        <w:rPr>
          <w:rFonts w:ascii="Times New Roman" w:eastAsia="Times New Roman"/>
        </w:rPr>
        <w:tab/>
      </w:r>
      <w:r>
        <w:rPr>
          <w:spacing w:val="-1"/>
        </w:rPr>
        <w:t>土壤和沉积物 多环芳烃的测定 气相色谱</w:t>
      </w:r>
      <w:r>
        <w:rPr>
          <w:rFonts w:ascii="Times New Roman" w:eastAsia="Times New Roman"/>
        </w:rPr>
        <w:t>-</w:t>
      </w:r>
      <w:r>
        <w:t>质谱法</w:t>
      </w:r>
    </w:p>
    <w:p>
      <w:pPr>
        <w:pStyle w:val="4"/>
        <w:tabs>
          <w:tab w:val="left" w:pos="2627"/>
        </w:tabs>
        <w:spacing w:before="43"/>
        <w:ind w:left="496"/>
      </w:pPr>
      <w:r>
        <w:rPr>
          <w:rFonts w:ascii="Times New Roman" w:eastAsia="Times New Roman"/>
        </w:rPr>
        <w:t>HJ</w:t>
      </w:r>
      <w:r>
        <w:rPr>
          <w:rFonts w:ascii="Times New Roman" w:eastAsia="Times New Roman"/>
          <w:spacing w:val="-1"/>
        </w:rPr>
        <w:t xml:space="preserve"> </w:t>
      </w:r>
      <w:r>
        <w:rPr>
          <w:rFonts w:ascii="Times New Roman" w:eastAsia="Times New Roman"/>
        </w:rPr>
        <w:t>834</w:t>
      </w:r>
      <w:r>
        <w:rPr>
          <w:rFonts w:ascii="Times New Roman" w:eastAsia="Times New Roman"/>
        </w:rPr>
        <w:tab/>
      </w:r>
      <w:r>
        <w:rPr>
          <w:spacing w:val="-1"/>
        </w:rPr>
        <w:t>土壤和沉积物 半挥发性有机物的测定 气相色谱</w:t>
      </w:r>
      <w:r>
        <w:rPr>
          <w:rFonts w:ascii="Times New Roman" w:eastAsia="Times New Roman"/>
        </w:rPr>
        <w:t>-</w:t>
      </w:r>
      <w:r>
        <w:t>质谱法</w:t>
      </w:r>
    </w:p>
    <w:p>
      <w:pPr>
        <w:pStyle w:val="4"/>
        <w:tabs>
          <w:tab w:val="left" w:pos="2627"/>
        </w:tabs>
        <w:spacing w:before="43"/>
        <w:ind w:left="496"/>
      </w:pPr>
      <w:r>
        <w:rPr>
          <w:rFonts w:ascii="Times New Roman" w:eastAsia="Times New Roman"/>
        </w:rPr>
        <w:t>HJ</w:t>
      </w:r>
      <w:r>
        <w:rPr>
          <w:rFonts w:ascii="Times New Roman" w:eastAsia="Times New Roman"/>
          <w:spacing w:val="-1"/>
        </w:rPr>
        <w:t xml:space="preserve"> </w:t>
      </w:r>
      <w:r>
        <w:rPr>
          <w:rFonts w:ascii="Times New Roman" w:eastAsia="Times New Roman"/>
        </w:rPr>
        <w:t>835</w:t>
      </w:r>
      <w:r>
        <w:rPr>
          <w:rFonts w:ascii="Times New Roman" w:eastAsia="Times New Roman"/>
        </w:rPr>
        <w:tab/>
      </w:r>
      <w:r>
        <w:rPr>
          <w:spacing w:val="-1"/>
        </w:rPr>
        <w:t>土壤和沉积物 有机氯农药的测定 气相色谱</w:t>
      </w:r>
      <w:r>
        <w:rPr>
          <w:rFonts w:ascii="Times New Roman" w:eastAsia="Times New Roman"/>
        </w:rPr>
        <w:t>-</w:t>
      </w:r>
      <w:r>
        <w:t>质谱法</w:t>
      </w:r>
    </w:p>
    <w:p>
      <w:pPr>
        <w:pStyle w:val="4"/>
        <w:tabs>
          <w:tab w:val="left" w:pos="2627"/>
        </w:tabs>
        <w:spacing w:before="43"/>
        <w:ind w:left="496"/>
      </w:pPr>
      <w:r>
        <w:rPr>
          <w:rFonts w:ascii="Times New Roman" w:eastAsia="Times New Roman"/>
        </w:rPr>
        <w:t>HJ</w:t>
      </w:r>
      <w:r>
        <w:rPr>
          <w:rFonts w:ascii="Times New Roman" w:eastAsia="Times New Roman"/>
          <w:spacing w:val="-1"/>
        </w:rPr>
        <w:t xml:space="preserve"> </w:t>
      </w:r>
      <w:r>
        <w:rPr>
          <w:rFonts w:ascii="Times New Roman" w:eastAsia="Times New Roman"/>
        </w:rPr>
        <w:t>921</w:t>
      </w:r>
      <w:r>
        <w:rPr>
          <w:rFonts w:ascii="Times New Roman" w:eastAsia="Times New Roman"/>
        </w:rPr>
        <w:tab/>
      </w:r>
      <w:r>
        <w:rPr>
          <w:spacing w:val="-1"/>
        </w:rPr>
        <w:t>土壤和沉积物 有机氯农药的测定 气相色谱法</w:t>
      </w:r>
    </w:p>
    <w:p>
      <w:pPr>
        <w:pStyle w:val="4"/>
        <w:tabs>
          <w:tab w:val="left" w:pos="2627"/>
        </w:tabs>
        <w:spacing w:before="43"/>
        <w:ind w:left="496"/>
      </w:pPr>
      <w:r>
        <w:rPr>
          <w:rFonts w:ascii="Times New Roman" w:eastAsia="Times New Roman"/>
        </w:rPr>
        <w:t>HJ</w:t>
      </w:r>
      <w:r>
        <w:rPr>
          <w:rFonts w:ascii="Times New Roman" w:eastAsia="Times New Roman"/>
          <w:spacing w:val="-1"/>
        </w:rPr>
        <w:t xml:space="preserve"> </w:t>
      </w:r>
      <w:r>
        <w:rPr>
          <w:rFonts w:ascii="Times New Roman" w:eastAsia="Times New Roman"/>
        </w:rPr>
        <w:t>923</w:t>
      </w:r>
      <w:r>
        <w:rPr>
          <w:rFonts w:ascii="Times New Roman" w:eastAsia="Times New Roman"/>
        </w:rPr>
        <w:tab/>
      </w:r>
      <w:r>
        <w:t>土壤和沉积物 总汞的测定 催化热解</w:t>
      </w:r>
      <w:r>
        <w:rPr>
          <w:rFonts w:ascii="Times New Roman" w:eastAsia="Times New Roman"/>
        </w:rPr>
        <w:t>-</w:t>
      </w:r>
      <w:r>
        <w:t>冷原子吸收分光光度法</w:t>
      </w:r>
    </w:p>
    <w:p>
      <w:pPr>
        <w:pStyle w:val="4"/>
        <w:rPr>
          <w:sz w:val="22"/>
        </w:rPr>
      </w:pPr>
    </w:p>
    <w:p>
      <w:pPr>
        <w:pStyle w:val="4"/>
        <w:spacing w:before="4"/>
        <w:rPr>
          <w:sz w:val="28"/>
        </w:rPr>
      </w:pPr>
    </w:p>
    <w:p>
      <w:pPr>
        <w:pStyle w:val="8"/>
        <w:numPr>
          <w:ilvl w:val="0"/>
          <w:numId w:val="2"/>
        </w:numPr>
        <w:tabs>
          <w:tab w:val="left" w:pos="428"/>
        </w:tabs>
        <w:spacing w:before="0" w:after="0" w:line="240" w:lineRule="auto"/>
        <w:ind w:left="427" w:right="0" w:hanging="210"/>
        <w:jc w:val="left"/>
        <w:rPr>
          <w:rFonts w:hint="eastAsia" w:ascii="黑体" w:eastAsia="黑体"/>
          <w:sz w:val="21"/>
        </w:rPr>
      </w:pPr>
      <w:bookmarkStart w:id="24" w:name="_bookmark3"/>
      <w:bookmarkEnd w:id="24"/>
      <w:bookmarkStart w:id="25" w:name="3 术语和定义"/>
      <w:bookmarkEnd w:id="25"/>
      <w:bookmarkStart w:id="26" w:name="_bookmark3"/>
      <w:bookmarkEnd w:id="26"/>
      <w:r>
        <w:rPr>
          <w:rFonts w:hint="eastAsia" w:ascii="黑体" w:eastAsia="黑体"/>
          <w:sz w:val="21"/>
        </w:rPr>
        <w:t>术语和定义</w:t>
      </w:r>
    </w:p>
    <w:p>
      <w:pPr>
        <w:pStyle w:val="4"/>
        <w:spacing w:before="10"/>
        <w:rPr>
          <w:rFonts w:ascii="黑体"/>
          <w:sz w:val="20"/>
        </w:rPr>
      </w:pPr>
    </w:p>
    <w:p>
      <w:pPr>
        <w:pStyle w:val="4"/>
        <w:spacing w:before="70"/>
        <w:ind w:left="638"/>
      </w:pPr>
      <w:r>
        <w:t>下列术语和定义适用于本标准。</w:t>
      </w:r>
    </w:p>
    <w:p>
      <w:pPr>
        <w:pStyle w:val="4"/>
        <w:spacing w:before="24"/>
        <w:ind w:left="218"/>
        <w:rPr>
          <w:rFonts w:ascii="黑体"/>
        </w:rPr>
      </w:pPr>
      <w:bookmarkStart w:id="27" w:name="3.1 "/>
      <w:bookmarkEnd w:id="27"/>
      <w:r>
        <w:rPr>
          <w:rFonts w:ascii="黑体"/>
        </w:rPr>
        <w:t>3.1</w:t>
      </w:r>
    </w:p>
    <w:p>
      <w:pPr>
        <w:pStyle w:val="4"/>
        <w:spacing w:before="2"/>
        <w:ind w:left="638"/>
        <w:rPr>
          <w:rFonts w:hint="eastAsia" w:ascii="黑体" w:eastAsia="黑体"/>
        </w:rPr>
      </w:pPr>
      <w:r>
        <w:rPr>
          <w:rFonts w:hint="eastAsia" w:ascii="黑体" w:eastAsia="黑体"/>
        </w:rPr>
        <w:t>土壤 soil</w:t>
      </w:r>
    </w:p>
    <w:p>
      <w:pPr>
        <w:pStyle w:val="4"/>
        <w:spacing w:before="23"/>
        <w:ind w:left="638"/>
      </w:pPr>
      <w:r>
        <w:t>指位于陆地表层能够生长植物的疏松多孔物质层及其相关自然地理要素的综合体。</w:t>
      </w:r>
    </w:p>
    <w:p>
      <w:pPr>
        <w:pStyle w:val="4"/>
        <w:spacing w:before="24"/>
        <w:ind w:left="218"/>
        <w:rPr>
          <w:rFonts w:ascii="黑体"/>
        </w:rPr>
      </w:pPr>
      <w:bookmarkStart w:id="28" w:name="3.2 "/>
      <w:bookmarkEnd w:id="28"/>
      <w:r>
        <w:rPr>
          <w:rFonts w:ascii="黑体"/>
        </w:rPr>
        <w:t>3.2</w:t>
      </w:r>
    </w:p>
    <w:p>
      <w:pPr>
        <w:pStyle w:val="4"/>
        <w:spacing w:before="5"/>
        <w:ind w:left="638"/>
        <w:rPr>
          <w:rFonts w:hint="eastAsia" w:ascii="黑体" w:eastAsia="黑体"/>
        </w:rPr>
      </w:pPr>
      <w:r>
        <w:rPr>
          <w:rFonts w:hint="eastAsia" w:ascii="黑体" w:eastAsia="黑体"/>
        </w:rPr>
        <w:t>农用地 agricultural land</w:t>
      </w:r>
    </w:p>
    <w:p>
      <w:pPr>
        <w:pStyle w:val="4"/>
        <w:spacing w:before="21"/>
        <w:ind w:left="638"/>
        <w:rPr>
          <w:rFonts w:ascii="Times New Roman" w:eastAsia="Times New Roman"/>
        </w:rPr>
      </w:pPr>
      <w:bookmarkStart w:id="29" w:name="指GB/T 21010中的01耕地（0101水田、0102水浇地、0103旱地）"/>
      <w:bookmarkEnd w:id="29"/>
      <w:r>
        <w:rPr>
          <w:spacing w:val="-25"/>
        </w:rPr>
        <w:t xml:space="preserve">指 </w:t>
      </w:r>
      <w:r>
        <w:rPr>
          <w:rFonts w:ascii="Times New Roman" w:eastAsia="Times New Roman"/>
        </w:rPr>
        <w:t xml:space="preserve">GB/T 21010 </w:t>
      </w:r>
      <w:r>
        <w:rPr>
          <w:spacing w:val="-14"/>
        </w:rPr>
        <w:t xml:space="preserve">中的 </w:t>
      </w:r>
      <w:r>
        <w:rPr>
          <w:rFonts w:ascii="Times New Roman" w:eastAsia="Times New Roman"/>
        </w:rPr>
        <w:t xml:space="preserve">01 </w:t>
      </w:r>
      <w:r>
        <w:rPr>
          <w:spacing w:val="7"/>
        </w:rPr>
        <w:t>耕地</w:t>
      </w:r>
      <w:r>
        <w:t>（</w:t>
      </w:r>
      <w:r>
        <w:rPr>
          <w:rFonts w:ascii="Times New Roman" w:eastAsia="Times New Roman"/>
        </w:rPr>
        <w:t xml:space="preserve">0101 </w:t>
      </w:r>
      <w:r>
        <w:rPr>
          <w:spacing w:val="6"/>
        </w:rPr>
        <w:t>水田、</w:t>
      </w:r>
      <w:r>
        <w:rPr>
          <w:rFonts w:ascii="Times New Roman" w:eastAsia="Times New Roman"/>
        </w:rPr>
        <w:t xml:space="preserve">0102 </w:t>
      </w:r>
      <w:r>
        <w:rPr>
          <w:spacing w:val="6"/>
        </w:rPr>
        <w:t>水浇地、</w:t>
      </w:r>
      <w:r>
        <w:rPr>
          <w:rFonts w:ascii="Times New Roman" w:eastAsia="Times New Roman"/>
        </w:rPr>
        <w:t xml:space="preserve">0103 </w:t>
      </w:r>
      <w:r>
        <w:rPr>
          <w:spacing w:val="7"/>
        </w:rPr>
        <w:t>旱地</w:t>
      </w:r>
      <w:r>
        <w:rPr>
          <w:spacing w:val="-99"/>
        </w:rPr>
        <w:t>）</w:t>
      </w:r>
      <w:r>
        <w:rPr>
          <w:spacing w:val="7"/>
        </w:rPr>
        <w:t>、</w:t>
      </w:r>
      <w:r>
        <w:rPr>
          <w:rFonts w:ascii="Times New Roman" w:eastAsia="Times New Roman"/>
        </w:rPr>
        <w:t xml:space="preserve">02 </w:t>
      </w:r>
      <w:r>
        <w:rPr>
          <w:spacing w:val="7"/>
        </w:rPr>
        <w:t>园地</w:t>
      </w:r>
      <w:r>
        <w:t>（</w:t>
      </w:r>
      <w:r>
        <w:rPr>
          <w:rFonts w:ascii="Times New Roman" w:eastAsia="Times New Roman"/>
        </w:rPr>
        <w:t xml:space="preserve">0201 </w:t>
      </w:r>
      <w:r>
        <w:rPr>
          <w:spacing w:val="6"/>
        </w:rPr>
        <w:t>果园、</w:t>
      </w:r>
      <w:r>
        <w:rPr>
          <w:rFonts w:ascii="Times New Roman" w:eastAsia="Times New Roman"/>
        </w:rPr>
        <w:t>0202</w:t>
      </w:r>
    </w:p>
    <w:p>
      <w:pPr>
        <w:pStyle w:val="4"/>
        <w:spacing w:before="43"/>
        <w:ind w:left="218"/>
      </w:pPr>
      <w:r>
        <w:t>茶园）</w:t>
      </w:r>
      <w:r>
        <w:rPr>
          <w:spacing w:val="-27"/>
        </w:rPr>
        <w:t xml:space="preserve">和 </w:t>
      </w:r>
      <w:r>
        <w:rPr>
          <w:rFonts w:ascii="Times New Roman" w:eastAsia="Times New Roman"/>
        </w:rPr>
        <w:t xml:space="preserve">04 </w:t>
      </w:r>
      <w:r>
        <w:t>草地（</w:t>
      </w:r>
      <w:r>
        <w:rPr>
          <w:rFonts w:ascii="Times New Roman" w:eastAsia="Times New Roman"/>
        </w:rPr>
        <w:t xml:space="preserve">0401 </w:t>
      </w:r>
      <w:r>
        <w:t>天然牧草地、</w:t>
      </w:r>
      <w:r>
        <w:rPr>
          <w:rFonts w:ascii="Times New Roman" w:eastAsia="Times New Roman"/>
        </w:rPr>
        <w:t xml:space="preserve">0403 </w:t>
      </w:r>
      <w:r>
        <w:t>人工牧草地</w:t>
      </w:r>
      <w:r>
        <w:rPr>
          <w:spacing w:val="-104"/>
        </w:rPr>
        <w:t>）</w:t>
      </w:r>
      <w:r>
        <w:t>。</w:t>
      </w:r>
    </w:p>
    <w:p>
      <w:pPr>
        <w:spacing w:after="0"/>
        <w:sectPr>
          <w:footerReference r:id="rId5" w:type="default"/>
          <w:pgSz w:w="11910" w:h="16840"/>
          <w:pgMar w:top="1640" w:right="740" w:bottom="1040" w:left="1200" w:header="1428" w:footer="850" w:gutter="0"/>
          <w:pgNumType w:start="1"/>
        </w:sectPr>
      </w:pPr>
    </w:p>
    <w:p>
      <w:pPr>
        <w:pStyle w:val="4"/>
        <w:spacing w:before="140"/>
        <w:ind w:left="218"/>
        <w:rPr>
          <w:rFonts w:ascii="黑体"/>
        </w:rPr>
      </w:pPr>
      <w:bookmarkStart w:id="30" w:name="3.3"/>
      <w:bookmarkEnd w:id="30"/>
      <w:r>
        <w:rPr>
          <w:rFonts w:ascii="黑体"/>
        </w:rPr>
        <w:t>3.3</w:t>
      </w:r>
    </w:p>
    <w:p>
      <w:pPr>
        <w:pStyle w:val="4"/>
        <w:spacing w:before="24"/>
        <w:ind w:left="638"/>
        <w:rPr>
          <w:rFonts w:hint="eastAsia" w:ascii="黑体" w:eastAsia="黑体"/>
        </w:rPr>
      </w:pPr>
      <w:r>
        <w:rPr>
          <w:rFonts w:hint="eastAsia" w:ascii="黑体" w:eastAsia="黑体"/>
        </w:rPr>
        <w:t>农用地土壤污染风险 soil contamination risk of agricultural land</w:t>
      </w:r>
    </w:p>
    <w:p>
      <w:pPr>
        <w:pStyle w:val="4"/>
        <w:spacing w:before="22"/>
        <w:ind w:left="638"/>
      </w:pPr>
      <w:bookmarkStart w:id="31" w:name="指因土壤污染导致食用农产品质量安全、农作物生长或土壤生态环境受到不利影响。"/>
      <w:bookmarkEnd w:id="31"/>
      <w:r>
        <w:t>指因土壤污染导致食用农产品质量安全、农作物生长或土壤生态环境受到不利影响。</w:t>
      </w:r>
    </w:p>
    <w:p>
      <w:pPr>
        <w:pStyle w:val="4"/>
        <w:spacing w:before="23"/>
        <w:ind w:left="218"/>
        <w:rPr>
          <w:rFonts w:ascii="黑体"/>
        </w:rPr>
      </w:pPr>
      <w:bookmarkStart w:id="32" w:name="3.4"/>
      <w:bookmarkEnd w:id="32"/>
      <w:r>
        <w:rPr>
          <w:rFonts w:ascii="黑体"/>
        </w:rPr>
        <w:t>3.4</w:t>
      </w:r>
    </w:p>
    <w:p>
      <w:pPr>
        <w:pStyle w:val="4"/>
        <w:spacing w:before="101"/>
        <w:ind w:left="638"/>
        <w:rPr>
          <w:rFonts w:hint="eastAsia" w:ascii="黑体" w:eastAsia="黑体"/>
        </w:rPr>
      </w:pPr>
      <w:r>
        <w:rPr>
          <w:rFonts w:hint="eastAsia" w:ascii="黑体" w:eastAsia="黑体"/>
        </w:rPr>
        <w:t>农用地土壤污染风险筛选值 risk screening values for soil contamination of agricultural</w:t>
      </w:r>
    </w:p>
    <w:p>
      <w:pPr>
        <w:pStyle w:val="4"/>
        <w:spacing w:before="1"/>
        <w:rPr>
          <w:rFonts w:ascii="黑体"/>
          <w:sz w:val="10"/>
        </w:rPr>
      </w:pPr>
    </w:p>
    <w:p>
      <w:pPr>
        <w:pStyle w:val="4"/>
        <w:spacing w:before="70"/>
        <w:ind w:left="218"/>
        <w:rPr>
          <w:rFonts w:ascii="黑体"/>
        </w:rPr>
      </w:pPr>
      <w:r>
        <w:rPr>
          <w:rFonts w:ascii="黑体"/>
        </w:rPr>
        <w:t>land</w:t>
      </w:r>
    </w:p>
    <w:p>
      <w:pPr>
        <w:pStyle w:val="4"/>
        <w:spacing w:before="122" w:line="278" w:lineRule="auto"/>
        <w:ind w:left="218" w:right="391" w:firstLine="420"/>
        <w:jc w:val="both"/>
      </w:pPr>
      <w:bookmarkStart w:id="33" w:name="指农用地土壤中污染物含量等于或者低于该值的，对农产品质量安全、农作物生长或土壤生"/>
      <w:bookmarkEnd w:id="33"/>
      <w:r>
        <w:rPr>
          <w:spacing w:val="-5"/>
          <w:w w:val="95"/>
        </w:rPr>
        <w:t>指农用地土壤中污染物含量等于或者低于该值的，对农产品质量安全、农作物生长或土壤生态环境</w:t>
      </w:r>
      <w:r>
        <w:rPr>
          <w:spacing w:val="-11"/>
          <w:w w:val="95"/>
        </w:rPr>
        <w:t>的风险低，一般情况下可以忽略；超过该值的，对农产品质量安全、农作物生长或土壤生态环境可能存</w:t>
      </w:r>
      <w:r>
        <w:rPr>
          <w:spacing w:val="-11"/>
        </w:rPr>
        <w:t>在风险，应当加强土壤环境监测和农产品协同监测，原则上应当采取安全利用措施。</w:t>
      </w:r>
    </w:p>
    <w:p>
      <w:pPr>
        <w:pStyle w:val="4"/>
        <w:spacing w:line="247" w:lineRule="exact"/>
        <w:ind w:left="218"/>
        <w:rPr>
          <w:rFonts w:ascii="黑体"/>
        </w:rPr>
      </w:pPr>
      <w:bookmarkStart w:id="34" w:name="3.5"/>
      <w:bookmarkEnd w:id="34"/>
      <w:r>
        <w:rPr>
          <w:rFonts w:ascii="黑体"/>
        </w:rPr>
        <w:t>3.5</w:t>
      </w:r>
    </w:p>
    <w:p>
      <w:pPr>
        <w:pStyle w:val="4"/>
        <w:spacing w:before="103"/>
        <w:ind w:left="638"/>
        <w:rPr>
          <w:rFonts w:hint="eastAsia" w:ascii="黑体" w:eastAsia="黑体"/>
        </w:rPr>
      </w:pPr>
      <w:r>
        <w:rPr>
          <w:rFonts w:hint="eastAsia" w:ascii="黑体" w:eastAsia="黑体"/>
        </w:rPr>
        <w:t>农用地土壤污染风险管制值 risk intervention values for soil contamination of agricultural</w:t>
      </w:r>
    </w:p>
    <w:p>
      <w:pPr>
        <w:pStyle w:val="4"/>
        <w:spacing w:before="6"/>
        <w:rPr>
          <w:rFonts w:ascii="黑体"/>
          <w:sz w:val="15"/>
        </w:rPr>
      </w:pPr>
    </w:p>
    <w:p>
      <w:pPr>
        <w:pStyle w:val="4"/>
        <w:ind w:left="218"/>
        <w:rPr>
          <w:rFonts w:ascii="黑体"/>
        </w:rPr>
      </w:pPr>
      <w:r>
        <w:rPr>
          <w:rFonts w:ascii="黑体"/>
        </w:rPr>
        <w:t>land</w:t>
      </w:r>
    </w:p>
    <w:p>
      <w:pPr>
        <w:pStyle w:val="4"/>
        <w:spacing w:before="120" w:line="278" w:lineRule="auto"/>
        <w:ind w:left="218" w:right="393" w:firstLine="420"/>
      </w:pPr>
      <w:bookmarkStart w:id="35" w:name="指农用地土壤中污染物含量超过该值的，食用农产品不符合质量安全标准等农用地土壤污染"/>
      <w:bookmarkEnd w:id="35"/>
      <w:r>
        <w:t>指农用地土壤中污染物含量超过该值的，食用农产品不符合质量安全标准等农用地土壤污染风险高，原则上应当采取严格管控措施。</w:t>
      </w:r>
    </w:p>
    <w:p>
      <w:pPr>
        <w:pStyle w:val="4"/>
        <w:spacing w:before="11"/>
        <w:rPr>
          <w:sz w:val="22"/>
        </w:rPr>
      </w:pPr>
    </w:p>
    <w:p>
      <w:pPr>
        <w:pStyle w:val="8"/>
        <w:numPr>
          <w:ilvl w:val="0"/>
          <w:numId w:val="2"/>
        </w:numPr>
        <w:tabs>
          <w:tab w:val="left" w:pos="428"/>
        </w:tabs>
        <w:spacing w:before="0" w:after="0" w:line="240" w:lineRule="auto"/>
        <w:ind w:left="427" w:right="0" w:hanging="210"/>
        <w:jc w:val="left"/>
        <w:rPr>
          <w:rFonts w:hint="eastAsia" w:ascii="黑体" w:eastAsia="黑体"/>
          <w:sz w:val="21"/>
        </w:rPr>
      </w:pPr>
      <w:bookmarkStart w:id="36" w:name="4 农用地土壤污染风险筛选值"/>
      <w:bookmarkEnd w:id="36"/>
      <w:bookmarkStart w:id="37" w:name="_bookmark4"/>
      <w:bookmarkEnd w:id="37"/>
      <w:bookmarkStart w:id="38" w:name="_bookmark4"/>
      <w:bookmarkEnd w:id="38"/>
      <w:r>
        <w:rPr>
          <w:rFonts w:hint="eastAsia" w:ascii="黑体" w:eastAsia="黑体"/>
          <w:sz w:val="21"/>
        </w:rPr>
        <w:t>农用地土壤污染风险筛选值</w:t>
      </w:r>
    </w:p>
    <w:p>
      <w:pPr>
        <w:pStyle w:val="4"/>
        <w:spacing w:before="6"/>
        <w:rPr>
          <w:rFonts w:ascii="黑体"/>
          <w:sz w:val="24"/>
        </w:rPr>
      </w:pPr>
    </w:p>
    <w:p>
      <w:pPr>
        <w:pStyle w:val="8"/>
        <w:numPr>
          <w:ilvl w:val="1"/>
          <w:numId w:val="2"/>
        </w:numPr>
        <w:tabs>
          <w:tab w:val="left" w:pos="586"/>
        </w:tabs>
        <w:spacing w:before="1" w:after="0" w:line="240" w:lineRule="auto"/>
        <w:ind w:left="585" w:right="0" w:hanging="368"/>
        <w:jc w:val="left"/>
        <w:rPr>
          <w:rFonts w:hint="eastAsia" w:ascii="黑体" w:eastAsia="黑体"/>
          <w:sz w:val="21"/>
        </w:rPr>
      </w:pPr>
      <w:bookmarkStart w:id="39" w:name="4.1基本项目"/>
      <w:bookmarkEnd w:id="39"/>
      <w:bookmarkStart w:id="40" w:name="4.1基本项目"/>
      <w:bookmarkEnd w:id="40"/>
      <w:r>
        <w:rPr>
          <w:rFonts w:hint="eastAsia" w:ascii="黑体" w:eastAsia="黑体"/>
          <w:sz w:val="21"/>
        </w:rPr>
        <w:t>基本项目</w:t>
      </w:r>
    </w:p>
    <w:p>
      <w:pPr>
        <w:pStyle w:val="8"/>
        <w:numPr>
          <w:ilvl w:val="2"/>
          <w:numId w:val="2"/>
        </w:numPr>
        <w:tabs>
          <w:tab w:val="left" w:pos="1109"/>
        </w:tabs>
        <w:spacing w:before="23" w:after="0" w:line="278" w:lineRule="auto"/>
        <w:ind w:left="218" w:right="280" w:firstLine="420"/>
        <w:jc w:val="left"/>
        <w:rPr>
          <w:sz w:val="21"/>
        </w:rPr>
      </w:pPr>
      <w:r>
        <w:rPr>
          <w:spacing w:val="-5"/>
          <w:sz w:val="21"/>
        </w:rPr>
        <w:t xml:space="preserve">农用地土壤污染风险筛选值的基本项目为必测项目，包括镉、汞、砷、铅、铬、铜、镍、锌， </w:t>
      </w:r>
      <w:r>
        <w:rPr>
          <w:spacing w:val="-12"/>
          <w:sz w:val="21"/>
        </w:rPr>
        <w:t xml:space="preserve">风险筛选值见表 </w:t>
      </w:r>
      <w:r>
        <w:rPr>
          <w:rFonts w:ascii="Times New Roman" w:eastAsia="Times New Roman"/>
          <w:sz w:val="21"/>
        </w:rPr>
        <w:t>1</w:t>
      </w:r>
      <w:r>
        <w:rPr>
          <w:sz w:val="21"/>
        </w:rPr>
        <w:t>。</w:t>
      </w:r>
    </w:p>
    <w:p>
      <w:pPr>
        <w:spacing w:after="0" w:line="278" w:lineRule="auto"/>
        <w:jc w:val="left"/>
        <w:rPr>
          <w:sz w:val="21"/>
        </w:rPr>
        <w:sectPr>
          <w:pgSz w:w="11910" w:h="16840"/>
          <w:pgMar w:top="1640" w:right="740" w:bottom="1040" w:left="1200" w:header="1428" w:footer="850" w:gutter="0"/>
        </w:sectPr>
      </w:pPr>
    </w:p>
    <w:p>
      <w:pPr>
        <w:pStyle w:val="4"/>
        <w:ind w:left="2769"/>
        <w:rPr>
          <w:rFonts w:hint="eastAsia" w:ascii="黑体" w:eastAsia="黑体"/>
        </w:rPr>
      </w:pPr>
      <w:r>
        <w:rPr>
          <w:rFonts w:hint="eastAsia" w:ascii="黑体" w:eastAsia="黑体"/>
          <w:spacing w:val="-29"/>
        </w:rPr>
        <w:t xml:space="preserve">表 </w:t>
      </w:r>
      <w:r>
        <w:rPr>
          <w:rFonts w:hint="eastAsia" w:ascii="黑体" w:eastAsia="黑体"/>
        </w:rPr>
        <w:t>1</w:t>
      </w:r>
      <w:r>
        <w:rPr>
          <w:rFonts w:hint="eastAsia" w:ascii="黑体" w:eastAsia="黑体"/>
          <w:spacing w:val="-3"/>
        </w:rPr>
        <w:t xml:space="preserve"> 农用地土壤污染风险筛选值</w:t>
      </w:r>
      <w:r>
        <w:rPr>
          <w:rFonts w:hint="eastAsia" w:ascii="黑体" w:eastAsia="黑体"/>
        </w:rPr>
        <w:t>（基本项目）</w:t>
      </w:r>
    </w:p>
    <w:p>
      <w:pPr>
        <w:pStyle w:val="4"/>
        <w:spacing w:before="4"/>
        <w:rPr>
          <w:rFonts w:ascii="黑体"/>
          <w:sz w:val="24"/>
        </w:rPr>
      </w:pPr>
      <w:r>
        <w:br w:type="column"/>
      </w:r>
    </w:p>
    <w:p>
      <w:pPr>
        <w:pStyle w:val="4"/>
        <w:spacing w:before="1"/>
        <w:ind w:left="1349"/>
        <w:rPr>
          <w:rFonts w:ascii="Times New Roman" w:eastAsia="Times New Roman"/>
        </w:rPr>
      </w:pPr>
      <w:r>
        <w:rPr>
          <w:rFonts w:hint="eastAsia" w:ascii="黑体" w:eastAsia="黑体"/>
        </w:rPr>
        <w:t>单位：</w:t>
      </w:r>
      <w:r>
        <w:rPr>
          <w:rFonts w:ascii="Times New Roman" w:eastAsia="Times New Roman"/>
        </w:rPr>
        <w:t>mg/kg</w:t>
      </w:r>
    </w:p>
    <w:p>
      <w:pPr>
        <w:spacing w:after="0"/>
        <w:rPr>
          <w:rFonts w:ascii="Times New Roman" w:eastAsia="Times New Roman"/>
        </w:rPr>
        <w:sectPr>
          <w:type w:val="continuous"/>
          <w:pgSz w:w="11910" w:h="16840"/>
          <w:pgMar w:top="1020" w:right="740" w:bottom="280" w:left="1200" w:header="720" w:footer="720" w:gutter="0"/>
          <w:cols w:equalWidth="0" w:num="2">
            <w:col w:w="7018" w:space="40"/>
            <w:col w:w="2912"/>
          </w:cols>
        </w:sectPr>
      </w:pPr>
    </w:p>
    <w:tbl>
      <w:tblPr>
        <w:tblStyle w:val="5"/>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0"/>
        <w:gridCol w:w="806"/>
        <w:gridCol w:w="808"/>
        <w:gridCol w:w="1692"/>
        <w:gridCol w:w="1644"/>
        <w:gridCol w:w="1899"/>
        <w:gridCol w:w="19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70" w:type="dxa"/>
            <w:vMerge w:val="restart"/>
          </w:tcPr>
          <w:p>
            <w:pPr>
              <w:pStyle w:val="9"/>
              <w:spacing w:before="8"/>
              <w:jc w:val="left"/>
              <w:rPr>
                <w:rFonts w:ascii="Times New Roman"/>
                <w:sz w:val="18"/>
              </w:rPr>
            </w:pPr>
          </w:p>
          <w:p>
            <w:pPr>
              <w:pStyle w:val="9"/>
              <w:spacing w:before="0"/>
              <w:ind w:left="204"/>
              <w:jc w:val="left"/>
              <w:rPr>
                <w:sz w:val="18"/>
              </w:rPr>
            </w:pPr>
            <w:r>
              <w:rPr>
                <w:sz w:val="18"/>
              </w:rPr>
              <w:t>序号</w:t>
            </w:r>
          </w:p>
        </w:tc>
        <w:tc>
          <w:tcPr>
            <w:tcW w:w="1614" w:type="dxa"/>
            <w:gridSpan w:val="2"/>
            <w:vMerge w:val="restart"/>
          </w:tcPr>
          <w:p>
            <w:pPr>
              <w:pStyle w:val="9"/>
              <w:spacing w:before="0"/>
              <w:jc w:val="left"/>
              <w:rPr>
                <w:rFonts w:ascii="Times New Roman"/>
                <w:sz w:val="22"/>
              </w:rPr>
            </w:pPr>
          </w:p>
          <w:p>
            <w:pPr>
              <w:pStyle w:val="9"/>
              <w:spacing w:before="0"/>
              <w:ind w:left="266"/>
              <w:jc w:val="left"/>
              <w:rPr>
                <w:sz w:val="9"/>
              </w:rPr>
            </w:pPr>
            <w:r>
              <w:rPr>
                <w:sz w:val="18"/>
              </w:rPr>
              <w:t>污染物项目</w:t>
            </w:r>
            <w:r>
              <w:rPr>
                <w:position w:val="9"/>
                <w:sz w:val="9"/>
              </w:rPr>
              <w:t>①②</w:t>
            </w:r>
          </w:p>
        </w:tc>
        <w:tc>
          <w:tcPr>
            <w:tcW w:w="7187" w:type="dxa"/>
            <w:gridSpan w:val="4"/>
          </w:tcPr>
          <w:p>
            <w:pPr>
              <w:pStyle w:val="9"/>
              <w:spacing w:before="92" w:line="227" w:lineRule="exact"/>
              <w:ind w:left="3123" w:right="3114"/>
              <w:rPr>
                <w:sz w:val="18"/>
              </w:rPr>
            </w:pPr>
            <w:r>
              <w:rPr>
                <w:sz w:val="18"/>
              </w:rPr>
              <w:t>风险筛选值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70" w:type="dxa"/>
            <w:vMerge w:val="continue"/>
            <w:tcBorders>
              <w:top w:val="nil"/>
            </w:tcBorders>
          </w:tcPr>
          <w:p>
            <w:pPr>
              <w:rPr>
                <w:sz w:val="2"/>
                <w:szCs w:val="2"/>
              </w:rPr>
            </w:pPr>
          </w:p>
        </w:tc>
        <w:tc>
          <w:tcPr>
            <w:tcW w:w="1614" w:type="dxa"/>
            <w:gridSpan w:val="2"/>
            <w:vMerge w:val="continue"/>
            <w:tcBorders>
              <w:top w:val="nil"/>
            </w:tcBorders>
          </w:tcPr>
          <w:p>
            <w:pPr>
              <w:rPr>
                <w:sz w:val="2"/>
                <w:szCs w:val="2"/>
              </w:rPr>
            </w:pPr>
          </w:p>
        </w:tc>
        <w:tc>
          <w:tcPr>
            <w:tcW w:w="1692" w:type="dxa"/>
          </w:tcPr>
          <w:p>
            <w:pPr>
              <w:pStyle w:val="9"/>
              <w:spacing w:before="40"/>
              <w:ind w:left="514" w:right="502"/>
              <w:rPr>
                <w:rFonts w:ascii="Times New Roman" w:hAnsi="Times New Roman"/>
                <w:sz w:val="18"/>
              </w:rPr>
            </w:pPr>
            <w:r>
              <w:rPr>
                <w:rFonts w:ascii="Times New Roman" w:hAnsi="Times New Roman"/>
                <w:sz w:val="18"/>
              </w:rPr>
              <w:t>pH</w:t>
            </w:r>
            <w:r>
              <w:rPr>
                <w:sz w:val="18"/>
              </w:rPr>
              <w:t>≤</w:t>
            </w:r>
            <w:r>
              <w:rPr>
                <w:rFonts w:ascii="Times New Roman" w:hAnsi="Times New Roman"/>
                <w:sz w:val="18"/>
              </w:rPr>
              <w:t>5.5</w:t>
            </w:r>
          </w:p>
        </w:tc>
        <w:tc>
          <w:tcPr>
            <w:tcW w:w="1644" w:type="dxa"/>
          </w:tcPr>
          <w:p>
            <w:pPr>
              <w:pStyle w:val="9"/>
              <w:spacing w:before="40"/>
              <w:ind w:left="286" w:right="277"/>
              <w:rPr>
                <w:rFonts w:ascii="Times New Roman" w:hAnsi="Times New Roman" w:eastAsia="Times New Roman"/>
                <w:sz w:val="18"/>
              </w:rPr>
            </w:pPr>
            <w:r>
              <w:rPr>
                <w:rFonts w:ascii="Times New Roman" w:hAnsi="Times New Roman" w:eastAsia="Times New Roman"/>
                <w:sz w:val="18"/>
              </w:rPr>
              <w:t>5.5</w:t>
            </w:r>
            <w:r>
              <w:rPr>
                <w:sz w:val="18"/>
              </w:rPr>
              <w:t>＜</w:t>
            </w:r>
            <w:r>
              <w:rPr>
                <w:rFonts w:ascii="Times New Roman" w:hAnsi="Times New Roman" w:eastAsia="Times New Roman"/>
                <w:sz w:val="18"/>
              </w:rPr>
              <w:t>pH</w:t>
            </w:r>
            <w:r>
              <w:rPr>
                <w:sz w:val="18"/>
              </w:rPr>
              <w:t>≤</w:t>
            </w:r>
            <w:r>
              <w:rPr>
                <w:rFonts w:ascii="Times New Roman" w:hAnsi="Times New Roman" w:eastAsia="Times New Roman"/>
                <w:sz w:val="18"/>
              </w:rPr>
              <w:t>6.5</w:t>
            </w:r>
          </w:p>
        </w:tc>
        <w:tc>
          <w:tcPr>
            <w:tcW w:w="1899" w:type="dxa"/>
          </w:tcPr>
          <w:p>
            <w:pPr>
              <w:pStyle w:val="9"/>
              <w:spacing w:before="40"/>
              <w:ind w:left="430" w:right="421"/>
              <w:rPr>
                <w:rFonts w:ascii="Times New Roman" w:hAnsi="Times New Roman"/>
                <w:sz w:val="18"/>
              </w:rPr>
            </w:pPr>
            <w:r>
              <w:rPr>
                <w:rFonts w:ascii="Times New Roman" w:hAnsi="Times New Roman"/>
                <w:sz w:val="18"/>
              </w:rPr>
              <w:t>6.5&lt; pH</w:t>
            </w:r>
            <w:r>
              <w:rPr>
                <w:sz w:val="18"/>
              </w:rPr>
              <w:t>≤</w:t>
            </w:r>
            <w:r>
              <w:rPr>
                <w:rFonts w:ascii="Times New Roman" w:hAnsi="Times New Roman"/>
                <w:sz w:val="18"/>
              </w:rPr>
              <w:t>7.5</w:t>
            </w:r>
          </w:p>
        </w:tc>
        <w:tc>
          <w:tcPr>
            <w:tcW w:w="1952" w:type="dxa"/>
          </w:tcPr>
          <w:p>
            <w:pPr>
              <w:pStyle w:val="9"/>
              <w:spacing w:before="52"/>
              <w:ind w:left="682" w:right="672"/>
              <w:rPr>
                <w:rFonts w:ascii="Times New Roman"/>
                <w:sz w:val="18"/>
              </w:rPr>
            </w:pPr>
            <w:r>
              <w:rPr>
                <w:rFonts w:ascii="Times New Roman"/>
                <w:sz w:val="18"/>
              </w:rPr>
              <w:t>pH&gt;7.5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770" w:type="dxa"/>
            <w:vMerge w:val="restart"/>
          </w:tcPr>
          <w:p>
            <w:pPr>
              <w:pStyle w:val="9"/>
              <w:spacing w:before="0"/>
              <w:jc w:val="left"/>
              <w:rPr>
                <w:rFonts w:ascii="Times New Roman"/>
                <w:sz w:val="23"/>
              </w:rPr>
            </w:pPr>
          </w:p>
          <w:p>
            <w:pPr>
              <w:pStyle w:val="9"/>
              <w:spacing w:before="1"/>
              <w:ind w:left="7"/>
              <w:rPr>
                <w:rFonts w:ascii="Times New Roman"/>
                <w:sz w:val="18"/>
              </w:rPr>
            </w:pPr>
            <w:r>
              <w:rPr>
                <w:rFonts w:ascii="Times New Roman"/>
                <w:sz w:val="18"/>
              </w:rPr>
              <w:t>1</w:t>
            </w:r>
          </w:p>
        </w:tc>
        <w:tc>
          <w:tcPr>
            <w:tcW w:w="806" w:type="dxa"/>
            <w:vMerge w:val="restart"/>
          </w:tcPr>
          <w:p>
            <w:pPr>
              <w:pStyle w:val="9"/>
              <w:spacing w:before="0"/>
              <w:jc w:val="left"/>
              <w:rPr>
                <w:rFonts w:ascii="Times New Roman"/>
                <w:sz w:val="22"/>
              </w:rPr>
            </w:pPr>
          </w:p>
          <w:p>
            <w:pPr>
              <w:pStyle w:val="9"/>
              <w:spacing w:before="0"/>
              <w:ind w:left="9"/>
              <w:rPr>
                <w:sz w:val="18"/>
              </w:rPr>
            </w:pPr>
            <w:r>
              <w:rPr>
                <w:sz w:val="18"/>
              </w:rPr>
              <w:t>镉</w:t>
            </w:r>
          </w:p>
        </w:tc>
        <w:tc>
          <w:tcPr>
            <w:tcW w:w="808" w:type="dxa"/>
          </w:tcPr>
          <w:p>
            <w:pPr>
              <w:pStyle w:val="9"/>
              <w:spacing w:before="66"/>
              <w:ind w:left="204" w:right="194"/>
              <w:rPr>
                <w:sz w:val="18"/>
              </w:rPr>
            </w:pPr>
            <w:r>
              <w:rPr>
                <w:sz w:val="18"/>
              </w:rPr>
              <w:t>水田</w:t>
            </w:r>
          </w:p>
        </w:tc>
        <w:tc>
          <w:tcPr>
            <w:tcW w:w="1692" w:type="dxa"/>
          </w:tcPr>
          <w:p>
            <w:pPr>
              <w:pStyle w:val="9"/>
              <w:spacing w:before="78"/>
              <w:ind w:left="512" w:right="502"/>
              <w:rPr>
                <w:rFonts w:ascii="Times New Roman"/>
                <w:sz w:val="18"/>
              </w:rPr>
            </w:pPr>
            <w:r>
              <w:rPr>
                <w:rFonts w:ascii="Times New Roman"/>
                <w:sz w:val="18"/>
              </w:rPr>
              <w:t>0.3</w:t>
            </w:r>
          </w:p>
        </w:tc>
        <w:tc>
          <w:tcPr>
            <w:tcW w:w="1644" w:type="dxa"/>
          </w:tcPr>
          <w:p>
            <w:pPr>
              <w:pStyle w:val="9"/>
              <w:spacing w:before="78"/>
              <w:ind w:left="286" w:right="276"/>
              <w:rPr>
                <w:rFonts w:ascii="Times New Roman"/>
                <w:sz w:val="18"/>
              </w:rPr>
            </w:pPr>
            <w:r>
              <w:rPr>
                <w:rFonts w:ascii="Times New Roman"/>
                <w:sz w:val="18"/>
              </w:rPr>
              <w:t>0.4</w:t>
            </w:r>
          </w:p>
        </w:tc>
        <w:tc>
          <w:tcPr>
            <w:tcW w:w="1899" w:type="dxa"/>
          </w:tcPr>
          <w:p>
            <w:pPr>
              <w:pStyle w:val="9"/>
              <w:spacing w:before="78"/>
              <w:ind w:left="430" w:right="419"/>
              <w:rPr>
                <w:rFonts w:ascii="Times New Roman"/>
                <w:sz w:val="18"/>
              </w:rPr>
            </w:pPr>
            <w:r>
              <w:rPr>
                <w:rFonts w:ascii="Times New Roman"/>
                <w:sz w:val="18"/>
              </w:rPr>
              <w:t>0.6</w:t>
            </w:r>
          </w:p>
        </w:tc>
        <w:tc>
          <w:tcPr>
            <w:tcW w:w="1952" w:type="dxa"/>
          </w:tcPr>
          <w:p>
            <w:pPr>
              <w:pStyle w:val="9"/>
              <w:spacing w:before="78"/>
              <w:ind w:left="682" w:right="672"/>
              <w:rPr>
                <w:rFonts w:ascii="Times New Roman"/>
                <w:sz w:val="18"/>
              </w:rPr>
            </w:pPr>
            <w:r>
              <w:rPr>
                <w:rFonts w:ascii="Times New Roman"/>
                <w:sz w:val="18"/>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70" w:type="dxa"/>
            <w:vMerge w:val="continue"/>
            <w:tcBorders>
              <w:top w:val="nil"/>
            </w:tcBorders>
          </w:tcPr>
          <w:p>
            <w:pPr>
              <w:rPr>
                <w:sz w:val="2"/>
                <w:szCs w:val="2"/>
              </w:rPr>
            </w:pPr>
          </w:p>
        </w:tc>
        <w:tc>
          <w:tcPr>
            <w:tcW w:w="806" w:type="dxa"/>
            <w:vMerge w:val="continue"/>
            <w:tcBorders>
              <w:top w:val="nil"/>
            </w:tcBorders>
          </w:tcPr>
          <w:p>
            <w:pPr>
              <w:rPr>
                <w:sz w:val="2"/>
                <w:szCs w:val="2"/>
              </w:rPr>
            </w:pPr>
          </w:p>
        </w:tc>
        <w:tc>
          <w:tcPr>
            <w:tcW w:w="808" w:type="dxa"/>
          </w:tcPr>
          <w:p>
            <w:pPr>
              <w:pStyle w:val="9"/>
              <w:spacing w:before="65"/>
              <w:ind w:left="204" w:right="194"/>
              <w:rPr>
                <w:sz w:val="18"/>
              </w:rPr>
            </w:pPr>
            <w:r>
              <w:rPr>
                <w:sz w:val="18"/>
              </w:rPr>
              <w:t>其他</w:t>
            </w:r>
          </w:p>
        </w:tc>
        <w:tc>
          <w:tcPr>
            <w:tcW w:w="1692" w:type="dxa"/>
          </w:tcPr>
          <w:p>
            <w:pPr>
              <w:pStyle w:val="9"/>
              <w:spacing w:before="77"/>
              <w:ind w:left="511" w:right="502"/>
              <w:rPr>
                <w:rFonts w:ascii="Times New Roman"/>
                <w:sz w:val="18"/>
              </w:rPr>
            </w:pPr>
            <w:r>
              <w:rPr>
                <w:rFonts w:ascii="Times New Roman"/>
                <w:sz w:val="18"/>
              </w:rPr>
              <w:t>0.3</w:t>
            </w:r>
          </w:p>
        </w:tc>
        <w:tc>
          <w:tcPr>
            <w:tcW w:w="1644" w:type="dxa"/>
          </w:tcPr>
          <w:p>
            <w:pPr>
              <w:pStyle w:val="9"/>
              <w:spacing w:before="77"/>
              <w:ind w:left="286" w:right="276"/>
              <w:rPr>
                <w:rFonts w:ascii="Times New Roman"/>
                <w:sz w:val="18"/>
              </w:rPr>
            </w:pPr>
            <w:r>
              <w:rPr>
                <w:rFonts w:ascii="Times New Roman"/>
                <w:sz w:val="18"/>
              </w:rPr>
              <w:t>0.3</w:t>
            </w:r>
          </w:p>
        </w:tc>
        <w:tc>
          <w:tcPr>
            <w:tcW w:w="1899" w:type="dxa"/>
          </w:tcPr>
          <w:p>
            <w:pPr>
              <w:pStyle w:val="9"/>
              <w:spacing w:before="77"/>
              <w:ind w:left="430" w:right="419"/>
              <w:rPr>
                <w:rFonts w:ascii="Times New Roman"/>
                <w:sz w:val="18"/>
              </w:rPr>
            </w:pPr>
            <w:r>
              <w:rPr>
                <w:rFonts w:ascii="Times New Roman"/>
                <w:sz w:val="18"/>
              </w:rPr>
              <w:t>0.3</w:t>
            </w:r>
          </w:p>
        </w:tc>
        <w:tc>
          <w:tcPr>
            <w:tcW w:w="1952" w:type="dxa"/>
          </w:tcPr>
          <w:p>
            <w:pPr>
              <w:pStyle w:val="9"/>
              <w:spacing w:before="77"/>
              <w:ind w:left="682" w:right="672"/>
              <w:rPr>
                <w:rFonts w:ascii="Times New Roman"/>
                <w:sz w:val="18"/>
              </w:rPr>
            </w:pPr>
            <w:r>
              <w:rPr>
                <w:rFonts w:ascii="Times New Roman"/>
                <w:sz w:val="18"/>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70" w:type="dxa"/>
            <w:vMerge w:val="restart"/>
          </w:tcPr>
          <w:p>
            <w:pPr>
              <w:pStyle w:val="9"/>
              <w:spacing w:before="4"/>
              <w:jc w:val="left"/>
              <w:rPr>
                <w:rFonts w:ascii="Times New Roman"/>
                <w:sz w:val="18"/>
              </w:rPr>
            </w:pPr>
          </w:p>
          <w:p>
            <w:pPr>
              <w:pStyle w:val="9"/>
              <w:spacing w:before="0"/>
              <w:ind w:left="7"/>
              <w:rPr>
                <w:rFonts w:ascii="Times New Roman"/>
                <w:sz w:val="18"/>
              </w:rPr>
            </w:pPr>
            <w:r>
              <w:rPr>
                <w:rFonts w:ascii="Times New Roman"/>
                <w:sz w:val="18"/>
              </w:rPr>
              <w:t>2</w:t>
            </w:r>
          </w:p>
        </w:tc>
        <w:tc>
          <w:tcPr>
            <w:tcW w:w="806" w:type="dxa"/>
            <w:vMerge w:val="restart"/>
          </w:tcPr>
          <w:p>
            <w:pPr>
              <w:pStyle w:val="9"/>
              <w:spacing w:before="6"/>
              <w:jc w:val="left"/>
              <w:rPr>
                <w:rFonts w:ascii="Times New Roman"/>
                <w:sz w:val="17"/>
              </w:rPr>
            </w:pPr>
          </w:p>
          <w:p>
            <w:pPr>
              <w:pStyle w:val="9"/>
              <w:spacing w:before="0"/>
              <w:ind w:left="9"/>
              <w:rPr>
                <w:sz w:val="18"/>
              </w:rPr>
            </w:pPr>
            <w:r>
              <w:rPr>
                <w:sz w:val="18"/>
              </w:rPr>
              <w:t>汞</w:t>
            </w:r>
          </w:p>
        </w:tc>
        <w:tc>
          <w:tcPr>
            <w:tcW w:w="808" w:type="dxa"/>
          </w:tcPr>
          <w:p>
            <w:pPr>
              <w:pStyle w:val="9"/>
              <w:spacing w:before="41"/>
              <w:ind w:left="204" w:right="194"/>
              <w:rPr>
                <w:sz w:val="18"/>
              </w:rPr>
            </w:pPr>
            <w:r>
              <w:rPr>
                <w:sz w:val="18"/>
              </w:rPr>
              <w:t>水田</w:t>
            </w:r>
          </w:p>
        </w:tc>
        <w:tc>
          <w:tcPr>
            <w:tcW w:w="1692" w:type="dxa"/>
          </w:tcPr>
          <w:p>
            <w:pPr>
              <w:pStyle w:val="9"/>
              <w:spacing w:before="50"/>
              <w:ind w:left="511" w:right="502"/>
              <w:rPr>
                <w:rFonts w:ascii="Times New Roman"/>
                <w:sz w:val="18"/>
              </w:rPr>
            </w:pPr>
            <w:r>
              <w:rPr>
                <w:rFonts w:ascii="Times New Roman"/>
                <w:sz w:val="18"/>
              </w:rPr>
              <w:t>0.5</w:t>
            </w:r>
          </w:p>
        </w:tc>
        <w:tc>
          <w:tcPr>
            <w:tcW w:w="1644" w:type="dxa"/>
          </w:tcPr>
          <w:p>
            <w:pPr>
              <w:pStyle w:val="9"/>
              <w:spacing w:before="50"/>
              <w:ind w:left="286" w:right="277"/>
              <w:rPr>
                <w:rFonts w:ascii="Times New Roman"/>
                <w:sz w:val="18"/>
              </w:rPr>
            </w:pPr>
            <w:r>
              <w:rPr>
                <w:rFonts w:ascii="Times New Roman"/>
                <w:sz w:val="18"/>
              </w:rPr>
              <w:t>0.5</w:t>
            </w:r>
          </w:p>
        </w:tc>
        <w:tc>
          <w:tcPr>
            <w:tcW w:w="1899" w:type="dxa"/>
          </w:tcPr>
          <w:p>
            <w:pPr>
              <w:pStyle w:val="9"/>
              <w:spacing w:before="50"/>
              <w:ind w:left="430" w:right="419"/>
              <w:rPr>
                <w:rFonts w:ascii="Times New Roman"/>
                <w:sz w:val="18"/>
              </w:rPr>
            </w:pPr>
            <w:r>
              <w:rPr>
                <w:rFonts w:ascii="Times New Roman"/>
                <w:sz w:val="18"/>
              </w:rPr>
              <w:t>0.6</w:t>
            </w:r>
          </w:p>
        </w:tc>
        <w:tc>
          <w:tcPr>
            <w:tcW w:w="1952" w:type="dxa"/>
          </w:tcPr>
          <w:p>
            <w:pPr>
              <w:pStyle w:val="9"/>
              <w:spacing w:before="50"/>
              <w:ind w:left="682" w:right="672"/>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70" w:type="dxa"/>
            <w:vMerge w:val="continue"/>
            <w:tcBorders>
              <w:top w:val="nil"/>
            </w:tcBorders>
          </w:tcPr>
          <w:p>
            <w:pPr>
              <w:rPr>
                <w:sz w:val="2"/>
                <w:szCs w:val="2"/>
              </w:rPr>
            </w:pPr>
          </w:p>
        </w:tc>
        <w:tc>
          <w:tcPr>
            <w:tcW w:w="806" w:type="dxa"/>
            <w:vMerge w:val="continue"/>
            <w:tcBorders>
              <w:top w:val="nil"/>
            </w:tcBorders>
          </w:tcPr>
          <w:p>
            <w:pPr>
              <w:rPr>
                <w:sz w:val="2"/>
                <w:szCs w:val="2"/>
              </w:rPr>
            </w:pPr>
          </w:p>
        </w:tc>
        <w:tc>
          <w:tcPr>
            <w:tcW w:w="808" w:type="dxa"/>
          </w:tcPr>
          <w:p>
            <w:pPr>
              <w:pStyle w:val="9"/>
              <w:spacing w:before="40"/>
              <w:ind w:left="204" w:right="194"/>
              <w:rPr>
                <w:sz w:val="18"/>
              </w:rPr>
            </w:pPr>
            <w:r>
              <w:rPr>
                <w:sz w:val="18"/>
              </w:rPr>
              <w:t>其他</w:t>
            </w:r>
          </w:p>
        </w:tc>
        <w:tc>
          <w:tcPr>
            <w:tcW w:w="1692" w:type="dxa"/>
          </w:tcPr>
          <w:p>
            <w:pPr>
              <w:pStyle w:val="9"/>
              <w:spacing w:before="50"/>
              <w:ind w:left="511" w:right="502"/>
              <w:rPr>
                <w:rFonts w:ascii="Times New Roman"/>
                <w:sz w:val="18"/>
              </w:rPr>
            </w:pPr>
            <w:r>
              <w:rPr>
                <w:rFonts w:ascii="Times New Roman"/>
                <w:sz w:val="18"/>
              </w:rPr>
              <w:t>1.3</w:t>
            </w:r>
          </w:p>
        </w:tc>
        <w:tc>
          <w:tcPr>
            <w:tcW w:w="1644" w:type="dxa"/>
          </w:tcPr>
          <w:p>
            <w:pPr>
              <w:pStyle w:val="9"/>
              <w:spacing w:before="50"/>
              <w:ind w:left="286" w:right="277"/>
              <w:rPr>
                <w:rFonts w:ascii="Times New Roman"/>
                <w:sz w:val="18"/>
              </w:rPr>
            </w:pPr>
            <w:r>
              <w:rPr>
                <w:rFonts w:ascii="Times New Roman"/>
                <w:sz w:val="18"/>
              </w:rPr>
              <w:t>1.8</w:t>
            </w:r>
          </w:p>
        </w:tc>
        <w:tc>
          <w:tcPr>
            <w:tcW w:w="1899" w:type="dxa"/>
          </w:tcPr>
          <w:p>
            <w:pPr>
              <w:pStyle w:val="9"/>
              <w:spacing w:before="50"/>
              <w:ind w:left="430" w:right="419"/>
              <w:rPr>
                <w:rFonts w:ascii="Times New Roman"/>
                <w:sz w:val="18"/>
              </w:rPr>
            </w:pPr>
            <w:r>
              <w:rPr>
                <w:rFonts w:ascii="Times New Roman"/>
                <w:sz w:val="18"/>
              </w:rPr>
              <w:t>2.4</w:t>
            </w:r>
          </w:p>
        </w:tc>
        <w:tc>
          <w:tcPr>
            <w:tcW w:w="1952" w:type="dxa"/>
          </w:tcPr>
          <w:p>
            <w:pPr>
              <w:pStyle w:val="9"/>
              <w:spacing w:before="50"/>
              <w:ind w:left="682" w:right="672"/>
              <w:rPr>
                <w:rFonts w:ascii="Times New Roman"/>
                <w:sz w:val="18"/>
              </w:rPr>
            </w:pPr>
            <w:r>
              <w:rPr>
                <w:rFonts w:ascii="Times New Roman"/>
                <w:sz w:val="18"/>
              </w:rPr>
              <w:t>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70" w:type="dxa"/>
            <w:vMerge w:val="restart"/>
          </w:tcPr>
          <w:p>
            <w:pPr>
              <w:pStyle w:val="9"/>
              <w:spacing w:before="5"/>
              <w:jc w:val="left"/>
              <w:rPr>
                <w:rFonts w:ascii="Times New Roman"/>
                <w:sz w:val="18"/>
              </w:rPr>
            </w:pPr>
          </w:p>
          <w:p>
            <w:pPr>
              <w:pStyle w:val="9"/>
              <w:spacing w:before="1"/>
              <w:ind w:left="7"/>
              <w:rPr>
                <w:rFonts w:ascii="Times New Roman"/>
                <w:sz w:val="18"/>
              </w:rPr>
            </w:pPr>
            <w:r>
              <w:rPr>
                <w:rFonts w:ascii="Times New Roman"/>
                <w:sz w:val="18"/>
              </w:rPr>
              <w:t>3</w:t>
            </w:r>
          </w:p>
        </w:tc>
        <w:tc>
          <w:tcPr>
            <w:tcW w:w="806" w:type="dxa"/>
            <w:vMerge w:val="restart"/>
          </w:tcPr>
          <w:p>
            <w:pPr>
              <w:pStyle w:val="9"/>
              <w:spacing w:before="5"/>
              <w:jc w:val="left"/>
              <w:rPr>
                <w:rFonts w:ascii="Times New Roman"/>
                <w:sz w:val="17"/>
              </w:rPr>
            </w:pPr>
          </w:p>
          <w:p>
            <w:pPr>
              <w:pStyle w:val="9"/>
              <w:spacing w:before="0"/>
              <w:ind w:left="9"/>
              <w:rPr>
                <w:sz w:val="18"/>
              </w:rPr>
            </w:pPr>
            <w:r>
              <w:rPr>
                <w:sz w:val="18"/>
              </w:rPr>
              <w:t>砷</w:t>
            </w:r>
          </w:p>
        </w:tc>
        <w:tc>
          <w:tcPr>
            <w:tcW w:w="808" w:type="dxa"/>
          </w:tcPr>
          <w:p>
            <w:pPr>
              <w:pStyle w:val="9"/>
              <w:spacing w:before="40"/>
              <w:ind w:left="204" w:right="194"/>
              <w:rPr>
                <w:sz w:val="18"/>
              </w:rPr>
            </w:pPr>
            <w:r>
              <w:rPr>
                <w:sz w:val="18"/>
              </w:rPr>
              <w:t>水田</w:t>
            </w:r>
          </w:p>
        </w:tc>
        <w:tc>
          <w:tcPr>
            <w:tcW w:w="1692" w:type="dxa"/>
          </w:tcPr>
          <w:p>
            <w:pPr>
              <w:pStyle w:val="9"/>
              <w:spacing w:before="52"/>
              <w:ind w:left="511" w:right="502"/>
              <w:rPr>
                <w:rFonts w:ascii="Times New Roman"/>
                <w:sz w:val="18"/>
              </w:rPr>
            </w:pPr>
            <w:r>
              <w:rPr>
                <w:rFonts w:ascii="Times New Roman"/>
                <w:sz w:val="18"/>
              </w:rPr>
              <w:t>30</w:t>
            </w:r>
          </w:p>
        </w:tc>
        <w:tc>
          <w:tcPr>
            <w:tcW w:w="1644" w:type="dxa"/>
          </w:tcPr>
          <w:p>
            <w:pPr>
              <w:pStyle w:val="9"/>
              <w:spacing w:before="52"/>
              <w:ind w:left="286" w:right="277"/>
              <w:rPr>
                <w:rFonts w:ascii="Times New Roman"/>
                <w:sz w:val="18"/>
              </w:rPr>
            </w:pPr>
            <w:r>
              <w:rPr>
                <w:rFonts w:ascii="Times New Roman"/>
                <w:sz w:val="18"/>
              </w:rPr>
              <w:t>30</w:t>
            </w:r>
          </w:p>
        </w:tc>
        <w:tc>
          <w:tcPr>
            <w:tcW w:w="1899" w:type="dxa"/>
          </w:tcPr>
          <w:p>
            <w:pPr>
              <w:pStyle w:val="9"/>
              <w:spacing w:before="52"/>
              <w:ind w:left="430" w:right="421"/>
              <w:rPr>
                <w:rFonts w:ascii="Times New Roman"/>
                <w:sz w:val="18"/>
              </w:rPr>
            </w:pPr>
            <w:r>
              <w:rPr>
                <w:rFonts w:ascii="Times New Roman"/>
                <w:sz w:val="18"/>
              </w:rPr>
              <w:t>25</w:t>
            </w:r>
          </w:p>
        </w:tc>
        <w:tc>
          <w:tcPr>
            <w:tcW w:w="1952" w:type="dxa"/>
          </w:tcPr>
          <w:p>
            <w:pPr>
              <w:pStyle w:val="9"/>
              <w:spacing w:before="52"/>
              <w:ind w:left="682" w:right="672"/>
              <w:rPr>
                <w:rFonts w:ascii="Times New Roman"/>
                <w:sz w:val="18"/>
              </w:rPr>
            </w:pPr>
            <w:r>
              <w:rPr>
                <w:rFonts w:ascii="Times New Roman"/>
                <w:sz w:val="1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70" w:type="dxa"/>
            <w:vMerge w:val="continue"/>
            <w:tcBorders>
              <w:top w:val="nil"/>
            </w:tcBorders>
          </w:tcPr>
          <w:p>
            <w:pPr>
              <w:rPr>
                <w:sz w:val="2"/>
                <w:szCs w:val="2"/>
              </w:rPr>
            </w:pPr>
          </w:p>
        </w:tc>
        <w:tc>
          <w:tcPr>
            <w:tcW w:w="806" w:type="dxa"/>
            <w:vMerge w:val="continue"/>
            <w:tcBorders>
              <w:top w:val="nil"/>
            </w:tcBorders>
          </w:tcPr>
          <w:p>
            <w:pPr>
              <w:rPr>
                <w:sz w:val="2"/>
                <w:szCs w:val="2"/>
              </w:rPr>
            </w:pPr>
          </w:p>
        </w:tc>
        <w:tc>
          <w:tcPr>
            <w:tcW w:w="808" w:type="dxa"/>
          </w:tcPr>
          <w:p>
            <w:pPr>
              <w:pStyle w:val="9"/>
              <w:spacing w:before="40"/>
              <w:ind w:left="204" w:right="194"/>
              <w:rPr>
                <w:sz w:val="18"/>
              </w:rPr>
            </w:pPr>
            <w:r>
              <w:rPr>
                <w:sz w:val="18"/>
              </w:rPr>
              <w:t>其他</w:t>
            </w:r>
          </w:p>
        </w:tc>
        <w:tc>
          <w:tcPr>
            <w:tcW w:w="1692" w:type="dxa"/>
          </w:tcPr>
          <w:p>
            <w:pPr>
              <w:pStyle w:val="9"/>
              <w:ind w:left="511" w:right="502"/>
              <w:rPr>
                <w:rFonts w:ascii="Times New Roman"/>
                <w:sz w:val="18"/>
              </w:rPr>
            </w:pPr>
            <w:r>
              <w:rPr>
                <w:rFonts w:ascii="Times New Roman"/>
                <w:sz w:val="18"/>
              </w:rPr>
              <w:t>40</w:t>
            </w:r>
          </w:p>
        </w:tc>
        <w:tc>
          <w:tcPr>
            <w:tcW w:w="1644" w:type="dxa"/>
          </w:tcPr>
          <w:p>
            <w:pPr>
              <w:pStyle w:val="9"/>
              <w:ind w:left="286" w:right="276"/>
              <w:rPr>
                <w:rFonts w:ascii="Times New Roman"/>
                <w:sz w:val="18"/>
              </w:rPr>
            </w:pPr>
            <w:r>
              <w:rPr>
                <w:rFonts w:ascii="Times New Roman"/>
                <w:sz w:val="18"/>
              </w:rPr>
              <w:t>40</w:t>
            </w:r>
          </w:p>
        </w:tc>
        <w:tc>
          <w:tcPr>
            <w:tcW w:w="1899" w:type="dxa"/>
          </w:tcPr>
          <w:p>
            <w:pPr>
              <w:pStyle w:val="9"/>
              <w:ind w:left="430" w:right="421"/>
              <w:rPr>
                <w:rFonts w:ascii="Times New Roman"/>
                <w:sz w:val="18"/>
              </w:rPr>
            </w:pPr>
            <w:r>
              <w:rPr>
                <w:rFonts w:ascii="Times New Roman"/>
                <w:sz w:val="18"/>
              </w:rPr>
              <w:t>30</w:t>
            </w:r>
          </w:p>
        </w:tc>
        <w:tc>
          <w:tcPr>
            <w:tcW w:w="1952" w:type="dxa"/>
          </w:tcPr>
          <w:p>
            <w:pPr>
              <w:pStyle w:val="9"/>
              <w:ind w:left="682" w:right="670"/>
              <w:rPr>
                <w:rFonts w:ascii="Times New Roman"/>
                <w:sz w:val="18"/>
              </w:rPr>
            </w:pPr>
            <w:r>
              <w:rPr>
                <w:rFonts w:ascii="Times New Roman"/>
                <w:sz w:val="1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70" w:type="dxa"/>
            <w:vMerge w:val="restart"/>
          </w:tcPr>
          <w:p>
            <w:pPr>
              <w:pStyle w:val="9"/>
              <w:spacing w:before="5"/>
              <w:jc w:val="left"/>
              <w:rPr>
                <w:rFonts w:ascii="Times New Roman"/>
                <w:sz w:val="18"/>
              </w:rPr>
            </w:pPr>
          </w:p>
          <w:p>
            <w:pPr>
              <w:pStyle w:val="9"/>
              <w:spacing w:before="0"/>
              <w:ind w:left="7"/>
              <w:rPr>
                <w:rFonts w:ascii="Times New Roman"/>
                <w:sz w:val="18"/>
              </w:rPr>
            </w:pPr>
            <w:r>
              <w:rPr>
                <w:rFonts w:ascii="Times New Roman"/>
                <w:sz w:val="18"/>
              </w:rPr>
              <w:t>4</w:t>
            </w:r>
          </w:p>
        </w:tc>
        <w:tc>
          <w:tcPr>
            <w:tcW w:w="806" w:type="dxa"/>
            <w:vMerge w:val="restart"/>
          </w:tcPr>
          <w:p>
            <w:pPr>
              <w:pStyle w:val="9"/>
              <w:spacing w:before="4"/>
              <w:jc w:val="left"/>
              <w:rPr>
                <w:rFonts w:ascii="Times New Roman"/>
                <w:sz w:val="17"/>
              </w:rPr>
            </w:pPr>
          </w:p>
          <w:p>
            <w:pPr>
              <w:pStyle w:val="9"/>
              <w:spacing w:before="0"/>
              <w:ind w:left="9"/>
              <w:rPr>
                <w:sz w:val="18"/>
              </w:rPr>
            </w:pPr>
            <w:r>
              <w:rPr>
                <w:sz w:val="18"/>
              </w:rPr>
              <w:t>铅</w:t>
            </w:r>
          </w:p>
        </w:tc>
        <w:tc>
          <w:tcPr>
            <w:tcW w:w="808" w:type="dxa"/>
          </w:tcPr>
          <w:p>
            <w:pPr>
              <w:pStyle w:val="9"/>
              <w:spacing w:before="39"/>
              <w:ind w:left="204" w:right="194"/>
              <w:rPr>
                <w:sz w:val="18"/>
              </w:rPr>
            </w:pPr>
            <w:r>
              <w:rPr>
                <w:sz w:val="18"/>
              </w:rPr>
              <w:t>水田</w:t>
            </w:r>
          </w:p>
        </w:tc>
        <w:tc>
          <w:tcPr>
            <w:tcW w:w="1692" w:type="dxa"/>
          </w:tcPr>
          <w:p>
            <w:pPr>
              <w:pStyle w:val="9"/>
              <w:ind w:left="512" w:right="502"/>
              <w:rPr>
                <w:rFonts w:ascii="Times New Roman"/>
                <w:sz w:val="18"/>
              </w:rPr>
            </w:pPr>
            <w:r>
              <w:rPr>
                <w:rFonts w:ascii="Times New Roman"/>
                <w:sz w:val="18"/>
              </w:rPr>
              <w:t>80</w:t>
            </w:r>
          </w:p>
        </w:tc>
        <w:tc>
          <w:tcPr>
            <w:tcW w:w="1644" w:type="dxa"/>
          </w:tcPr>
          <w:p>
            <w:pPr>
              <w:pStyle w:val="9"/>
              <w:ind w:left="286" w:right="277"/>
              <w:rPr>
                <w:rFonts w:ascii="Times New Roman"/>
                <w:sz w:val="18"/>
              </w:rPr>
            </w:pPr>
            <w:r>
              <w:rPr>
                <w:rFonts w:ascii="Times New Roman"/>
                <w:sz w:val="18"/>
              </w:rPr>
              <w:t>100</w:t>
            </w:r>
          </w:p>
        </w:tc>
        <w:tc>
          <w:tcPr>
            <w:tcW w:w="1899" w:type="dxa"/>
          </w:tcPr>
          <w:p>
            <w:pPr>
              <w:pStyle w:val="9"/>
              <w:ind w:left="430" w:right="421"/>
              <w:rPr>
                <w:rFonts w:ascii="Times New Roman"/>
                <w:sz w:val="18"/>
              </w:rPr>
            </w:pPr>
            <w:r>
              <w:rPr>
                <w:rFonts w:ascii="Times New Roman"/>
                <w:sz w:val="18"/>
              </w:rPr>
              <w:t>140</w:t>
            </w:r>
          </w:p>
        </w:tc>
        <w:tc>
          <w:tcPr>
            <w:tcW w:w="1952" w:type="dxa"/>
          </w:tcPr>
          <w:p>
            <w:pPr>
              <w:pStyle w:val="9"/>
              <w:ind w:left="682" w:right="672"/>
              <w:rPr>
                <w:rFonts w:ascii="Times New Roman"/>
                <w:sz w:val="18"/>
              </w:rPr>
            </w:pPr>
            <w:r>
              <w:rPr>
                <w:rFonts w:ascii="Times New Roman"/>
                <w:sz w:val="18"/>
              </w:rPr>
              <w:t>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70" w:type="dxa"/>
            <w:vMerge w:val="continue"/>
            <w:tcBorders>
              <w:top w:val="nil"/>
            </w:tcBorders>
          </w:tcPr>
          <w:p>
            <w:pPr>
              <w:rPr>
                <w:sz w:val="2"/>
                <w:szCs w:val="2"/>
              </w:rPr>
            </w:pPr>
          </w:p>
        </w:tc>
        <w:tc>
          <w:tcPr>
            <w:tcW w:w="806" w:type="dxa"/>
            <w:vMerge w:val="continue"/>
            <w:tcBorders>
              <w:top w:val="nil"/>
            </w:tcBorders>
          </w:tcPr>
          <w:p>
            <w:pPr>
              <w:rPr>
                <w:sz w:val="2"/>
                <w:szCs w:val="2"/>
              </w:rPr>
            </w:pPr>
          </w:p>
        </w:tc>
        <w:tc>
          <w:tcPr>
            <w:tcW w:w="808" w:type="dxa"/>
          </w:tcPr>
          <w:p>
            <w:pPr>
              <w:pStyle w:val="9"/>
              <w:spacing w:before="39"/>
              <w:ind w:left="204" w:right="194"/>
              <w:rPr>
                <w:sz w:val="18"/>
              </w:rPr>
            </w:pPr>
            <w:r>
              <w:rPr>
                <w:sz w:val="18"/>
              </w:rPr>
              <w:t>其他</w:t>
            </w:r>
          </w:p>
        </w:tc>
        <w:tc>
          <w:tcPr>
            <w:tcW w:w="1692" w:type="dxa"/>
          </w:tcPr>
          <w:p>
            <w:pPr>
              <w:pStyle w:val="9"/>
              <w:ind w:left="511" w:right="502"/>
              <w:rPr>
                <w:rFonts w:ascii="Times New Roman"/>
                <w:sz w:val="18"/>
              </w:rPr>
            </w:pPr>
            <w:r>
              <w:rPr>
                <w:rFonts w:ascii="Times New Roman"/>
                <w:sz w:val="18"/>
              </w:rPr>
              <w:t>70</w:t>
            </w:r>
          </w:p>
        </w:tc>
        <w:tc>
          <w:tcPr>
            <w:tcW w:w="1644" w:type="dxa"/>
          </w:tcPr>
          <w:p>
            <w:pPr>
              <w:pStyle w:val="9"/>
              <w:ind w:left="286" w:right="277"/>
              <w:rPr>
                <w:rFonts w:ascii="Times New Roman"/>
                <w:sz w:val="18"/>
              </w:rPr>
            </w:pPr>
            <w:r>
              <w:rPr>
                <w:rFonts w:ascii="Times New Roman"/>
                <w:sz w:val="18"/>
              </w:rPr>
              <w:t>90</w:t>
            </w:r>
          </w:p>
        </w:tc>
        <w:tc>
          <w:tcPr>
            <w:tcW w:w="1899" w:type="dxa"/>
          </w:tcPr>
          <w:p>
            <w:pPr>
              <w:pStyle w:val="9"/>
              <w:ind w:left="427" w:right="421"/>
              <w:rPr>
                <w:rFonts w:ascii="Times New Roman"/>
                <w:sz w:val="18"/>
              </w:rPr>
            </w:pPr>
            <w:r>
              <w:rPr>
                <w:rFonts w:ascii="Times New Roman"/>
                <w:sz w:val="18"/>
              </w:rPr>
              <w:t>120</w:t>
            </w:r>
          </w:p>
        </w:tc>
        <w:tc>
          <w:tcPr>
            <w:tcW w:w="1952" w:type="dxa"/>
          </w:tcPr>
          <w:p>
            <w:pPr>
              <w:pStyle w:val="9"/>
              <w:ind w:left="682" w:right="672"/>
              <w:rPr>
                <w:rFonts w:ascii="Times New Roman"/>
                <w:sz w:val="18"/>
              </w:rPr>
            </w:pPr>
            <w:r>
              <w:rPr>
                <w:rFonts w:ascii="Times New Roman"/>
                <w:sz w:val="18"/>
              </w:rPr>
              <w:t>170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70" w:type="dxa"/>
            <w:vMerge w:val="restart"/>
          </w:tcPr>
          <w:p>
            <w:pPr>
              <w:pStyle w:val="9"/>
              <w:spacing w:before="4"/>
              <w:jc w:val="left"/>
              <w:rPr>
                <w:rFonts w:ascii="Times New Roman"/>
                <w:sz w:val="18"/>
              </w:rPr>
            </w:pPr>
          </w:p>
          <w:p>
            <w:pPr>
              <w:pStyle w:val="9"/>
              <w:spacing w:before="0"/>
              <w:ind w:left="7"/>
              <w:rPr>
                <w:rFonts w:ascii="Times New Roman"/>
                <w:sz w:val="18"/>
              </w:rPr>
            </w:pPr>
            <w:r>
              <w:rPr>
                <w:rFonts w:ascii="Times New Roman"/>
                <w:sz w:val="18"/>
              </w:rPr>
              <w:t>5</w:t>
            </w:r>
          </w:p>
        </w:tc>
        <w:tc>
          <w:tcPr>
            <w:tcW w:w="806" w:type="dxa"/>
            <w:vMerge w:val="restart"/>
          </w:tcPr>
          <w:p>
            <w:pPr>
              <w:pStyle w:val="9"/>
              <w:spacing w:before="6"/>
              <w:jc w:val="left"/>
              <w:rPr>
                <w:rFonts w:ascii="Times New Roman"/>
                <w:sz w:val="17"/>
              </w:rPr>
            </w:pPr>
          </w:p>
          <w:p>
            <w:pPr>
              <w:pStyle w:val="9"/>
              <w:spacing w:before="0"/>
              <w:ind w:left="9"/>
              <w:rPr>
                <w:sz w:val="18"/>
              </w:rPr>
            </w:pPr>
            <w:r>
              <w:rPr>
                <w:sz w:val="18"/>
              </w:rPr>
              <w:t>铬</w:t>
            </w:r>
          </w:p>
        </w:tc>
        <w:tc>
          <w:tcPr>
            <w:tcW w:w="808" w:type="dxa"/>
          </w:tcPr>
          <w:p>
            <w:pPr>
              <w:pStyle w:val="9"/>
              <w:spacing w:before="41"/>
              <w:ind w:left="204" w:right="194"/>
              <w:rPr>
                <w:sz w:val="18"/>
              </w:rPr>
            </w:pPr>
            <w:r>
              <w:rPr>
                <w:sz w:val="18"/>
              </w:rPr>
              <w:t>水田</w:t>
            </w:r>
          </w:p>
        </w:tc>
        <w:tc>
          <w:tcPr>
            <w:tcW w:w="1692" w:type="dxa"/>
          </w:tcPr>
          <w:p>
            <w:pPr>
              <w:pStyle w:val="9"/>
              <w:spacing w:before="50"/>
              <w:ind w:left="509" w:right="502"/>
              <w:rPr>
                <w:rFonts w:ascii="Times New Roman"/>
                <w:sz w:val="18"/>
              </w:rPr>
            </w:pPr>
            <w:r>
              <w:rPr>
                <w:rFonts w:ascii="Times New Roman"/>
                <w:sz w:val="18"/>
              </w:rPr>
              <w:t>250</w:t>
            </w:r>
          </w:p>
        </w:tc>
        <w:tc>
          <w:tcPr>
            <w:tcW w:w="1644" w:type="dxa"/>
          </w:tcPr>
          <w:p>
            <w:pPr>
              <w:pStyle w:val="9"/>
              <w:spacing w:before="50"/>
              <w:ind w:left="284" w:right="277"/>
              <w:rPr>
                <w:rFonts w:ascii="Times New Roman"/>
                <w:sz w:val="18"/>
              </w:rPr>
            </w:pPr>
            <w:r>
              <w:rPr>
                <w:rFonts w:ascii="Times New Roman"/>
                <w:sz w:val="18"/>
              </w:rPr>
              <w:t>250</w:t>
            </w:r>
          </w:p>
        </w:tc>
        <w:tc>
          <w:tcPr>
            <w:tcW w:w="1899" w:type="dxa"/>
          </w:tcPr>
          <w:p>
            <w:pPr>
              <w:pStyle w:val="9"/>
              <w:spacing w:before="50"/>
              <w:ind w:left="427" w:right="421"/>
              <w:rPr>
                <w:rFonts w:ascii="Times New Roman"/>
                <w:sz w:val="18"/>
              </w:rPr>
            </w:pPr>
            <w:r>
              <w:rPr>
                <w:rFonts w:ascii="Times New Roman"/>
                <w:sz w:val="18"/>
              </w:rPr>
              <w:t>300</w:t>
            </w:r>
          </w:p>
        </w:tc>
        <w:tc>
          <w:tcPr>
            <w:tcW w:w="1952" w:type="dxa"/>
          </w:tcPr>
          <w:p>
            <w:pPr>
              <w:pStyle w:val="9"/>
              <w:spacing w:before="50"/>
              <w:ind w:left="682" w:right="672"/>
              <w:rPr>
                <w:rFonts w:ascii="Times New Roman"/>
                <w:sz w:val="18"/>
              </w:rPr>
            </w:pPr>
            <w:r>
              <w:rPr>
                <w:rFonts w:ascii="Times New Roman"/>
                <w:sz w:val="18"/>
              </w:rPr>
              <w:t>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70" w:type="dxa"/>
            <w:vMerge w:val="continue"/>
            <w:tcBorders>
              <w:top w:val="nil"/>
            </w:tcBorders>
          </w:tcPr>
          <w:p>
            <w:pPr>
              <w:rPr>
                <w:sz w:val="2"/>
                <w:szCs w:val="2"/>
              </w:rPr>
            </w:pPr>
          </w:p>
        </w:tc>
        <w:tc>
          <w:tcPr>
            <w:tcW w:w="806" w:type="dxa"/>
            <w:vMerge w:val="continue"/>
            <w:tcBorders>
              <w:top w:val="nil"/>
            </w:tcBorders>
          </w:tcPr>
          <w:p>
            <w:pPr>
              <w:rPr>
                <w:sz w:val="2"/>
                <w:szCs w:val="2"/>
              </w:rPr>
            </w:pPr>
          </w:p>
        </w:tc>
        <w:tc>
          <w:tcPr>
            <w:tcW w:w="808" w:type="dxa"/>
          </w:tcPr>
          <w:p>
            <w:pPr>
              <w:pStyle w:val="9"/>
              <w:spacing w:before="40"/>
              <w:ind w:left="204" w:right="194"/>
              <w:rPr>
                <w:sz w:val="18"/>
              </w:rPr>
            </w:pPr>
            <w:r>
              <w:rPr>
                <w:sz w:val="18"/>
              </w:rPr>
              <w:t>其他</w:t>
            </w:r>
          </w:p>
        </w:tc>
        <w:tc>
          <w:tcPr>
            <w:tcW w:w="1692" w:type="dxa"/>
          </w:tcPr>
          <w:p>
            <w:pPr>
              <w:pStyle w:val="9"/>
              <w:spacing w:before="50"/>
              <w:ind w:left="509" w:right="502"/>
              <w:rPr>
                <w:rFonts w:ascii="Times New Roman"/>
                <w:sz w:val="18"/>
              </w:rPr>
            </w:pPr>
            <w:r>
              <w:rPr>
                <w:rFonts w:ascii="Times New Roman"/>
                <w:sz w:val="18"/>
              </w:rPr>
              <w:t>150</w:t>
            </w:r>
          </w:p>
        </w:tc>
        <w:tc>
          <w:tcPr>
            <w:tcW w:w="1644" w:type="dxa"/>
          </w:tcPr>
          <w:p>
            <w:pPr>
              <w:pStyle w:val="9"/>
              <w:spacing w:before="50"/>
              <w:ind w:left="284" w:right="277"/>
              <w:rPr>
                <w:rFonts w:ascii="Times New Roman"/>
                <w:sz w:val="18"/>
              </w:rPr>
            </w:pPr>
            <w:r>
              <w:rPr>
                <w:rFonts w:ascii="Times New Roman"/>
                <w:sz w:val="18"/>
              </w:rPr>
              <w:t>150</w:t>
            </w:r>
          </w:p>
        </w:tc>
        <w:tc>
          <w:tcPr>
            <w:tcW w:w="1899" w:type="dxa"/>
          </w:tcPr>
          <w:p>
            <w:pPr>
              <w:pStyle w:val="9"/>
              <w:spacing w:before="50"/>
              <w:ind w:left="427" w:right="421"/>
              <w:rPr>
                <w:rFonts w:ascii="Times New Roman"/>
                <w:sz w:val="18"/>
              </w:rPr>
            </w:pPr>
            <w:r>
              <w:rPr>
                <w:rFonts w:ascii="Times New Roman"/>
                <w:sz w:val="18"/>
              </w:rPr>
              <w:t>200</w:t>
            </w:r>
          </w:p>
        </w:tc>
        <w:tc>
          <w:tcPr>
            <w:tcW w:w="1952" w:type="dxa"/>
          </w:tcPr>
          <w:p>
            <w:pPr>
              <w:pStyle w:val="9"/>
              <w:spacing w:before="50"/>
              <w:ind w:left="682" w:right="672"/>
              <w:rPr>
                <w:rFonts w:ascii="Times New Roman"/>
                <w:sz w:val="18"/>
              </w:rPr>
            </w:pPr>
            <w:r>
              <w:rPr>
                <w:rFonts w:ascii="Times New Roman"/>
                <w:sz w:val="18"/>
              </w:rPr>
              <w:t>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70" w:type="dxa"/>
            <w:vMerge w:val="restart"/>
          </w:tcPr>
          <w:p>
            <w:pPr>
              <w:pStyle w:val="9"/>
              <w:spacing w:before="5"/>
              <w:jc w:val="left"/>
              <w:rPr>
                <w:rFonts w:ascii="Times New Roman"/>
                <w:sz w:val="18"/>
              </w:rPr>
            </w:pPr>
          </w:p>
          <w:p>
            <w:pPr>
              <w:pStyle w:val="9"/>
              <w:spacing w:before="1"/>
              <w:ind w:left="7"/>
              <w:rPr>
                <w:rFonts w:ascii="Times New Roman"/>
                <w:sz w:val="18"/>
              </w:rPr>
            </w:pPr>
            <w:r>
              <w:rPr>
                <w:rFonts w:ascii="Times New Roman"/>
                <w:sz w:val="18"/>
              </w:rPr>
              <w:t>6</w:t>
            </w:r>
          </w:p>
        </w:tc>
        <w:tc>
          <w:tcPr>
            <w:tcW w:w="806" w:type="dxa"/>
            <w:vMerge w:val="restart"/>
          </w:tcPr>
          <w:p>
            <w:pPr>
              <w:pStyle w:val="9"/>
              <w:spacing w:before="5"/>
              <w:jc w:val="left"/>
              <w:rPr>
                <w:rFonts w:ascii="Times New Roman"/>
                <w:sz w:val="17"/>
              </w:rPr>
            </w:pPr>
          </w:p>
          <w:p>
            <w:pPr>
              <w:pStyle w:val="9"/>
              <w:spacing w:before="0"/>
              <w:ind w:left="9"/>
              <w:rPr>
                <w:sz w:val="18"/>
              </w:rPr>
            </w:pPr>
            <w:r>
              <w:rPr>
                <w:sz w:val="18"/>
              </w:rPr>
              <w:t>铜</w:t>
            </w:r>
          </w:p>
        </w:tc>
        <w:tc>
          <w:tcPr>
            <w:tcW w:w="808" w:type="dxa"/>
          </w:tcPr>
          <w:p>
            <w:pPr>
              <w:pStyle w:val="9"/>
              <w:spacing w:before="40"/>
              <w:ind w:left="204" w:right="194"/>
              <w:rPr>
                <w:sz w:val="18"/>
              </w:rPr>
            </w:pPr>
            <w:r>
              <w:rPr>
                <w:sz w:val="18"/>
              </w:rPr>
              <w:t>果园</w:t>
            </w:r>
          </w:p>
        </w:tc>
        <w:tc>
          <w:tcPr>
            <w:tcW w:w="1692" w:type="dxa"/>
          </w:tcPr>
          <w:p>
            <w:pPr>
              <w:pStyle w:val="9"/>
              <w:spacing w:before="52"/>
              <w:ind w:left="509" w:right="502"/>
              <w:rPr>
                <w:rFonts w:ascii="Times New Roman"/>
                <w:sz w:val="18"/>
              </w:rPr>
            </w:pPr>
            <w:r>
              <w:rPr>
                <w:rFonts w:ascii="Times New Roman"/>
                <w:sz w:val="18"/>
              </w:rPr>
              <w:t>150</w:t>
            </w:r>
          </w:p>
        </w:tc>
        <w:tc>
          <w:tcPr>
            <w:tcW w:w="1644" w:type="dxa"/>
          </w:tcPr>
          <w:p>
            <w:pPr>
              <w:pStyle w:val="9"/>
              <w:spacing w:before="52"/>
              <w:ind w:left="284" w:right="277"/>
              <w:rPr>
                <w:rFonts w:ascii="Times New Roman"/>
                <w:sz w:val="18"/>
              </w:rPr>
            </w:pPr>
            <w:r>
              <w:rPr>
                <w:rFonts w:ascii="Times New Roman"/>
                <w:sz w:val="18"/>
              </w:rPr>
              <w:t>150</w:t>
            </w:r>
          </w:p>
        </w:tc>
        <w:tc>
          <w:tcPr>
            <w:tcW w:w="1899" w:type="dxa"/>
          </w:tcPr>
          <w:p>
            <w:pPr>
              <w:pStyle w:val="9"/>
              <w:spacing w:before="52"/>
              <w:ind w:left="427" w:right="421"/>
              <w:rPr>
                <w:rFonts w:ascii="Times New Roman"/>
                <w:sz w:val="18"/>
              </w:rPr>
            </w:pPr>
            <w:r>
              <w:rPr>
                <w:rFonts w:ascii="Times New Roman"/>
                <w:sz w:val="18"/>
              </w:rPr>
              <w:t>200</w:t>
            </w:r>
          </w:p>
        </w:tc>
        <w:tc>
          <w:tcPr>
            <w:tcW w:w="1952" w:type="dxa"/>
          </w:tcPr>
          <w:p>
            <w:pPr>
              <w:pStyle w:val="9"/>
              <w:spacing w:before="52"/>
              <w:ind w:left="682" w:right="672"/>
              <w:rPr>
                <w:rFonts w:ascii="Times New Roman"/>
                <w:sz w:val="18"/>
              </w:rPr>
            </w:pPr>
            <w:r>
              <w:rPr>
                <w:rFonts w:ascii="Times New Roman"/>
                <w:sz w:val="18"/>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70" w:type="dxa"/>
            <w:vMerge w:val="continue"/>
            <w:tcBorders>
              <w:top w:val="nil"/>
            </w:tcBorders>
          </w:tcPr>
          <w:p>
            <w:pPr>
              <w:rPr>
                <w:sz w:val="2"/>
                <w:szCs w:val="2"/>
              </w:rPr>
            </w:pPr>
          </w:p>
        </w:tc>
        <w:tc>
          <w:tcPr>
            <w:tcW w:w="806" w:type="dxa"/>
            <w:vMerge w:val="continue"/>
            <w:tcBorders>
              <w:top w:val="nil"/>
            </w:tcBorders>
          </w:tcPr>
          <w:p>
            <w:pPr>
              <w:rPr>
                <w:sz w:val="2"/>
                <w:szCs w:val="2"/>
              </w:rPr>
            </w:pPr>
          </w:p>
        </w:tc>
        <w:tc>
          <w:tcPr>
            <w:tcW w:w="808" w:type="dxa"/>
          </w:tcPr>
          <w:p>
            <w:pPr>
              <w:pStyle w:val="9"/>
              <w:spacing w:before="39"/>
              <w:ind w:left="204" w:right="194"/>
              <w:rPr>
                <w:sz w:val="18"/>
              </w:rPr>
            </w:pPr>
            <w:r>
              <w:rPr>
                <w:sz w:val="18"/>
              </w:rPr>
              <w:t>其他</w:t>
            </w:r>
          </w:p>
        </w:tc>
        <w:tc>
          <w:tcPr>
            <w:tcW w:w="1692" w:type="dxa"/>
          </w:tcPr>
          <w:p>
            <w:pPr>
              <w:pStyle w:val="9"/>
              <w:ind w:left="511" w:right="502"/>
              <w:rPr>
                <w:rFonts w:ascii="Times New Roman"/>
                <w:sz w:val="18"/>
              </w:rPr>
            </w:pPr>
            <w:r>
              <w:rPr>
                <w:rFonts w:ascii="Times New Roman"/>
                <w:sz w:val="18"/>
              </w:rPr>
              <w:t>50</w:t>
            </w:r>
          </w:p>
        </w:tc>
        <w:tc>
          <w:tcPr>
            <w:tcW w:w="1644" w:type="dxa"/>
          </w:tcPr>
          <w:p>
            <w:pPr>
              <w:pStyle w:val="9"/>
              <w:ind w:left="286" w:right="277"/>
              <w:rPr>
                <w:rFonts w:ascii="Times New Roman"/>
                <w:sz w:val="18"/>
              </w:rPr>
            </w:pPr>
            <w:r>
              <w:rPr>
                <w:rFonts w:ascii="Times New Roman"/>
                <w:sz w:val="18"/>
              </w:rPr>
              <w:t>50</w:t>
            </w:r>
          </w:p>
        </w:tc>
        <w:tc>
          <w:tcPr>
            <w:tcW w:w="1899" w:type="dxa"/>
          </w:tcPr>
          <w:p>
            <w:pPr>
              <w:pStyle w:val="9"/>
              <w:ind w:left="427" w:right="421"/>
              <w:rPr>
                <w:rFonts w:ascii="Times New Roman"/>
                <w:sz w:val="18"/>
              </w:rPr>
            </w:pPr>
            <w:r>
              <w:rPr>
                <w:rFonts w:ascii="Times New Roman"/>
                <w:sz w:val="18"/>
              </w:rPr>
              <w:t>100</w:t>
            </w:r>
          </w:p>
        </w:tc>
        <w:tc>
          <w:tcPr>
            <w:tcW w:w="1952" w:type="dxa"/>
          </w:tcPr>
          <w:p>
            <w:pPr>
              <w:pStyle w:val="9"/>
              <w:ind w:left="682" w:right="672"/>
              <w:rPr>
                <w:rFonts w:ascii="Times New Roman"/>
                <w:sz w:val="18"/>
              </w:rPr>
            </w:pPr>
            <w:r>
              <w:rPr>
                <w:rFonts w:ascii="Times New Roman"/>
                <w:sz w:val="1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70" w:type="dxa"/>
          </w:tcPr>
          <w:p>
            <w:pPr>
              <w:pStyle w:val="9"/>
              <w:ind w:right="329"/>
              <w:jc w:val="right"/>
              <w:rPr>
                <w:rFonts w:ascii="Times New Roman"/>
                <w:sz w:val="18"/>
              </w:rPr>
            </w:pPr>
            <w:r>
              <w:rPr>
                <w:rFonts w:ascii="Times New Roman"/>
                <w:sz w:val="18"/>
              </w:rPr>
              <w:t>7</w:t>
            </w:r>
          </w:p>
        </w:tc>
        <w:tc>
          <w:tcPr>
            <w:tcW w:w="1614" w:type="dxa"/>
            <w:gridSpan w:val="2"/>
          </w:tcPr>
          <w:p>
            <w:pPr>
              <w:pStyle w:val="9"/>
              <w:spacing w:before="39"/>
              <w:ind w:left="7"/>
              <w:rPr>
                <w:sz w:val="18"/>
              </w:rPr>
            </w:pPr>
            <w:r>
              <w:rPr>
                <w:sz w:val="18"/>
              </w:rPr>
              <w:t>镍</w:t>
            </w:r>
          </w:p>
        </w:tc>
        <w:tc>
          <w:tcPr>
            <w:tcW w:w="1692" w:type="dxa"/>
          </w:tcPr>
          <w:p>
            <w:pPr>
              <w:pStyle w:val="9"/>
              <w:ind w:left="511" w:right="502"/>
              <w:rPr>
                <w:rFonts w:ascii="Times New Roman"/>
                <w:sz w:val="18"/>
              </w:rPr>
            </w:pPr>
            <w:r>
              <w:rPr>
                <w:rFonts w:ascii="Times New Roman"/>
                <w:sz w:val="18"/>
              </w:rPr>
              <w:t>60</w:t>
            </w:r>
          </w:p>
        </w:tc>
        <w:tc>
          <w:tcPr>
            <w:tcW w:w="1644" w:type="dxa"/>
          </w:tcPr>
          <w:p>
            <w:pPr>
              <w:pStyle w:val="9"/>
              <w:ind w:left="286" w:right="277"/>
              <w:rPr>
                <w:rFonts w:ascii="Times New Roman"/>
                <w:sz w:val="18"/>
              </w:rPr>
            </w:pPr>
            <w:r>
              <w:rPr>
                <w:rFonts w:ascii="Times New Roman"/>
                <w:sz w:val="18"/>
              </w:rPr>
              <w:t>70</w:t>
            </w:r>
          </w:p>
        </w:tc>
        <w:tc>
          <w:tcPr>
            <w:tcW w:w="1899" w:type="dxa"/>
          </w:tcPr>
          <w:p>
            <w:pPr>
              <w:pStyle w:val="9"/>
              <w:ind w:left="427" w:right="421"/>
              <w:rPr>
                <w:rFonts w:ascii="Times New Roman"/>
                <w:sz w:val="18"/>
              </w:rPr>
            </w:pPr>
            <w:r>
              <w:rPr>
                <w:rFonts w:ascii="Times New Roman"/>
                <w:sz w:val="18"/>
              </w:rPr>
              <w:t>100</w:t>
            </w:r>
          </w:p>
        </w:tc>
        <w:tc>
          <w:tcPr>
            <w:tcW w:w="1952" w:type="dxa"/>
          </w:tcPr>
          <w:p>
            <w:pPr>
              <w:pStyle w:val="9"/>
              <w:ind w:left="682" w:right="672"/>
              <w:rPr>
                <w:rFonts w:ascii="Times New Roman"/>
                <w:sz w:val="18"/>
              </w:rPr>
            </w:pPr>
            <w:r>
              <w:rPr>
                <w:rFonts w:ascii="Times New Roman"/>
                <w:sz w:val="18"/>
              </w:rPr>
              <w:t>190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70" w:type="dxa"/>
          </w:tcPr>
          <w:p>
            <w:pPr>
              <w:pStyle w:val="9"/>
              <w:ind w:right="329"/>
              <w:jc w:val="right"/>
              <w:rPr>
                <w:rFonts w:ascii="Times New Roman"/>
                <w:sz w:val="18"/>
              </w:rPr>
            </w:pPr>
            <w:r>
              <w:rPr>
                <w:rFonts w:ascii="Times New Roman"/>
                <w:sz w:val="18"/>
              </w:rPr>
              <w:t>8</w:t>
            </w:r>
          </w:p>
        </w:tc>
        <w:tc>
          <w:tcPr>
            <w:tcW w:w="1614" w:type="dxa"/>
            <w:gridSpan w:val="2"/>
          </w:tcPr>
          <w:p>
            <w:pPr>
              <w:pStyle w:val="9"/>
              <w:spacing w:before="39"/>
              <w:ind w:left="7"/>
              <w:rPr>
                <w:sz w:val="18"/>
              </w:rPr>
            </w:pPr>
            <w:r>
              <w:rPr>
                <w:sz w:val="18"/>
              </w:rPr>
              <w:t>锌</w:t>
            </w:r>
          </w:p>
        </w:tc>
        <w:tc>
          <w:tcPr>
            <w:tcW w:w="1692" w:type="dxa"/>
          </w:tcPr>
          <w:p>
            <w:pPr>
              <w:pStyle w:val="9"/>
              <w:ind w:left="509" w:right="502"/>
              <w:rPr>
                <w:rFonts w:ascii="Times New Roman"/>
                <w:sz w:val="18"/>
              </w:rPr>
            </w:pPr>
            <w:r>
              <w:rPr>
                <w:rFonts w:ascii="Times New Roman"/>
                <w:sz w:val="18"/>
              </w:rPr>
              <w:t>200</w:t>
            </w:r>
          </w:p>
        </w:tc>
        <w:tc>
          <w:tcPr>
            <w:tcW w:w="1644" w:type="dxa"/>
          </w:tcPr>
          <w:p>
            <w:pPr>
              <w:pStyle w:val="9"/>
              <w:ind w:left="284" w:right="277"/>
              <w:rPr>
                <w:rFonts w:ascii="Times New Roman"/>
                <w:sz w:val="18"/>
              </w:rPr>
            </w:pPr>
            <w:r>
              <w:rPr>
                <w:rFonts w:ascii="Times New Roman"/>
                <w:sz w:val="18"/>
              </w:rPr>
              <w:t>200</w:t>
            </w:r>
          </w:p>
        </w:tc>
        <w:tc>
          <w:tcPr>
            <w:tcW w:w="1899" w:type="dxa"/>
          </w:tcPr>
          <w:p>
            <w:pPr>
              <w:pStyle w:val="9"/>
              <w:ind w:left="427" w:right="421"/>
              <w:rPr>
                <w:rFonts w:ascii="Times New Roman"/>
                <w:sz w:val="18"/>
              </w:rPr>
            </w:pPr>
            <w:r>
              <w:rPr>
                <w:rFonts w:ascii="Times New Roman"/>
                <w:sz w:val="18"/>
              </w:rPr>
              <w:t>250</w:t>
            </w:r>
          </w:p>
        </w:tc>
        <w:tc>
          <w:tcPr>
            <w:tcW w:w="1952" w:type="dxa"/>
          </w:tcPr>
          <w:p>
            <w:pPr>
              <w:pStyle w:val="9"/>
              <w:ind w:left="682" w:right="672"/>
              <w:rPr>
                <w:rFonts w:ascii="Times New Roman"/>
                <w:sz w:val="18"/>
              </w:rPr>
            </w:pPr>
            <w:r>
              <w:rPr>
                <w:rFonts w:ascii="Times New Roman"/>
                <w:sz w:val="18"/>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571" w:type="dxa"/>
            <w:gridSpan w:val="7"/>
          </w:tcPr>
          <w:p>
            <w:pPr>
              <w:pStyle w:val="9"/>
              <w:spacing w:before="12"/>
              <w:ind w:left="108"/>
              <w:jc w:val="left"/>
              <w:rPr>
                <w:sz w:val="18"/>
              </w:rPr>
            </w:pPr>
            <w:bookmarkStart w:id="41" w:name="注：①重金属和类金属砷均按元素总量计。"/>
            <w:bookmarkEnd w:id="41"/>
            <w:r>
              <w:rPr>
                <w:sz w:val="18"/>
              </w:rPr>
              <w:t>注：①重金属和类金属砷均按元素总量计。</w:t>
            </w:r>
          </w:p>
          <w:p>
            <w:pPr>
              <w:pStyle w:val="9"/>
              <w:spacing w:before="9" w:line="208" w:lineRule="exact"/>
              <w:ind w:left="468"/>
              <w:jc w:val="left"/>
              <w:rPr>
                <w:sz w:val="18"/>
              </w:rPr>
            </w:pPr>
            <w:bookmarkStart w:id="42" w:name="②对于水旱轮作地，采用其中较严格的风险筛选值。"/>
            <w:bookmarkEnd w:id="42"/>
            <w:r>
              <w:rPr>
                <w:sz w:val="18"/>
              </w:rPr>
              <w:t>②对于水旱轮作地，采用其中较严格的风险筛选值。</w:t>
            </w:r>
          </w:p>
        </w:tc>
      </w:tr>
    </w:tbl>
    <w:p>
      <w:pPr>
        <w:pStyle w:val="4"/>
        <w:spacing w:before="2"/>
        <w:rPr>
          <w:rFonts w:ascii="Times New Roman"/>
          <w:sz w:val="23"/>
        </w:rPr>
      </w:pPr>
    </w:p>
    <w:p>
      <w:pPr>
        <w:pStyle w:val="8"/>
        <w:numPr>
          <w:ilvl w:val="1"/>
          <w:numId w:val="2"/>
        </w:numPr>
        <w:tabs>
          <w:tab w:val="left" w:pos="586"/>
        </w:tabs>
        <w:spacing w:before="70" w:after="0" w:line="240" w:lineRule="auto"/>
        <w:ind w:left="585" w:right="0" w:hanging="368"/>
        <w:jc w:val="left"/>
        <w:rPr>
          <w:rFonts w:hint="eastAsia" w:ascii="黑体" w:eastAsia="黑体"/>
          <w:sz w:val="21"/>
        </w:rPr>
      </w:pPr>
      <w:bookmarkStart w:id="43" w:name="4.2其他项目"/>
      <w:bookmarkEnd w:id="43"/>
      <w:bookmarkStart w:id="44" w:name="4.2其他项目"/>
      <w:bookmarkEnd w:id="44"/>
      <w:r>
        <w:rPr>
          <w:rFonts w:hint="eastAsia" w:ascii="黑体" w:eastAsia="黑体"/>
          <w:sz w:val="21"/>
        </w:rPr>
        <w:t>其他项目</w:t>
      </w:r>
    </w:p>
    <w:p>
      <w:pPr>
        <w:spacing w:after="0" w:line="240" w:lineRule="auto"/>
        <w:jc w:val="left"/>
        <w:rPr>
          <w:rFonts w:hint="eastAsia" w:ascii="黑体" w:eastAsia="黑体"/>
          <w:sz w:val="21"/>
        </w:rPr>
        <w:sectPr>
          <w:type w:val="continuous"/>
          <w:pgSz w:w="11910" w:h="16840"/>
          <w:pgMar w:top="1020" w:right="740" w:bottom="280" w:left="1200" w:header="720" w:footer="720" w:gutter="0"/>
        </w:sectPr>
      </w:pPr>
    </w:p>
    <w:p>
      <w:pPr>
        <w:pStyle w:val="8"/>
        <w:numPr>
          <w:ilvl w:val="2"/>
          <w:numId w:val="2"/>
        </w:numPr>
        <w:tabs>
          <w:tab w:val="left" w:pos="1112"/>
        </w:tabs>
        <w:spacing w:before="140" w:after="0" w:line="278" w:lineRule="auto"/>
        <w:ind w:left="218" w:right="388" w:firstLine="420"/>
        <w:jc w:val="left"/>
        <w:rPr>
          <w:sz w:val="21"/>
        </w:rPr>
      </w:pPr>
      <w:r>
        <w:rPr>
          <w:sz w:val="21"/>
        </w:rPr>
        <w:t>农用地土壤污染风险筛选值的其他项目为选测项目，包括六六六、滴滴涕和苯并</w:t>
      </w:r>
      <w:r>
        <w:rPr>
          <w:rFonts w:ascii="Times New Roman" w:eastAsia="Times New Roman"/>
          <w:sz w:val="21"/>
        </w:rPr>
        <w:t>[a]</w:t>
      </w:r>
      <w:r>
        <w:rPr>
          <w:sz w:val="21"/>
        </w:rPr>
        <w:t>芘，风险</w:t>
      </w:r>
      <w:r>
        <w:rPr>
          <w:spacing w:val="-9"/>
          <w:sz w:val="21"/>
        </w:rPr>
        <w:t xml:space="preserve">筛选值见表 </w:t>
      </w:r>
      <w:r>
        <w:rPr>
          <w:rFonts w:ascii="Times New Roman" w:eastAsia="Times New Roman"/>
          <w:sz w:val="21"/>
        </w:rPr>
        <w:t>2</w:t>
      </w:r>
      <w:r>
        <w:rPr>
          <w:sz w:val="21"/>
        </w:rPr>
        <w:t>。</w:t>
      </w:r>
    </w:p>
    <w:p>
      <w:pPr>
        <w:pStyle w:val="8"/>
        <w:numPr>
          <w:ilvl w:val="2"/>
          <w:numId w:val="2"/>
        </w:numPr>
        <w:tabs>
          <w:tab w:val="left" w:pos="1109"/>
        </w:tabs>
        <w:spacing w:before="0" w:after="0" w:line="269" w:lineRule="exact"/>
        <w:ind w:left="1108" w:right="0" w:hanging="471"/>
        <w:jc w:val="left"/>
        <w:rPr>
          <w:sz w:val="21"/>
        </w:rPr>
      </w:pPr>
      <w:r>
        <w:rPr>
          <w:sz w:val="21"/>
        </w:rPr>
        <w:t>其他项目由地方环境保护主管部门根据本地区土壤污染特点和环境管理需求进行选择。</w:t>
      </w:r>
    </w:p>
    <w:p>
      <w:pPr>
        <w:pStyle w:val="4"/>
        <w:spacing w:before="4"/>
        <w:rPr>
          <w:sz w:val="22"/>
        </w:rPr>
      </w:pPr>
    </w:p>
    <w:p>
      <w:pPr>
        <w:spacing w:after="0"/>
        <w:rPr>
          <w:sz w:val="22"/>
        </w:rPr>
        <w:sectPr>
          <w:pgSz w:w="11910" w:h="16840"/>
          <w:pgMar w:top="1640" w:right="740" w:bottom="1040" w:left="1200" w:header="1428" w:footer="850" w:gutter="0"/>
        </w:sectPr>
      </w:pPr>
    </w:p>
    <w:p>
      <w:pPr>
        <w:pStyle w:val="4"/>
        <w:spacing w:before="70"/>
        <w:ind w:left="2769"/>
        <w:rPr>
          <w:rFonts w:hint="eastAsia" w:ascii="黑体" w:eastAsia="黑体"/>
        </w:rPr>
      </w:pPr>
      <w:r>
        <w:rPr>
          <w:rFonts w:hint="eastAsia" w:ascii="黑体" w:eastAsia="黑体"/>
          <w:spacing w:val="-29"/>
        </w:rPr>
        <w:t xml:space="preserve">表 </w:t>
      </w:r>
      <w:r>
        <w:rPr>
          <w:rFonts w:hint="eastAsia" w:ascii="黑体" w:eastAsia="黑体"/>
        </w:rPr>
        <w:t>2</w:t>
      </w:r>
      <w:r>
        <w:rPr>
          <w:rFonts w:hint="eastAsia" w:ascii="黑体" w:eastAsia="黑体"/>
          <w:spacing w:val="-3"/>
        </w:rPr>
        <w:t xml:space="preserve"> 农用地土壤污染风险筛选值</w:t>
      </w:r>
      <w:r>
        <w:rPr>
          <w:rFonts w:hint="eastAsia" w:ascii="黑体" w:eastAsia="黑体"/>
        </w:rPr>
        <w:t>（其他项目）</w:t>
      </w:r>
    </w:p>
    <w:p>
      <w:pPr>
        <w:pStyle w:val="4"/>
        <w:spacing w:before="10"/>
        <w:rPr>
          <w:rFonts w:ascii="黑体"/>
          <w:sz w:val="29"/>
        </w:rPr>
      </w:pPr>
      <w:r>
        <w:br w:type="column"/>
      </w:r>
    </w:p>
    <w:p>
      <w:pPr>
        <w:pStyle w:val="4"/>
        <w:ind w:left="1349"/>
        <w:rPr>
          <w:rFonts w:ascii="Times New Roman" w:eastAsia="Times New Roman"/>
        </w:rPr>
      </w:pPr>
      <w:r>
        <w:rPr>
          <w:rFonts w:hint="eastAsia" w:ascii="黑体" w:eastAsia="黑体"/>
        </w:rPr>
        <w:t>单位：</w:t>
      </w:r>
      <w:r>
        <w:rPr>
          <w:rFonts w:ascii="Times New Roman" w:eastAsia="Times New Roman"/>
        </w:rPr>
        <w:t>mg/kg</w:t>
      </w:r>
    </w:p>
    <w:p>
      <w:pPr>
        <w:spacing w:after="0"/>
        <w:rPr>
          <w:rFonts w:ascii="Times New Roman" w:eastAsia="Times New Roman"/>
        </w:rPr>
        <w:sectPr>
          <w:type w:val="continuous"/>
          <w:pgSz w:w="11910" w:h="16840"/>
          <w:pgMar w:top="1020" w:right="740" w:bottom="280" w:left="1200" w:header="720" w:footer="720" w:gutter="0"/>
          <w:cols w:equalWidth="0" w:num="2">
            <w:col w:w="7018" w:space="40"/>
            <w:col w:w="2912"/>
          </w:cols>
        </w:sectPr>
      </w:pPr>
    </w:p>
    <w:tbl>
      <w:tblPr>
        <w:tblStyle w:val="5"/>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7"/>
        <w:gridCol w:w="2014"/>
        <w:gridCol w:w="6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947" w:type="dxa"/>
          </w:tcPr>
          <w:p>
            <w:pPr>
              <w:pStyle w:val="9"/>
              <w:spacing w:before="9"/>
              <w:jc w:val="left"/>
              <w:rPr>
                <w:rFonts w:ascii="Times New Roman"/>
                <w:sz w:val="18"/>
              </w:rPr>
            </w:pPr>
          </w:p>
          <w:p>
            <w:pPr>
              <w:pStyle w:val="9"/>
              <w:spacing w:before="0"/>
              <w:ind w:left="272" w:right="264"/>
              <w:rPr>
                <w:sz w:val="18"/>
              </w:rPr>
            </w:pPr>
            <w:r>
              <w:rPr>
                <w:sz w:val="18"/>
              </w:rPr>
              <w:t>序号</w:t>
            </w:r>
          </w:p>
        </w:tc>
        <w:tc>
          <w:tcPr>
            <w:tcW w:w="2014" w:type="dxa"/>
          </w:tcPr>
          <w:p>
            <w:pPr>
              <w:pStyle w:val="9"/>
              <w:spacing w:before="1"/>
              <w:jc w:val="left"/>
              <w:rPr>
                <w:rFonts w:ascii="Times New Roman"/>
                <w:sz w:val="22"/>
              </w:rPr>
            </w:pPr>
          </w:p>
          <w:p>
            <w:pPr>
              <w:pStyle w:val="9"/>
              <w:spacing w:before="0"/>
              <w:ind w:left="489" w:right="482"/>
              <w:rPr>
                <w:sz w:val="18"/>
              </w:rPr>
            </w:pPr>
            <w:r>
              <w:rPr>
                <w:sz w:val="18"/>
              </w:rPr>
              <w:t>污染物项目</w:t>
            </w:r>
          </w:p>
        </w:tc>
        <w:tc>
          <w:tcPr>
            <w:tcW w:w="6610" w:type="dxa"/>
          </w:tcPr>
          <w:p>
            <w:pPr>
              <w:pStyle w:val="9"/>
              <w:spacing w:before="1"/>
              <w:jc w:val="left"/>
              <w:rPr>
                <w:rFonts w:ascii="Times New Roman"/>
                <w:sz w:val="22"/>
              </w:rPr>
            </w:pPr>
          </w:p>
          <w:p>
            <w:pPr>
              <w:pStyle w:val="9"/>
              <w:spacing w:before="0"/>
              <w:ind w:left="2834" w:right="2826"/>
              <w:rPr>
                <w:sz w:val="18"/>
              </w:rPr>
            </w:pPr>
            <w:r>
              <w:rPr>
                <w:sz w:val="18"/>
              </w:rPr>
              <w:t>风险筛选值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47" w:type="dxa"/>
          </w:tcPr>
          <w:p>
            <w:pPr>
              <w:pStyle w:val="9"/>
              <w:spacing w:before="53"/>
              <w:ind w:left="7"/>
              <w:rPr>
                <w:rFonts w:ascii="Times New Roman"/>
                <w:sz w:val="18"/>
              </w:rPr>
            </w:pPr>
            <w:r>
              <w:rPr>
                <w:rFonts w:ascii="Times New Roman"/>
                <w:sz w:val="18"/>
              </w:rPr>
              <w:t>1</w:t>
            </w:r>
          </w:p>
        </w:tc>
        <w:tc>
          <w:tcPr>
            <w:tcW w:w="2014" w:type="dxa"/>
          </w:tcPr>
          <w:p>
            <w:pPr>
              <w:pStyle w:val="9"/>
              <w:spacing w:before="41"/>
              <w:ind w:left="491" w:right="482"/>
              <w:rPr>
                <w:sz w:val="9"/>
              </w:rPr>
            </w:pPr>
            <w:r>
              <w:rPr>
                <w:sz w:val="18"/>
              </w:rPr>
              <w:t>六六六总量</w:t>
            </w:r>
            <w:r>
              <w:rPr>
                <w:position w:val="9"/>
                <w:sz w:val="9"/>
              </w:rPr>
              <w:t>①</w:t>
            </w:r>
          </w:p>
        </w:tc>
        <w:tc>
          <w:tcPr>
            <w:tcW w:w="6610" w:type="dxa"/>
          </w:tcPr>
          <w:p>
            <w:pPr>
              <w:pStyle w:val="9"/>
              <w:spacing w:before="53"/>
              <w:ind w:left="2834" w:right="2825"/>
              <w:rPr>
                <w:rFonts w:ascii="Times New Roman"/>
                <w:sz w:val="18"/>
              </w:rPr>
            </w:pPr>
            <w:r>
              <w:rPr>
                <w:rFonts w:ascii="Times New Roman"/>
                <w:sz w:val="18"/>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47" w:type="dxa"/>
          </w:tcPr>
          <w:p>
            <w:pPr>
              <w:pStyle w:val="9"/>
              <w:spacing w:before="52"/>
              <w:ind w:left="7"/>
              <w:rPr>
                <w:rFonts w:ascii="Times New Roman"/>
                <w:sz w:val="18"/>
              </w:rPr>
            </w:pPr>
            <w:r>
              <w:rPr>
                <w:rFonts w:ascii="Times New Roman"/>
                <w:sz w:val="18"/>
              </w:rPr>
              <w:t>2</w:t>
            </w:r>
          </w:p>
        </w:tc>
        <w:tc>
          <w:tcPr>
            <w:tcW w:w="2014" w:type="dxa"/>
          </w:tcPr>
          <w:p>
            <w:pPr>
              <w:pStyle w:val="9"/>
              <w:spacing w:before="40"/>
              <w:ind w:left="491" w:right="482"/>
              <w:rPr>
                <w:sz w:val="9"/>
              </w:rPr>
            </w:pPr>
            <w:r>
              <w:rPr>
                <w:sz w:val="18"/>
              </w:rPr>
              <w:t>滴滴涕总量</w:t>
            </w:r>
            <w:r>
              <w:rPr>
                <w:position w:val="9"/>
                <w:sz w:val="9"/>
              </w:rPr>
              <w:t>②</w:t>
            </w:r>
          </w:p>
        </w:tc>
        <w:tc>
          <w:tcPr>
            <w:tcW w:w="6610" w:type="dxa"/>
          </w:tcPr>
          <w:p>
            <w:pPr>
              <w:pStyle w:val="9"/>
              <w:spacing w:before="52"/>
              <w:ind w:left="2834" w:right="2825"/>
              <w:rPr>
                <w:rFonts w:ascii="Times New Roman"/>
                <w:sz w:val="18"/>
              </w:rPr>
            </w:pPr>
            <w:r>
              <w:rPr>
                <w:rFonts w:ascii="Times New Roman"/>
                <w:sz w:val="18"/>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47" w:type="dxa"/>
          </w:tcPr>
          <w:p>
            <w:pPr>
              <w:pStyle w:val="9"/>
              <w:spacing w:before="52"/>
              <w:ind w:left="7"/>
              <w:rPr>
                <w:rFonts w:ascii="Times New Roman"/>
                <w:sz w:val="18"/>
              </w:rPr>
            </w:pPr>
            <w:r>
              <w:rPr>
                <w:rFonts w:ascii="Times New Roman"/>
                <w:sz w:val="18"/>
              </w:rPr>
              <w:t>3</w:t>
            </w:r>
          </w:p>
        </w:tc>
        <w:tc>
          <w:tcPr>
            <w:tcW w:w="2014" w:type="dxa"/>
          </w:tcPr>
          <w:p>
            <w:pPr>
              <w:pStyle w:val="9"/>
              <w:spacing w:before="40"/>
              <w:ind w:left="491" w:right="482"/>
              <w:rPr>
                <w:sz w:val="18"/>
              </w:rPr>
            </w:pPr>
            <w:r>
              <w:rPr>
                <w:sz w:val="18"/>
              </w:rPr>
              <w:t>苯并</w:t>
            </w:r>
            <w:r>
              <w:rPr>
                <w:rFonts w:ascii="Times New Roman" w:eastAsia="Times New Roman"/>
                <w:sz w:val="18"/>
              </w:rPr>
              <w:t>[a]</w:t>
            </w:r>
            <w:r>
              <w:rPr>
                <w:sz w:val="18"/>
              </w:rPr>
              <w:t>芘</w:t>
            </w:r>
          </w:p>
        </w:tc>
        <w:tc>
          <w:tcPr>
            <w:tcW w:w="6610" w:type="dxa"/>
          </w:tcPr>
          <w:p>
            <w:pPr>
              <w:pStyle w:val="9"/>
              <w:spacing w:before="52"/>
              <w:ind w:left="2834" w:right="2825"/>
              <w:rPr>
                <w:rFonts w:ascii="Times New Roman"/>
                <w:sz w:val="18"/>
              </w:rPr>
            </w:pPr>
            <w:r>
              <w:rPr>
                <w:rFonts w:ascii="Times New Roman"/>
                <w:sz w:val="18"/>
              </w:rPr>
              <w:t>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571" w:type="dxa"/>
            <w:gridSpan w:val="3"/>
          </w:tcPr>
          <w:p>
            <w:pPr>
              <w:pStyle w:val="9"/>
              <w:spacing w:before="13"/>
              <w:ind w:left="108"/>
              <w:jc w:val="left"/>
              <w:rPr>
                <w:sz w:val="18"/>
              </w:rPr>
            </w:pPr>
            <w:bookmarkStart w:id="45" w:name="注：①六六六总量为α-六六六、β-六六六、γ-六六六、δ-六六六四种异构体的含量"/>
            <w:bookmarkEnd w:id="45"/>
            <w:r>
              <w:rPr>
                <w:sz w:val="18"/>
              </w:rPr>
              <w:t>注：①六六六总量为</w:t>
            </w:r>
            <w:r>
              <w:rPr>
                <w:rFonts w:ascii="Times New Roman" w:hAnsi="Times New Roman" w:eastAsia="Times New Roman"/>
                <w:sz w:val="18"/>
              </w:rPr>
              <w:t>α-</w:t>
            </w:r>
            <w:r>
              <w:rPr>
                <w:sz w:val="18"/>
              </w:rPr>
              <w:t>六六六、</w:t>
            </w:r>
            <w:r>
              <w:rPr>
                <w:rFonts w:ascii="Times New Roman" w:hAnsi="Times New Roman" w:eastAsia="Times New Roman"/>
                <w:sz w:val="18"/>
              </w:rPr>
              <w:t>β-</w:t>
            </w:r>
            <w:r>
              <w:rPr>
                <w:sz w:val="18"/>
              </w:rPr>
              <w:t>六六六、</w:t>
            </w:r>
            <w:r>
              <w:rPr>
                <w:rFonts w:ascii="Times New Roman" w:hAnsi="Times New Roman" w:eastAsia="Times New Roman"/>
                <w:sz w:val="18"/>
              </w:rPr>
              <w:t>γ-</w:t>
            </w:r>
            <w:r>
              <w:rPr>
                <w:sz w:val="18"/>
              </w:rPr>
              <w:t>六六六、</w:t>
            </w:r>
            <w:r>
              <w:rPr>
                <w:rFonts w:ascii="Times New Roman" w:hAnsi="Times New Roman" w:eastAsia="Times New Roman"/>
                <w:sz w:val="18"/>
              </w:rPr>
              <w:t>δ-</w:t>
            </w:r>
            <w:r>
              <w:rPr>
                <w:sz w:val="18"/>
              </w:rPr>
              <w:t>六六六四种异构体的含量总和。</w:t>
            </w:r>
          </w:p>
          <w:p>
            <w:pPr>
              <w:pStyle w:val="9"/>
              <w:spacing w:before="9" w:line="207" w:lineRule="exact"/>
              <w:ind w:left="468"/>
              <w:jc w:val="left"/>
              <w:rPr>
                <w:sz w:val="18"/>
              </w:rPr>
            </w:pPr>
            <w:bookmarkStart w:id="46" w:name="②滴滴涕总量为p,p'-滴滴伊、p,p'-滴滴滴、o,p'-滴滴涕、p,p'-滴"/>
            <w:bookmarkEnd w:id="46"/>
            <w:r>
              <w:rPr>
                <w:sz w:val="18"/>
              </w:rPr>
              <w:t xml:space="preserve">②滴滴涕总量为 </w:t>
            </w:r>
            <w:r>
              <w:rPr>
                <w:rFonts w:ascii="Times New Roman" w:hAnsi="Times New Roman" w:eastAsia="Times New Roman"/>
                <w:sz w:val="18"/>
              </w:rPr>
              <w:t>p,p'-</w:t>
            </w:r>
            <w:r>
              <w:rPr>
                <w:sz w:val="18"/>
              </w:rPr>
              <w:t>滴滴伊、</w:t>
            </w:r>
            <w:r>
              <w:rPr>
                <w:rFonts w:ascii="Times New Roman" w:hAnsi="Times New Roman" w:eastAsia="Times New Roman"/>
                <w:sz w:val="18"/>
              </w:rPr>
              <w:t>p,p'-</w:t>
            </w:r>
            <w:r>
              <w:rPr>
                <w:sz w:val="18"/>
              </w:rPr>
              <w:t>滴滴滴、</w:t>
            </w:r>
            <w:r>
              <w:rPr>
                <w:rFonts w:ascii="Times New Roman" w:hAnsi="Times New Roman" w:eastAsia="Times New Roman"/>
                <w:sz w:val="18"/>
              </w:rPr>
              <w:t>o,p'-</w:t>
            </w:r>
            <w:r>
              <w:rPr>
                <w:sz w:val="18"/>
              </w:rPr>
              <w:t>滴滴涕、</w:t>
            </w:r>
            <w:r>
              <w:rPr>
                <w:rFonts w:ascii="Times New Roman" w:hAnsi="Times New Roman" w:eastAsia="Times New Roman"/>
                <w:sz w:val="18"/>
              </w:rPr>
              <w:t>p,p'-</w:t>
            </w:r>
            <w:r>
              <w:rPr>
                <w:sz w:val="18"/>
              </w:rPr>
              <w:t>滴滴涕四种衍生物的含量总和。</w:t>
            </w:r>
          </w:p>
        </w:tc>
      </w:tr>
    </w:tbl>
    <w:p>
      <w:pPr>
        <w:pStyle w:val="4"/>
        <w:spacing w:before="2"/>
        <w:rPr>
          <w:rFonts w:ascii="Times New Roman"/>
          <w:sz w:val="23"/>
        </w:rPr>
      </w:pPr>
    </w:p>
    <w:p>
      <w:pPr>
        <w:pStyle w:val="8"/>
        <w:numPr>
          <w:ilvl w:val="0"/>
          <w:numId w:val="2"/>
        </w:numPr>
        <w:tabs>
          <w:tab w:val="left" w:pos="428"/>
        </w:tabs>
        <w:spacing w:before="70" w:after="0" w:line="240" w:lineRule="auto"/>
        <w:ind w:left="427" w:right="0" w:hanging="210"/>
        <w:jc w:val="left"/>
        <w:rPr>
          <w:rFonts w:hint="eastAsia" w:ascii="黑体" w:eastAsia="黑体"/>
          <w:sz w:val="21"/>
        </w:rPr>
      </w:pPr>
      <w:bookmarkStart w:id="47" w:name="_bookmark5"/>
      <w:bookmarkEnd w:id="47"/>
      <w:bookmarkStart w:id="48" w:name="5 农用地土壤污染风险管制值"/>
      <w:bookmarkEnd w:id="48"/>
      <w:bookmarkStart w:id="49" w:name="_bookmark5"/>
      <w:bookmarkEnd w:id="49"/>
      <w:r>
        <w:rPr>
          <w:rFonts w:hint="eastAsia" w:ascii="黑体" w:eastAsia="黑体"/>
          <w:sz w:val="21"/>
        </w:rPr>
        <w:t>农用地土壤污染风险管制值</w:t>
      </w:r>
    </w:p>
    <w:p>
      <w:pPr>
        <w:pStyle w:val="4"/>
        <w:rPr>
          <w:rFonts w:ascii="黑体"/>
          <w:sz w:val="26"/>
        </w:rPr>
      </w:pPr>
    </w:p>
    <w:p>
      <w:pPr>
        <w:pStyle w:val="8"/>
        <w:numPr>
          <w:ilvl w:val="1"/>
          <w:numId w:val="2"/>
        </w:numPr>
        <w:tabs>
          <w:tab w:val="left" w:pos="953"/>
        </w:tabs>
        <w:spacing w:before="0" w:after="0" w:line="240" w:lineRule="auto"/>
        <w:ind w:left="952" w:right="0" w:hanging="315"/>
        <w:jc w:val="left"/>
        <w:rPr>
          <w:rFonts w:ascii="Times New Roman" w:eastAsia="Times New Roman"/>
          <w:sz w:val="21"/>
        </w:rPr>
      </w:pPr>
      <w:r>
        <w:rPr>
          <w:spacing w:val="-2"/>
          <w:sz w:val="21"/>
        </w:rPr>
        <w:t xml:space="preserve">农用地土壤污染风险管制值项目包括镉、汞、砷、铅、铬，风险管制值见表 </w:t>
      </w:r>
      <w:r>
        <w:rPr>
          <w:rFonts w:ascii="Times New Roman" w:eastAsia="Times New Roman"/>
          <w:sz w:val="21"/>
        </w:rPr>
        <w:t>3</w:t>
      </w:r>
      <w:r>
        <w:rPr>
          <w:sz w:val="21"/>
        </w:rPr>
        <w:t>。</w:t>
      </w:r>
    </w:p>
    <w:p>
      <w:pPr>
        <w:pStyle w:val="4"/>
        <w:spacing w:before="4"/>
        <w:rPr>
          <w:sz w:val="22"/>
        </w:rPr>
      </w:pPr>
    </w:p>
    <w:p>
      <w:pPr>
        <w:spacing w:after="0"/>
        <w:rPr>
          <w:sz w:val="22"/>
        </w:rPr>
        <w:sectPr>
          <w:type w:val="continuous"/>
          <w:pgSz w:w="11910" w:h="16840"/>
          <w:pgMar w:top="1020" w:right="740" w:bottom="280" w:left="1200" w:header="720" w:footer="720" w:gutter="0"/>
        </w:sectPr>
      </w:pPr>
    </w:p>
    <w:p>
      <w:pPr>
        <w:pStyle w:val="4"/>
        <w:spacing w:before="69"/>
        <w:ind w:left="3398"/>
        <w:rPr>
          <w:rFonts w:hint="eastAsia" w:ascii="黑体" w:eastAsia="黑体"/>
        </w:rPr>
      </w:pPr>
      <w:r>
        <w:rPr>
          <w:rFonts w:hint="eastAsia" w:ascii="黑体" w:eastAsia="黑体"/>
          <w:spacing w:val="-28"/>
        </w:rPr>
        <w:t xml:space="preserve">表 </w:t>
      </w:r>
      <w:r>
        <w:rPr>
          <w:rFonts w:hint="eastAsia" w:ascii="黑体" w:eastAsia="黑体"/>
        </w:rPr>
        <w:t>3</w:t>
      </w:r>
      <w:r>
        <w:rPr>
          <w:rFonts w:hint="eastAsia" w:ascii="黑体" w:eastAsia="黑体"/>
          <w:spacing w:val="-3"/>
        </w:rPr>
        <w:t xml:space="preserve"> 农用地土壤污染风险管制值</w:t>
      </w:r>
    </w:p>
    <w:p>
      <w:pPr>
        <w:pStyle w:val="4"/>
        <w:spacing w:before="10"/>
        <w:rPr>
          <w:rFonts w:ascii="黑体"/>
          <w:sz w:val="29"/>
        </w:rPr>
      </w:pPr>
      <w:r>
        <w:br w:type="column"/>
      </w:r>
    </w:p>
    <w:p>
      <w:pPr>
        <w:pStyle w:val="4"/>
        <w:ind w:left="1978"/>
        <w:rPr>
          <w:rFonts w:ascii="Times New Roman" w:eastAsia="Times New Roman"/>
        </w:rPr>
      </w:pPr>
      <w:r>
        <w:rPr>
          <w:rFonts w:hint="eastAsia" w:ascii="黑体" w:eastAsia="黑体"/>
        </w:rPr>
        <w:t>单位：</w:t>
      </w:r>
      <w:r>
        <w:rPr>
          <w:rFonts w:ascii="Times New Roman" w:eastAsia="Times New Roman"/>
        </w:rPr>
        <w:t>mg/kg</w:t>
      </w:r>
    </w:p>
    <w:p>
      <w:pPr>
        <w:spacing w:after="0"/>
        <w:rPr>
          <w:rFonts w:ascii="Times New Roman" w:eastAsia="Times New Roman"/>
        </w:rPr>
        <w:sectPr>
          <w:type w:val="continuous"/>
          <w:pgSz w:w="11910" w:h="16840"/>
          <w:pgMar w:top="1020" w:right="740" w:bottom="280" w:left="1200" w:header="720" w:footer="720" w:gutter="0"/>
          <w:cols w:equalWidth="0" w:num="2">
            <w:col w:w="6389" w:space="40"/>
            <w:col w:w="3541"/>
          </w:cols>
        </w:sectPr>
      </w:pPr>
    </w:p>
    <w:tbl>
      <w:tblPr>
        <w:tblStyle w:val="5"/>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558"/>
        <w:gridCol w:w="1834"/>
        <w:gridCol w:w="1834"/>
        <w:gridCol w:w="1834"/>
        <w:gridCol w:w="18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75" w:type="dxa"/>
            <w:vMerge w:val="restart"/>
          </w:tcPr>
          <w:p>
            <w:pPr>
              <w:pStyle w:val="9"/>
              <w:spacing w:before="8"/>
              <w:jc w:val="left"/>
              <w:rPr>
                <w:rFonts w:ascii="Times New Roman"/>
                <w:sz w:val="18"/>
              </w:rPr>
            </w:pPr>
          </w:p>
          <w:p>
            <w:pPr>
              <w:pStyle w:val="9"/>
              <w:spacing w:before="1"/>
              <w:ind w:left="156"/>
              <w:jc w:val="left"/>
              <w:rPr>
                <w:sz w:val="18"/>
              </w:rPr>
            </w:pPr>
            <w:r>
              <w:rPr>
                <w:sz w:val="18"/>
              </w:rPr>
              <w:t>序号</w:t>
            </w:r>
          </w:p>
        </w:tc>
        <w:tc>
          <w:tcPr>
            <w:tcW w:w="1558" w:type="dxa"/>
            <w:vMerge w:val="restart"/>
          </w:tcPr>
          <w:p>
            <w:pPr>
              <w:pStyle w:val="9"/>
              <w:spacing w:before="1"/>
              <w:jc w:val="left"/>
              <w:rPr>
                <w:rFonts w:ascii="Times New Roman"/>
                <w:sz w:val="22"/>
              </w:rPr>
            </w:pPr>
          </w:p>
          <w:p>
            <w:pPr>
              <w:pStyle w:val="9"/>
              <w:spacing w:before="0"/>
              <w:ind w:left="328"/>
              <w:jc w:val="left"/>
              <w:rPr>
                <w:sz w:val="18"/>
              </w:rPr>
            </w:pPr>
            <w:r>
              <w:rPr>
                <w:sz w:val="18"/>
              </w:rPr>
              <w:t>污染物项目</w:t>
            </w:r>
          </w:p>
        </w:tc>
        <w:tc>
          <w:tcPr>
            <w:tcW w:w="7338" w:type="dxa"/>
            <w:gridSpan w:val="4"/>
          </w:tcPr>
          <w:p>
            <w:pPr>
              <w:pStyle w:val="9"/>
              <w:spacing w:before="93" w:line="227" w:lineRule="exact"/>
              <w:ind w:left="3197" w:right="3190"/>
              <w:rPr>
                <w:sz w:val="18"/>
              </w:rPr>
            </w:pPr>
            <w:r>
              <w:rPr>
                <w:sz w:val="18"/>
              </w:rPr>
              <w:t>风险管制值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75" w:type="dxa"/>
            <w:vMerge w:val="continue"/>
            <w:tcBorders>
              <w:top w:val="nil"/>
            </w:tcBorders>
          </w:tcPr>
          <w:p>
            <w:pPr>
              <w:rPr>
                <w:sz w:val="2"/>
                <w:szCs w:val="2"/>
              </w:rPr>
            </w:pPr>
          </w:p>
        </w:tc>
        <w:tc>
          <w:tcPr>
            <w:tcW w:w="1558" w:type="dxa"/>
            <w:vMerge w:val="continue"/>
            <w:tcBorders>
              <w:top w:val="nil"/>
            </w:tcBorders>
          </w:tcPr>
          <w:p>
            <w:pPr>
              <w:rPr>
                <w:sz w:val="2"/>
                <w:szCs w:val="2"/>
              </w:rPr>
            </w:pPr>
          </w:p>
        </w:tc>
        <w:tc>
          <w:tcPr>
            <w:tcW w:w="1834" w:type="dxa"/>
          </w:tcPr>
          <w:p>
            <w:pPr>
              <w:pStyle w:val="9"/>
              <w:spacing w:before="41"/>
              <w:ind w:left="398" w:right="389"/>
              <w:rPr>
                <w:rFonts w:ascii="Times New Roman" w:hAnsi="Times New Roman"/>
                <w:sz w:val="18"/>
              </w:rPr>
            </w:pPr>
            <w:r>
              <w:rPr>
                <w:rFonts w:ascii="Times New Roman" w:hAnsi="Times New Roman"/>
                <w:sz w:val="18"/>
              </w:rPr>
              <w:t>pH</w:t>
            </w:r>
            <w:r>
              <w:rPr>
                <w:sz w:val="18"/>
              </w:rPr>
              <w:t>≤</w:t>
            </w:r>
            <w:r>
              <w:rPr>
                <w:rFonts w:ascii="Times New Roman" w:hAnsi="Times New Roman"/>
                <w:sz w:val="18"/>
              </w:rPr>
              <w:t>5.5</w:t>
            </w:r>
          </w:p>
        </w:tc>
        <w:tc>
          <w:tcPr>
            <w:tcW w:w="1834" w:type="dxa"/>
          </w:tcPr>
          <w:p>
            <w:pPr>
              <w:pStyle w:val="9"/>
              <w:spacing w:before="41"/>
              <w:ind w:left="398" w:right="385"/>
              <w:rPr>
                <w:rFonts w:ascii="Times New Roman" w:hAnsi="Times New Roman"/>
                <w:sz w:val="18"/>
              </w:rPr>
            </w:pPr>
            <w:r>
              <w:rPr>
                <w:rFonts w:ascii="Times New Roman" w:hAnsi="Times New Roman"/>
                <w:sz w:val="18"/>
              </w:rPr>
              <w:t>5.5&lt;pH</w:t>
            </w:r>
            <w:r>
              <w:rPr>
                <w:sz w:val="18"/>
              </w:rPr>
              <w:t>≤</w:t>
            </w:r>
            <w:r>
              <w:rPr>
                <w:rFonts w:ascii="Times New Roman" w:hAnsi="Times New Roman"/>
                <w:sz w:val="18"/>
              </w:rPr>
              <w:t>6.5</w:t>
            </w:r>
          </w:p>
        </w:tc>
        <w:tc>
          <w:tcPr>
            <w:tcW w:w="1834" w:type="dxa"/>
          </w:tcPr>
          <w:p>
            <w:pPr>
              <w:pStyle w:val="9"/>
              <w:spacing w:before="41"/>
              <w:ind w:left="398" w:right="389"/>
              <w:rPr>
                <w:rFonts w:ascii="Times New Roman" w:hAnsi="Times New Roman"/>
                <w:sz w:val="18"/>
              </w:rPr>
            </w:pPr>
            <w:r>
              <w:rPr>
                <w:rFonts w:ascii="Times New Roman" w:hAnsi="Times New Roman"/>
                <w:sz w:val="18"/>
              </w:rPr>
              <w:t>6.5&lt; pH</w:t>
            </w:r>
            <w:r>
              <w:rPr>
                <w:sz w:val="18"/>
              </w:rPr>
              <w:t>≤</w:t>
            </w:r>
            <w:r>
              <w:rPr>
                <w:rFonts w:ascii="Times New Roman" w:hAnsi="Times New Roman"/>
                <w:sz w:val="18"/>
              </w:rPr>
              <w:t>7.5</w:t>
            </w:r>
          </w:p>
        </w:tc>
        <w:tc>
          <w:tcPr>
            <w:tcW w:w="1836" w:type="dxa"/>
          </w:tcPr>
          <w:p>
            <w:pPr>
              <w:pStyle w:val="9"/>
              <w:spacing w:before="53"/>
              <w:ind w:left="624" w:right="615"/>
              <w:rPr>
                <w:rFonts w:ascii="Times New Roman"/>
                <w:sz w:val="18"/>
              </w:rPr>
            </w:pPr>
            <w:r>
              <w:rPr>
                <w:rFonts w:ascii="Times New Roman"/>
                <w:sz w:val="18"/>
              </w:rPr>
              <w:t>pH&gt;7.5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675" w:type="dxa"/>
          </w:tcPr>
          <w:p>
            <w:pPr>
              <w:pStyle w:val="9"/>
              <w:spacing w:before="74"/>
              <w:ind w:left="6"/>
              <w:rPr>
                <w:rFonts w:ascii="Times New Roman"/>
                <w:sz w:val="18"/>
              </w:rPr>
            </w:pPr>
            <w:r>
              <w:rPr>
                <w:rFonts w:ascii="Times New Roman"/>
                <w:sz w:val="18"/>
              </w:rPr>
              <w:t>1</w:t>
            </w:r>
          </w:p>
        </w:tc>
        <w:tc>
          <w:tcPr>
            <w:tcW w:w="1558" w:type="dxa"/>
          </w:tcPr>
          <w:p>
            <w:pPr>
              <w:pStyle w:val="9"/>
              <w:spacing w:before="64"/>
              <w:ind w:right="632"/>
              <w:jc w:val="right"/>
              <w:rPr>
                <w:sz w:val="18"/>
              </w:rPr>
            </w:pPr>
            <w:r>
              <w:rPr>
                <w:sz w:val="18"/>
              </w:rPr>
              <w:t>镉</w:t>
            </w:r>
          </w:p>
        </w:tc>
        <w:tc>
          <w:tcPr>
            <w:tcW w:w="1834" w:type="dxa"/>
          </w:tcPr>
          <w:p>
            <w:pPr>
              <w:pStyle w:val="9"/>
              <w:spacing w:before="74"/>
              <w:ind w:left="398" w:right="389"/>
              <w:rPr>
                <w:rFonts w:ascii="Times New Roman"/>
                <w:sz w:val="18"/>
              </w:rPr>
            </w:pPr>
            <w:r>
              <w:rPr>
                <w:rFonts w:ascii="Times New Roman"/>
                <w:sz w:val="18"/>
              </w:rPr>
              <w:t>1.5</w:t>
            </w:r>
          </w:p>
        </w:tc>
        <w:tc>
          <w:tcPr>
            <w:tcW w:w="1834" w:type="dxa"/>
          </w:tcPr>
          <w:p>
            <w:pPr>
              <w:pStyle w:val="9"/>
              <w:spacing w:before="74"/>
              <w:ind w:left="397" w:right="389"/>
              <w:rPr>
                <w:rFonts w:ascii="Times New Roman"/>
                <w:sz w:val="18"/>
              </w:rPr>
            </w:pPr>
            <w:r>
              <w:rPr>
                <w:rFonts w:ascii="Times New Roman"/>
                <w:sz w:val="18"/>
              </w:rPr>
              <w:t>2.0</w:t>
            </w:r>
          </w:p>
        </w:tc>
        <w:tc>
          <w:tcPr>
            <w:tcW w:w="1834" w:type="dxa"/>
          </w:tcPr>
          <w:p>
            <w:pPr>
              <w:pStyle w:val="9"/>
              <w:spacing w:before="74"/>
              <w:ind w:left="398" w:right="389"/>
              <w:rPr>
                <w:rFonts w:ascii="Times New Roman"/>
                <w:sz w:val="18"/>
              </w:rPr>
            </w:pPr>
            <w:r>
              <w:rPr>
                <w:rFonts w:ascii="Times New Roman"/>
                <w:sz w:val="18"/>
              </w:rPr>
              <w:t>3.0</w:t>
            </w:r>
          </w:p>
        </w:tc>
        <w:tc>
          <w:tcPr>
            <w:tcW w:w="1836" w:type="dxa"/>
          </w:tcPr>
          <w:p>
            <w:pPr>
              <w:pStyle w:val="9"/>
              <w:spacing w:before="74"/>
              <w:ind w:left="624" w:right="615"/>
              <w:rPr>
                <w:rFonts w:ascii="Times New Roman"/>
                <w:sz w:val="18"/>
              </w:rPr>
            </w:pPr>
            <w:r>
              <w:rPr>
                <w:rFonts w:ascii="Times New Roman"/>
                <w:sz w:val="18"/>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675" w:type="dxa"/>
          </w:tcPr>
          <w:p>
            <w:pPr>
              <w:pStyle w:val="9"/>
              <w:spacing w:before="74"/>
              <w:ind w:left="6"/>
              <w:rPr>
                <w:rFonts w:ascii="Times New Roman"/>
                <w:sz w:val="18"/>
              </w:rPr>
            </w:pPr>
            <w:r>
              <w:rPr>
                <w:rFonts w:ascii="Times New Roman"/>
                <w:sz w:val="18"/>
              </w:rPr>
              <w:t>2</w:t>
            </w:r>
          </w:p>
        </w:tc>
        <w:tc>
          <w:tcPr>
            <w:tcW w:w="1558" w:type="dxa"/>
          </w:tcPr>
          <w:p>
            <w:pPr>
              <w:pStyle w:val="9"/>
              <w:spacing w:before="65"/>
              <w:ind w:right="632"/>
              <w:jc w:val="right"/>
              <w:rPr>
                <w:sz w:val="18"/>
              </w:rPr>
            </w:pPr>
            <w:r>
              <w:rPr>
                <w:sz w:val="18"/>
              </w:rPr>
              <w:t>汞</w:t>
            </w:r>
          </w:p>
        </w:tc>
        <w:tc>
          <w:tcPr>
            <w:tcW w:w="1834" w:type="dxa"/>
          </w:tcPr>
          <w:p>
            <w:pPr>
              <w:pStyle w:val="9"/>
              <w:spacing w:before="74"/>
              <w:ind w:left="398" w:right="389"/>
              <w:rPr>
                <w:rFonts w:ascii="Times New Roman"/>
                <w:sz w:val="18"/>
              </w:rPr>
            </w:pPr>
            <w:r>
              <w:rPr>
                <w:rFonts w:ascii="Times New Roman"/>
                <w:sz w:val="18"/>
              </w:rPr>
              <w:t>2.0</w:t>
            </w:r>
          </w:p>
        </w:tc>
        <w:tc>
          <w:tcPr>
            <w:tcW w:w="1834" w:type="dxa"/>
          </w:tcPr>
          <w:p>
            <w:pPr>
              <w:pStyle w:val="9"/>
              <w:spacing w:before="74"/>
              <w:ind w:left="397" w:right="389"/>
              <w:rPr>
                <w:rFonts w:ascii="Times New Roman"/>
                <w:sz w:val="18"/>
              </w:rPr>
            </w:pPr>
            <w:r>
              <w:rPr>
                <w:rFonts w:ascii="Times New Roman"/>
                <w:sz w:val="18"/>
              </w:rPr>
              <w:t>2.5</w:t>
            </w:r>
          </w:p>
        </w:tc>
        <w:tc>
          <w:tcPr>
            <w:tcW w:w="1834" w:type="dxa"/>
          </w:tcPr>
          <w:p>
            <w:pPr>
              <w:pStyle w:val="9"/>
              <w:spacing w:before="74"/>
              <w:ind w:left="398" w:right="389"/>
              <w:rPr>
                <w:rFonts w:ascii="Times New Roman"/>
                <w:sz w:val="18"/>
              </w:rPr>
            </w:pPr>
            <w:r>
              <w:rPr>
                <w:rFonts w:ascii="Times New Roman"/>
                <w:sz w:val="18"/>
              </w:rPr>
              <w:t>4.0</w:t>
            </w:r>
          </w:p>
        </w:tc>
        <w:tc>
          <w:tcPr>
            <w:tcW w:w="1836" w:type="dxa"/>
          </w:tcPr>
          <w:p>
            <w:pPr>
              <w:pStyle w:val="9"/>
              <w:spacing w:before="74"/>
              <w:ind w:left="624" w:right="615"/>
              <w:rPr>
                <w:rFonts w:ascii="Times New Roman"/>
                <w:sz w:val="18"/>
              </w:rPr>
            </w:pPr>
            <w:r>
              <w:rPr>
                <w:rFonts w:ascii="Times New Roman"/>
                <w:sz w:val="18"/>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75" w:type="dxa"/>
          </w:tcPr>
          <w:p>
            <w:pPr>
              <w:pStyle w:val="9"/>
              <w:ind w:left="6"/>
              <w:rPr>
                <w:rFonts w:ascii="Times New Roman"/>
                <w:sz w:val="18"/>
              </w:rPr>
            </w:pPr>
            <w:r>
              <w:rPr>
                <w:rFonts w:ascii="Times New Roman"/>
                <w:sz w:val="18"/>
              </w:rPr>
              <w:t>3</w:t>
            </w:r>
          </w:p>
        </w:tc>
        <w:tc>
          <w:tcPr>
            <w:tcW w:w="1558" w:type="dxa"/>
          </w:tcPr>
          <w:p>
            <w:pPr>
              <w:pStyle w:val="9"/>
              <w:spacing w:before="39"/>
              <w:ind w:right="632"/>
              <w:jc w:val="right"/>
              <w:rPr>
                <w:sz w:val="18"/>
              </w:rPr>
            </w:pPr>
            <w:r>
              <w:rPr>
                <w:sz w:val="18"/>
              </w:rPr>
              <w:t>砷</w:t>
            </w:r>
          </w:p>
        </w:tc>
        <w:tc>
          <w:tcPr>
            <w:tcW w:w="1834" w:type="dxa"/>
          </w:tcPr>
          <w:p>
            <w:pPr>
              <w:pStyle w:val="9"/>
              <w:ind w:left="398" w:right="389"/>
              <w:rPr>
                <w:rFonts w:ascii="Times New Roman"/>
                <w:sz w:val="18"/>
              </w:rPr>
            </w:pPr>
            <w:r>
              <w:rPr>
                <w:rFonts w:ascii="Times New Roman"/>
                <w:sz w:val="18"/>
              </w:rPr>
              <w:t>200</w:t>
            </w:r>
          </w:p>
        </w:tc>
        <w:tc>
          <w:tcPr>
            <w:tcW w:w="1834" w:type="dxa"/>
          </w:tcPr>
          <w:p>
            <w:pPr>
              <w:pStyle w:val="9"/>
              <w:ind w:left="397" w:right="389"/>
              <w:rPr>
                <w:rFonts w:ascii="Times New Roman"/>
                <w:sz w:val="18"/>
              </w:rPr>
            </w:pPr>
            <w:r>
              <w:rPr>
                <w:rFonts w:ascii="Times New Roman"/>
                <w:sz w:val="18"/>
              </w:rPr>
              <w:t>150</w:t>
            </w:r>
          </w:p>
        </w:tc>
        <w:tc>
          <w:tcPr>
            <w:tcW w:w="1834" w:type="dxa"/>
          </w:tcPr>
          <w:p>
            <w:pPr>
              <w:pStyle w:val="9"/>
              <w:ind w:left="396" w:right="389"/>
              <w:rPr>
                <w:rFonts w:ascii="Times New Roman"/>
                <w:sz w:val="18"/>
              </w:rPr>
            </w:pPr>
            <w:r>
              <w:rPr>
                <w:rFonts w:ascii="Times New Roman"/>
                <w:sz w:val="18"/>
              </w:rPr>
              <w:t>120</w:t>
            </w:r>
          </w:p>
        </w:tc>
        <w:tc>
          <w:tcPr>
            <w:tcW w:w="1836" w:type="dxa"/>
          </w:tcPr>
          <w:p>
            <w:pPr>
              <w:pStyle w:val="9"/>
              <w:ind w:left="624" w:right="615"/>
              <w:rPr>
                <w:rFonts w:ascii="Times New Roman"/>
                <w:sz w:val="18"/>
              </w:rPr>
            </w:pPr>
            <w:r>
              <w:rPr>
                <w:rFonts w:ascii="Times New Roman"/>
                <w:sz w:val="1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675" w:type="dxa"/>
          </w:tcPr>
          <w:p>
            <w:pPr>
              <w:pStyle w:val="9"/>
              <w:spacing w:before="75"/>
              <w:ind w:left="6"/>
              <w:rPr>
                <w:rFonts w:ascii="Times New Roman"/>
                <w:sz w:val="18"/>
              </w:rPr>
            </w:pPr>
            <w:r>
              <w:rPr>
                <w:rFonts w:ascii="Times New Roman"/>
                <w:sz w:val="18"/>
              </w:rPr>
              <w:t>4</w:t>
            </w:r>
          </w:p>
        </w:tc>
        <w:tc>
          <w:tcPr>
            <w:tcW w:w="1558" w:type="dxa"/>
          </w:tcPr>
          <w:p>
            <w:pPr>
              <w:pStyle w:val="9"/>
              <w:spacing w:before="63"/>
              <w:ind w:right="632"/>
              <w:jc w:val="right"/>
              <w:rPr>
                <w:sz w:val="18"/>
              </w:rPr>
            </w:pPr>
            <w:r>
              <w:rPr>
                <w:sz w:val="18"/>
              </w:rPr>
              <w:t>铅</w:t>
            </w:r>
          </w:p>
        </w:tc>
        <w:tc>
          <w:tcPr>
            <w:tcW w:w="1834" w:type="dxa"/>
          </w:tcPr>
          <w:p>
            <w:pPr>
              <w:pStyle w:val="9"/>
              <w:spacing w:before="75"/>
              <w:ind w:left="398" w:right="389"/>
              <w:rPr>
                <w:rFonts w:ascii="Times New Roman"/>
                <w:sz w:val="18"/>
              </w:rPr>
            </w:pPr>
            <w:r>
              <w:rPr>
                <w:rFonts w:ascii="Times New Roman"/>
                <w:sz w:val="18"/>
              </w:rPr>
              <w:t>400</w:t>
            </w:r>
          </w:p>
        </w:tc>
        <w:tc>
          <w:tcPr>
            <w:tcW w:w="1834" w:type="dxa"/>
          </w:tcPr>
          <w:p>
            <w:pPr>
              <w:pStyle w:val="9"/>
              <w:spacing w:before="75"/>
              <w:ind w:left="398" w:right="388"/>
              <w:rPr>
                <w:rFonts w:ascii="Times New Roman"/>
                <w:sz w:val="18"/>
              </w:rPr>
            </w:pPr>
            <w:r>
              <w:rPr>
                <w:rFonts w:ascii="Times New Roman"/>
                <w:sz w:val="18"/>
              </w:rPr>
              <w:t>500</w:t>
            </w:r>
          </w:p>
        </w:tc>
        <w:tc>
          <w:tcPr>
            <w:tcW w:w="1834" w:type="dxa"/>
          </w:tcPr>
          <w:p>
            <w:pPr>
              <w:pStyle w:val="9"/>
              <w:spacing w:before="75"/>
              <w:ind w:left="398" w:right="389"/>
              <w:rPr>
                <w:rFonts w:ascii="Times New Roman"/>
                <w:sz w:val="18"/>
              </w:rPr>
            </w:pPr>
            <w:r>
              <w:rPr>
                <w:rFonts w:ascii="Times New Roman"/>
                <w:sz w:val="18"/>
              </w:rPr>
              <w:t>700</w:t>
            </w:r>
          </w:p>
        </w:tc>
        <w:tc>
          <w:tcPr>
            <w:tcW w:w="1836" w:type="dxa"/>
          </w:tcPr>
          <w:p>
            <w:pPr>
              <w:pStyle w:val="9"/>
              <w:spacing w:before="75"/>
              <w:ind w:left="624" w:right="615"/>
              <w:rPr>
                <w:rFonts w:ascii="Times New Roman"/>
                <w:sz w:val="18"/>
              </w:rPr>
            </w:pPr>
            <w:r>
              <w:rPr>
                <w:rFonts w:ascii="Times New Roman"/>
                <w:sz w:val="18"/>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75" w:type="dxa"/>
          </w:tcPr>
          <w:p>
            <w:pPr>
              <w:pStyle w:val="9"/>
              <w:ind w:left="6"/>
              <w:rPr>
                <w:rFonts w:ascii="Times New Roman"/>
                <w:sz w:val="18"/>
              </w:rPr>
            </w:pPr>
            <w:r>
              <w:rPr>
                <w:rFonts w:ascii="Times New Roman"/>
                <w:sz w:val="18"/>
              </w:rPr>
              <w:t>5</w:t>
            </w:r>
          </w:p>
        </w:tc>
        <w:tc>
          <w:tcPr>
            <w:tcW w:w="1558" w:type="dxa"/>
          </w:tcPr>
          <w:p>
            <w:pPr>
              <w:pStyle w:val="9"/>
              <w:spacing w:before="39"/>
              <w:ind w:right="632"/>
              <w:jc w:val="right"/>
              <w:rPr>
                <w:sz w:val="18"/>
              </w:rPr>
            </w:pPr>
            <w:r>
              <w:rPr>
                <w:sz w:val="18"/>
              </w:rPr>
              <w:t>铬</w:t>
            </w:r>
          </w:p>
        </w:tc>
        <w:tc>
          <w:tcPr>
            <w:tcW w:w="1834" w:type="dxa"/>
          </w:tcPr>
          <w:p>
            <w:pPr>
              <w:pStyle w:val="9"/>
              <w:ind w:left="398" w:right="389"/>
              <w:rPr>
                <w:rFonts w:ascii="Times New Roman"/>
                <w:sz w:val="18"/>
              </w:rPr>
            </w:pPr>
            <w:r>
              <w:rPr>
                <w:rFonts w:ascii="Times New Roman"/>
                <w:sz w:val="18"/>
              </w:rPr>
              <w:t>800</w:t>
            </w:r>
          </w:p>
        </w:tc>
        <w:tc>
          <w:tcPr>
            <w:tcW w:w="1834" w:type="dxa"/>
          </w:tcPr>
          <w:p>
            <w:pPr>
              <w:pStyle w:val="9"/>
              <w:ind w:left="397" w:right="389"/>
              <w:rPr>
                <w:rFonts w:ascii="Times New Roman"/>
                <w:sz w:val="18"/>
              </w:rPr>
            </w:pPr>
            <w:r>
              <w:rPr>
                <w:rFonts w:ascii="Times New Roman"/>
                <w:sz w:val="18"/>
              </w:rPr>
              <w:t>850</w:t>
            </w:r>
          </w:p>
        </w:tc>
        <w:tc>
          <w:tcPr>
            <w:tcW w:w="1834" w:type="dxa"/>
          </w:tcPr>
          <w:p>
            <w:pPr>
              <w:pStyle w:val="9"/>
              <w:ind w:left="398" w:right="386"/>
              <w:rPr>
                <w:rFonts w:ascii="Times New Roman"/>
                <w:sz w:val="18"/>
              </w:rPr>
            </w:pPr>
            <w:r>
              <w:rPr>
                <w:rFonts w:ascii="Times New Roman"/>
                <w:sz w:val="18"/>
              </w:rPr>
              <w:t>1000</w:t>
            </w:r>
          </w:p>
        </w:tc>
        <w:tc>
          <w:tcPr>
            <w:tcW w:w="1836" w:type="dxa"/>
          </w:tcPr>
          <w:p>
            <w:pPr>
              <w:pStyle w:val="9"/>
              <w:ind w:left="624" w:right="615"/>
              <w:rPr>
                <w:rFonts w:ascii="Times New Roman"/>
                <w:sz w:val="18"/>
              </w:rPr>
            </w:pPr>
            <w:r>
              <w:rPr>
                <w:rFonts w:ascii="Times New Roman"/>
                <w:sz w:val="18"/>
              </w:rPr>
              <w:t>1300</w:t>
            </w:r>
          </w:p>
        </w:tc>
      </w:tr>
    </w:tbl>
    <w:p>
      <w:pPr>
        <w:pStyle w:val="4"/>
        <w:rPr>
          <w:rFonts w:ascii="Times New Roman"/>
          <w:sz w:val="23"/>
        </w:rPr>
      </w:pPr>
    </w:p>
    <w:p>
      <w:pPr>
        <w:pStyle w:val="8"/>
        <w:numPr>
          <w:ilvl w:val="0"/>
          <w:numId w:val="2"/>
        </w:numPr>
        <w:tabs>
          <w:tab w:val="left" w:pos="428"/>
        </w:tabs>
        <w:spacing w:before="70" w:after="0" w:line="240" w:lineRule="auto"/>
        <w:ind w:left="427" w:right="0" w:hanging="210"/>
        <w:jc w:val="left"/>
        <w:rPr>
          <w:rFonts w:hint="eastAsia" w:ascii="黑体" w:eastAsia="黑体"/>
          <w:sz w:val="21"/>
        </w:rPr>
      </w:pPr>
      <w:bookmarkStart w:id="50" w:name="_bookmark6"/>
      <w:bookmarkEnd w:id="50"/>
      <w:bookmarkStart w:id="51" w:name="6 农用地土壤污染风险筛选值和管制值的使用"/>
      <w:bookmarkEnd w:id="51"/>
      <w:bookmarkStart w:id="52" w:name="_bookmark6"/>
      <w:bookmarkEnd w:id="52"/>
      <w:r>
        <w:rPr>
          <w:rFonts w:hint="eastAsia" w:ascii="黑体" w:eastAsia="黑体"/>
          <w:sz w:val="21"/>
        </w:rPr>
        <w:t>农用地土壤污染风险筛选值和管制值的使用</w:t>
      </w:r>
    </w:p>
    <w:p>
      <w:pPr>
        <w:pStyle w:val="8"/>
        <w:numPr>
          <w:ilvl w:val="1"/>
          <w:numId w:val="2"/>
        </w:numPr>
        <w:tabs>
          <w:tab w:val="left" w:pos="953"/>
        </w:tabs>
        <w:spacing w:before="179" w:after="0" w:line="278" w:lineRule="auto"/>
        <w:ind w:left="218" w:right="388" w:firstLine="420"/>
        <w:jc w:val="both"/>
        <w:rPr>
          <w:rFonts w:ascii="Times New Roman" w:eastAsia="Times New Roman"/>
          <w:sz w:val="21"/>
        </w:rPr>
      </w:pPr>
      <w:r>
        <w:rPr>
          <w:spacing w:val="-4"/>
          <w:sz w:val="21"/>
        </w:rPr>
        <w:t xml:space="preserve">当土壤中污染物含量等于或者低于表 </w:t>
      </w:r>
      <w:r>
        <w:rPr>
          <w:rFonts w:ascii="Times New Roman" w:eastAsia="Times New Roman"/>
          <w:sz w:val="21"/>
        </w:rPr>
        <w:t>1</w:t>
      </w:r>
      <w:r>
        <w:rPr>
          <w:rFonts w:ascii="Times New Roman" w:eastAsia="Times New Roman"/>
          <w:spacing w:val="-1"/>
          <w:sz w:val="21"/>
        </w:rPr>
        <w:t xml:space="preserve"> </w:t>
      </w:r>
      <w:r>
        <w:rPr>
          <w:spacing w:val="-18"/>
          <w:sz w:val="21"/>
        </w:rPr>
        <w:t xml:space="preserve">和表 </w:t>
      </w:r>
      <w:r>
        <w:rPr>
          <w:rFonts w:ascii="Times New Roman" w:eastAsia="Times New Roman"/>
          <w:sz w:val="21"/>
        </w:rPr>
        <w:t>2</w:t>
      </w:r>
      <w:r>
        <w:rPr>
          <w:rFonts w:ascii="Times New Roman" w:eastAsia="Times New Roman"/>
          <w:spacing w:val="-1"/>
          <w:sz w:val="21"/>
        </w:rPr>
        <w:t xml:space="preserve"> </w:t>
      </w:r>
      <w:r>
        <w:rPr>
          <w:sz w:val="21"/>
        </w:rPr>
        <w:t xml:space="preserve">规定的风险筛选值时，农用地土壤污染风险低， </w:t>
      </w:r>
      <w:r>
        <w:rPr>
          <w:spacing w:val="-7"/>
          <w:sz w:val="21"/>
        </w:rPr>
        <w:t xml:space="preserve">一般情况下可以忽略；高于表 </w:t>
      </w:r>
      <w:r>
        <w:rPr>
          <w:rFonts w:ascii="Times New Roman" w:eastAsia="Times New Roman"/>
          <w:sz w:val="21"/>
        </w:rPr>
        <w:t>1</w:t>
      </w:r>
      <w:r>
        <w:rPr>
          <w:rFonts w:ascii="Times New Roman" w:eastAsia="Times New Roman"/>
          <w:spacing w:val="-4"/>
          <w:sz w:val="21"/>
        </w:rPr>
        <w:t xml:space="preserve"> </w:t>
      </w:r>
      <w:r>
        <w:rPr>
          <w:spacing w:val="-20"/>
          <w:sz w:val="21"/>
        </w:rPr>
        <w:t xml:space="preserve">和表 </w:t>
      </w:r>
      <w:r>
        <w:rPr>
          <w:rFonts w:ascii="Times New Roman" w:eastAsia="Times New Roman"/>
          <w:sz w:val="21"/>
        </w:rPr>
        <w:t>2</w:t>
      </w:r>
      <w:r>
        <w:rPr>
          <w:rFonts w:ascii="Times New Roman" w:eastAsia="Times New Roman"/>
          <w:spacing w:val="-5"/>
          <w:sz w:val="21"/>
        </w:rPr>
        <w:t xml:space="preserve"> </w:t>
      </w:r>
      <w:r>
        <w:rPr>
          <w:spacing w:val="-6"/>
          <w:sz w:val="21"/>
        </w:rPr>
        <w:t>规定的风险筛选值时，可能存在农用地土壤污染风险，应加强土壤环境监测和农产品协同监测。</w:t>
      </w:r>
    </w:p>
    <w:p>
      <w:pPr>
        <w:pStyle w:val="8"/>
        <w:numPr>
          <w:ilvl w:val="1"/>
          <w:numId w:val="2"/>
        </w:numPr>
        <w:tabs>
          <w:tab w:val="left" w:pos="953"/>
        </w:tabs>
        <w:spacing w:before="0" w:after="0" w:line="278" w:lineRule="auto"/>
        <w:ind w:left="218" w:right="388" w:firstLine="420"/>
        <w:jc w:val="both"/>
        <w:rPr>
          <w:rFonts w:ascii="Times New Roman" w:eastAsia="Times New Roman"/>
          <w:sz w:val="21"/>
        </w:rPr>
      </w:pPr>
      <w:r>
        <w:rPr>
          <w:spacing w:val="-3"/>
          <w:sz w:val="21"/>
        </w:rPr>
        <w:t xml:space="preserve">当土壤中镉、汞、砷、铅、铬的含量高于表 </w:t>
      </w:r>
      <w:r>
        <w:rPr>
          <w:rFonts w:ascii="Times New Roman" w:eastAsia="Times New Roman"/>
          <w:sz w:val="21"/>
        </w:rPr>
        <w:t>1</w:t>
      </w:r>
      <w:r>
        <w:rPr>
          <w:rFonts w:ascii="Times New Roman" w:eastAsia="Times New Roman"/>
          <w:spacing w:val="-1"/>
          <w:sz w:val="21"/>
        </w:rPr>
        <w:t xml:space="preserve"> </w:t>
      </w:r>
      <w:r>
        <w:rPr>
          <w:spacing w:val="-4"/>
          <w:sz w:val="21"/>
        </w:rPr>
        <w:t xml:space="preserve">规定的风险筛选值、等于或者低于表 </w:t>
      </w:r>
      <w:r>
        <w:rPr>
          <w:rFonts w:ascii="Times New Roman" w:eastAsia="Times New Roman"/>
          <w:sz w:val="21"/>
        </w:rPr>
        <w:t>3</w:t>
      </w:r>
      <w:r>
        <w:rPr>
          <w:rFonts w:ascii="Times New Roman" w:eastAsia="Times New Roman"/>
          <w:spacing w:val="-2"/>
          <w:sz w:val="21"/>
        </w:rPr>
        <w:t xml:space="preserve"> </w:t>
      </w:r>
      <w:r>
        <w:rPr>
          <w:sz w:val="21"/>
        </w:rPr>
        <w:t>规定的风</w:t>
      </w:r>
      <w:r>
        <w:rPr>
          <w:spacing w:val="-8"/>
          <w:w w:val="95"/>
          <w:sz w:val="21"/>
        </w:rPr>
        <w:t>险管制值时，可能存在食用农产品不符合质量安全标准等土壤污染风险，原则上应当采取农艺调控、替</w:t>
      </w:r>
      <w:r>
        <w:rPr>
          <w:spacing w:val="-8"/>
          <w:sz w:val="21"/>
        </w:rPr>
        <w:t>代种植等安全利用措施。</w:t>
      </w:r>
    </w:p>
    <w:p>
      <w:pPr>
        <w:pStyle w:val="8"/>
        <w:numPr>
          <w:ilvl w:val="1"/>
          <w:numId w:val="2"/>
        </w:numPr>
        <w:tabs>
          <w:tab w:val="left" w:pos="953"/>
        </w:tabs>
        <w:spacing w:before="0" w:after="0" w:line="278" w:lineRule="auto"/>
        <w:ind w:left="218" w:right="391" w:firstLine="420"/>
        <w:jc w:val="both"/>
        <w:rPr>
          <w:rFonts w:ascii="Times New Roman" w:eastAsia="Times New Roman"/>
          <w:sz w:val="21"/>
        </w:rPr>
      </w:pPr>
      <w:r>
        <w:rPr>
          <w:spacing w:val="-3"/>
          <w:sz w:val="21"/>
        </w:rPr>
        <w:t xml:space="preserve">当土壤中镉、汞、砷、铅、铬的含量高于表 </w:t>
      </w:r>
      <w:r>
        <w:rPr>
          <w:rFonts w:ascii="Times New Roman" w:eastAsia="Times New Roman"/>
          <w:sz w:val="21"/>
        </w:rPr>
        <w:t>3</w:t>
      </w:r>
      <w:r>
        <w:rPr>
          <w:rFonts w:ascii="Times New Roman" w:eastAsia="Times New Roman"/>
          <w:spacing w:val="-3"/>
          <w:sz w:val="21"/>
        </w:rPr>
        <w:t xml:space="preserve"> </w:t>
      </w:r>
      <w:r>
        <w:rPr>
          <w:sz w:val="21"/>
        </w:rPr>
        <w:t>规定的风险管制值时，食用农产品不符合质量安</w:t>
      </w:r>
      <w:r>
        <w:rPr>
          <w:spacing w:val="-7"/>
          <w:w w:val="95"/>
          <w:sz w:val="21"/>
        </w:rPr>
        <w:t>全标准等农用地土壤污染风险高，且难以通过安全利用措施降低食用农产品不符合质量安全标准等农用</w:t>
      </w:r>
      <w:r>
        <w:rPr>
          <w:rFonts w:hint="eastAsia"/>
          <w:spacing w:val="-7"/>
          <w:w w:val="95"/>
          <w:sz w:val="21"/>
          <w:lang w:val="en-US" w:eastAsia="zh-CN"/>
        </w:rPr>
        <w:t xml:space="preserve">     </w:t>
      </w:r>
      <w:bookmarkStart w:id="65" w:name="_GoBack"/>
      <w:bookmarkEnd w:id="65"/>
      <w:r>
        <w:rPr>
          <w:spacing w:val="-7"/>
          <w:sz w:val="21"/>
        </w:rPr>
        <w:t>地土壤污染风险，原则上应当采取禁止种植食用农产品、退耕还林等严格管控措施。</w:t>
      </w:r>
    </w:p>
    <w:p>
      <w:pPr>
        <w:pStyle w:val="8"/>
        <w:numPr>
          <w:ilvl w:val="1"/>
          <w:numId w:val="2"/>
        </w:numPr>
        <w:tabs>
          <w:tab w:val="left" w:pos="953"/>
        </w:tabs>
        <w:spacing w:before="0" w:after="0" w:line="278" w:lineRule="auto"/>
        <w:ind w:left="218" w:right="393" w:firstLine="420"/>
        <w:jc w:val="both"/>
        <w:rPr>
          <w:rFonts w:ascii="Times New Roman" w:eastAsia="Times New Roman"/>
          <w:sz w:val="21"/>
        </w:rPr>
      </w:pPr>
      <w:r>
        <w:rPr>
          <w:sz w:val="21"/>
        </w:rPr>
        <w:t>土壤环境质量类别划分应以本标准为基础，结合食用农产品协同监测结果，依据相关技术规定进行划定。</w:t>
      </w:r>
    </w:p>
    <w:p>
      <w:pPr>
        <w:pStyle w:val="4"/>
        <w:spacing w:before="10"/>
        <w:rPr>
          <w:sz w:val="22"/>
        </w:rPr>
      </w:pPr>
    </w:p>
    <w:p>
      <w:pPr>
        <w:pStyle w:val="8"/>
        <w:numPr>
          <w:ilvl w:val="0"/>
          <w:numId w:val="2"/>
        </w:numPr>
        <w:tabs>
          <w:tab w:val="left" w:pos="428"/>
        </w:tabs>
        <w:spacing w:before="0" w:after="0" w:line="240" w:lineRule="auto"/>
        <w:ind w:left="427" w:right="0" w:hanging="210"/>
        <w:jc w:val="left"/>
        <w:rPr>
          <w:rFonts w:hint="eastAsia" w:ascii="黑体" w:eastAsia="黑体"/>
          <w:sz w:val="21"/>
        </w:rPr>
      </w:pPr>
      <w:bookmarkStart w:id="53" w:name="_bookmark7"/>
      <w:bookmarkEnd w:id="53"/>
      <w:bookmarkStart w:id="54" w:name="_bookmark7"/>
      <w:bookmarkEnd w:id="54"/>
      <w:bookmarkStart w:id="55" w:name="7 监测要求"/>
      <w:bookmarkEnd w:id="55"/>
      <w:r>
        <w:rPr>
          <w:rFonts w:hint="eastAsia" w:ascii="黑体" w:eastAsia="黑体"/>
          <w:sz w:val="21"/>
        </w:rPr>
        <w:t>监测要求</w:t>
      </w:r>
    </w:p>
    <w:p>
      <w:pPr>
        <w:pStyle w:val="4"/>
        <w:rPr>
          <w:rFonts w:ascii="黑体"/>
          <w:sz w:val="14"/>
        </w:rPr>
      </w:pPr>
    </w:p>
    <w:p>
      <w:pPr>
        <w:pStyle w:val="8"/>
        <w:numPr>
          <w:ilvl w:val="1"/>
          <w:numId w:val="2"/>
        </w:numPr>
        <w:tabs>
          <w:tab w:val="left" w:pos="639"/>
        </w:tabs>
        <w:spacing w:before="0" w:after="0" w:line="240" w:lineRule="auto"/>
        <w:ind w:left="638" w:right="0" w:hanging="421"/>
        <w:jc w:val="left"/>
        <w:rPr>
          <w:rFonts w:hint="eastAsia" w:ascii="黑体" w:eastAsia="黑体"/>
          <w:sz w:val="21"/>
        </w:rPr>
      </w:pPr>
      <w:bookmarkStart w:id="56" w:name="7.1 监测点位和样品采集"/>
      <w:bookmarkEnd w:id="56"/>
      <w:bookmarkStart w:id="57" w:name="7.1 监测点位和样品采集"/>
      <w:bookmarkEnd w:id="57"/>
      <w:r>
        <w:rPr>
          <w:rFonts w:hint="eastAsia" w:ascii="黑体" w:eastAsia="黑体"/>
          <w:sz w:val="21"/>
        </w:rPr>
        <w:t>监测点位和样品采集</w:t>
      </w:r>
    </w:p>
    <w:p>
      <w:pPr>
        <w:spacing w:after="0" w:line="240" w:lineRule="auto"/>
        <w:jc w:val="left"/>
        <w:rPr>
          <w:rFonts w:hint="eastAsia" w:ascii="黑体" w:eastAsia="黑体"/>
          <w:sz w:val="21"/>
        </w:rPr>
        <w:sectPr>
          <w:type w:val="continuous"/>
          <w:pgSz w:w="11910" w:h="16840"/>
          <w:pgMar w:top="1020" w:right="740" w:bottom="280" w:left="1200" w:header="720" w:footer="720" w:gutter="0"/>
        </w:sectPr>
      </w:pPr>
    </w:p>
    <w:p>
      <w:pPr>
        <w:pStyle w:val="8"/>
        <w:numPr>
          <w:ilvl w:val="2"/>
          <w:numId w:val="2"/>
        </w:numPr>
        <w:tabs>
          <w:tab w:val="left" w:pos="1109"/>
        </w:tabs>
        <w:spacing w:before="140" w:after="0" w:line="240" w:lineRule="auto"/>
        <w:ind w:left="1108" w:right="0" w:hanging="471"/>
        <w:jc w:val="left"/>
        <w:rPr>
          <w:sz w:val="21"/>
        </w:rPr>
      </w:pPr>
      <w:r>
        <w:pict>
          <v:line id="_x0000_s1028" o:spid="_x0000_s1028" o:spt="20" style="position:absolute;left:0pt;margin-left:209pt;margin-top:801.1pt;height:0pt;width:173.25pt;mso-position-horizontal-relative:page;mso-position-vertical-relative:page;z-index:251661312;mso-width-relative:page;mso-height-relative:page;" stroked="t" coordsize="21600,21600">
            <v:path arrowok="t"/>
            <v:fill focussize="0,0"/>
            <v:stroke weight="1.3pt" color="#000000"/>
            <v:imagedata o:title=""/>
            <o:lock v:ext="edit"/>
          </v:line>
        </w:pict>
      </w:r>
      <w:r>
        <w:rPr>
          <w:spacing w:val="-3"/>
          <w:sz w:val="21"/>
        </w:rPr>
        <w:t xml:space="preserve">农用地土壤污染调查监测点位布设和样品采集执行 </w:t>
      </w:r>
      <w:r>
        <w:rPr>
          <w:rFonts w:ascii="Times New Roman" w:eastAsia="Times New Roman"/>
          <w:sz w:val="21"/>
        </w:rPr>
        <w:t>HJ/T</w:t>
      </w:r>
      <w:r>
        <w:rPr>
          <w:rFonts w:ascii="Times New Roman" w:eastAsia="Times New Roman"/>
          <w:spacing w:val="-4"/>
          <w:sz w:val="21"/>
        </w:rPr>
        <w:t xml:space="preserve"> </w:t>
      </w:r>
      <w:r>
        <w:rPr>
          <w:rFonts w:ascii="Times New Roman" w:eastAsia="Times New Roman"/>
          <w:sz w:val="21"/>
        </w:rPr>
        <w:t>166</w:t>
      </w:r>
      <w:r>
        <w:rPr>
          <w:rFonts w:ascii="Times New Roman" w:eastAsia="Times New Roman"/>
          <w:spacing w:val="-2"/>
          <w:sz w:val="21"/>
        </w:rPr>
        <w:t xml:space="preserve"> </w:t>
      </w:r>
      <w:r>
        <w:rPr>
          <w:sz w:val="21"/>
        </w:rPr>
        <w:t>等相关技术规定要求。</w:t>
      </w:r>
    </w:p>
    <w:p>
      <w:pPr>
        <w:pStyle w:val="4"/>
        <w:spacing w:before="7"/>
        <w:rPr>
          <w:sz w:val="15"/>
        </w:rPr>
      </w:pPr>
    </w:p>
    <w:p>
      <w:pPr>
        <w:pStyle w:val="8"/>
        <w:numPr>
          <w:ilvl w:val="1"/>
          <w:numId w:val="2"/>
        </w:numPr>
        <w:tabs>
          <w:tab w:val="left" w:pos="586"/>
        </w:tabs>
        <w:spacing w:before="0" w:after="0" w:line="240" w:lineRule="auto"/>
        <w:ind w:left="585" w:right="0" w:hanging="368"/>
        <w:jc w:val="left"/>
        <w:rPr>
          <w:rFonts w:hint="eastAsia" w:ascii="黑体" w:eastAsia="黑体"/>
          <w:sz w:val="21"/>
        </w:rPr>
      </w:pPr>
      <w:bookmarkStart w:id="58" w:name="7.2土壤污染物分析"/>
      <w:bookmarkEnd w:id="58"/>
      <w:bookmarkStart w:id="59" w:name="7.2土壤污染物分析"/>
      <w:bookmarkEnd w:id="59"/>
      <w:r>
        <w:rPr>
          <w:rFonts w:hint="eastAsia" w:ascii="黑体" w:eastAsia="黑体"/>
          <w:sz w:val="21"/>
        </w:rPr>
        <w:t>土壤污染物分析</w:t>
      </w:r>
    </w:p>
    <w:p>
      <w:pPr>
        <w:pStyle w:val="4"/>
        <w:spacing w:before="7"/>
        <w:rPr>
          <w:rFonts w:ascii="黑体"/>
          <w:sz w:val="15"/>
        </w:rPr>
      </w:pPr>
    </w:p>
    <w:p>
      <w:pPr>
        <w:pStyle w:val="8"/>
        <w:numPr>
          <w:ilvl w:val="2"/>
          <w:numId w:val="2"/>
        </w:numPr>
        <w:tabs>
          <w:tab w:val="left" w:pos="1109"/>
        </w:tabs>
        <w:spacing w:before="0" w:after="0" w:line="240" w:lineRule="auto"/>
        <w:ind w:left="1108" w:right="0" w:hanging="471"/>
        <w:jc w:val="left"/>
        <w:rPr>
          <w:sz w:val="21"/>
        </w:rPr>
      </w:pPr>
      <w:bookmarkStart w:id="60" w:name="7.2.1土壤污染物分析方法按表4执行。"/>
      <w:bookmarkEnd w:id="60"/>
      <w:bookmarkStart w:id="61" w:name="7.2.1土壤污染物分析方法按表4执行。"/>
      <w:bookmarkEnd w:id="61"/>
      <w:r>
        <w:rPr>
          <w:spacing w:val="-5"/>
          <w:sz w:val="21"/>
        </w:rPr>
        <w:t xml:space="preserve">土壤污染物分析方法按表 </w:t>
      </w:r>
      <w:r>
        <w:rPr>
          <w:rFonts w:ascii="Times New Roman" w:eastAsia="Times New Roman"/>
          <w:sz w:val="21"/>
        </w:rPr>
        <w:t>4</w:t>
      </w:r>
      <w:r>
        <w:rPr>
          <w:rFonts w:ascii="Times New Roman" w:eastAsia="Times New Roman"/>
          <w:spacing w:val="-1"/>
          <w:sz w:val="21"/>
        </w:rPr>
        <w:t xml:space="preserve"> </w:t>
      </w:r>
      <w:r>
        <w:rPr>
          <w:sz w:val="21"/>
        </w:rPr>
        <w:t>执行。</w:t>
      </w:r>
    </w:p>
    <w:p>
      <w:pPr>
        <w:pStyle w:val="4"/>
        <w:rPr>
          <w:sz w:val="22"/>
        </w:rPr>
      </w:pPr>
    </w:p>
    <w:p>
      <w:pPr>
        <w:pStyle w:val="4"/>
        <w:spacing w:before="152"/>
        <w:ind w:left="1541" w:right="1236"/>
        <w:jc w:val="center"/>
        <w:rPr>
          <w:rFonts w:hint="eastAsia" w:ascii="黑体" w:eastAsia="黑体"/>
        </w:rPr>
      </w:pPr>
      <w:r>
        <w:rPr>
          <w:rFonts w:hint="eastAsia" w:ascii="黑体" w:eastAsia="黑体"/>
        </w:rPr>
        <w:t>表 4 土壤污染物分析方法</w:t>
      </w:r>
    </w:p>
    <w:p>
      <w:pPr>
        <w:pStyle w:val="4"/>
        <w:spacing w:before="9"/>
        <w:rPr>
          <w:rFonts w:ascii="黑体"/>
          <w:sz w:val="7"/>
        </w:rPr>
      </w:pPr>
    </w:p>
    <w:tbl>
      <w:tblPr>
        <w:tblStyle w:val="5"/>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276"/>
        <w:gridCol w:w="6095"/>
        <w:gridCol w:w="15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75" w:type="dxa"/>
          </w:tcPr>
          <w:p>
            <w:pPr>
              <w:pStyle w:val="9"/>
              <w:spacing w:before="41"/>
              <w:ind w:left="136" w:right="129"/>
              <w:rPr>
                <w:sz w:val="18"/>
              </w:rPr>
            </w:pPr>
            <w:r>
              <w:rPr>
                <w:sz w:val="18"/>
              </w:rPr>
              <w:t>序号</w:t>
            </w:r>
          </w:p>
        </w:tc>
        <w:tc>
          <w:tcPr>
            <w:tcW w:w="1276" w:type="dxa"/>
          </w:tcPr>
          <w:p>
            <w:pPr>
              <w:pStyle w:val="9"/>
              <w:spacing w:before="41"/>
              <w:ind w:left="166" w:right="159"/>
              <w:rPr>
                <w:sz w:val="18"/>
              </w:rPr>
            </w:pPr>
            <w:r>
              <w:rPr>
                <w:sz w:val="18"/>
              </w:rPr>
              <w:t>污染物项目</w:t>
            </w:r>
          </w:p>
        </w:tc>
        <w:tc>
          <w:tcPr>
            <w:tcW w:w="6095" w:type="dxa"/>
          </w:tcPr>
          <w:p>
            <w:pPr>
              <w:pStyle w:val="9"/>
              <w:spacing w:before="41"/>
              <w:ind w:left="2665" w:right="2659"/>
              <w:rPr>
                <w:sz w:val="18"/>
              </w:rPr>
            </w:pPr>
            <w:r>
              <w:rPr>
                <w:sz w:val="18"/>
              </w:rPr>
              <w:t>分析方法</w:t>
            </w:r>
          </w:p>
        </w:tc>
        <w:tc>
          <w:tcPr>
            <w:tcW w:w="1525" w:type="dxa"/>
          </w:tcPr>
          <w:p>
            <w:pPr>
              <w:pStyle w:val="9"/>
              <w:spacing w:before="41"/>
              <w:ind w:left="402"/>
              <w:jc w:val="left"/>
              <w:rPr>
                <w:sz w:val="18"/>
              </w:rPr>
            </w:pPr>
            <w:r>
              <w:rPr>
                <w:sz w:val="18"/>
              </w:rPr>
              <w:t>标准编号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75" w:type="dxa"/>
          </w:tcPr>
          <w:p>
            <w:pPr>
              <w:pStyle w:val="9"/>
              <w:spacing w:before="52"/>
              <w:ind w:left="6"/>
              <w:rPr>
                <w:rFonts w:ascii="Times New Roman"/>
                <w:sz w:val="18"/>
              </w:rPr>
            </w:pPr>
            <w:r>
              <w:rPr>
                <w:rFonts w:ascii="Times New Roman"/>
                <w:sz w:val="18"/>
              </w:rPr>
              <w:t>1</w:t>
            </w:r>
          </w:p>
        </w:tc>
        <w:tc>
          <w:tcPr>
            <w:tcW w:w="1276" w:type="dxa"/>
          </w:tcPr>
          <w:p>
            <w:pPr>
              <w:pStyle w:val="9"/>
              <w:spacing w:before="40"/>
              <w:ind w:left="7"/>
              <w:rPr>
                <w:sz w:val="18"/>
              </w:rPr>
            </w:pPr>
            <w:r>
              <w:rPr>
                <w:sz w:val="18"/>
              </w:rPr>
              <w:t>镉</w:t>
            </w:r>
          </w:p>
        </w:tc>
        <w:tc>
          <w:tcPr>
            <w:tcW w:w="6095" w:type="dxa"/>
          </w:tcPr>
          <w:p>
            <w:pPr>
              <w:pStyle w:val="9"/>
              <w:spacing w:before="40"/>
              <w:ind w:left="108"/>
              <w:jc w:val="left"/>
              <w:rPr>
                <w:sz w:val="18"/>
              </w:rPr>
            </w:pPr>
            <w:r>
              <w:rPr>
                <w:sz w:val="18"/>
              </w:rPr>
              <w:t>土壤质量 铅、镉的测定 石墨炉原子吸收分光光度法</w:t>
            </w:r>
          </w:p>
        </w:tc>
        <w:tc>
          <w:tcPr>
            <w:tcW w:w="1525" w:type="dxa"/>
          </w:tcPr>
          <w:p>
            <w:pPr>
              <w:pStyle w:val="9"/>
              <w:spacing w:before="52"/>
              <w:ind w:left="106"/>
              <w:jc w:val="left"/>
              <w:rPr>
                <w:rFonts w:ascii="Times New Roman"/>
                <w:sz w:val="18"/>
              </w:rPr>
            </w:pPr>
            <w:r>
              <w:rPr>
                <w:rFonts w:ascii="Times New Roman"/>
                <w:sz w:val="18"/>
              </w:rPr>
              <w:t>GB/T 17141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75" w:type="dxa"/>
            <w:vMerge w:val="restart"/>
          </w:tcPr>
          <w:p>
            <w:pPr>
              <w:pStyle w:val="9"/>
              <w:spacing w:before="0"/>
              <w:jc w:val="left"/>
              <w:rPr>
                <w:rFonts w:ascii="黑体"/>
                <w:sz w:val="20"/>
              </w:rPr>
            </w:pPr>
          </w:p>
          <w:p>
            <w:pPr>
              <w:pStyle w:val="9"/>
              <w:spacing w:before="0"/>
              <w:jc w:val="left"/>
              <w:rPr>
                <w:rFonts w:ascii="黑体"/>
                <w:sz w:val="20"/>
              </w:rPr>
            </w:pPr>
          </w:p>
          <w:p>
            <w:pPr>
              <w:pStyle w:val="9"/>
              <w:spacing w:before="178"/>
              <w:ind w:left="6"/>
              <w:rPr>
                <w:rFonts w:ascii="Times New Roman"/>
                <w:sz w:val="18"/>
              </w:rPr>
            </w:pPr>
            <w:r>
              <w:rPr>
                <w:rFonts w:ascii="Times New Roman"/>
                <w:sz w:val="18"/>
              </w:rPr>
              <w:t>2</w:t>
            </w:r>
          </w:p>
        </w:tc>
        <w:tc>
          <w:tcPr>
            <w:tcW w:w="1276" w:type="dxa"/>
            <w:vMerge w:val="restart"/>
          </w:tcPr>
          <w:p>
            <w:pPr>
              <w:pStyle w:val="9"/>
              <w:spacing w:before="0"/>
              <w:jc w:val="left"/>
              <w:rPr>
                <w:rFonts w:ascii="黑体"/>
                <w:sz w:val="18"/>
              </w:rPr>
            </w:pPr>
          </w:p>
          <w:p>
            <w:pPr>
              <w:pStyle w:val="9"/>
              <w:spacing w:before="0"/>
              <w:jc w:val="left"/>
              <w:rPr>
                <w:rFonts w:ascii="黑体"/>
                <w:sz w:val="18"/>
              </w:rPr>
            </w:pPr>
          </w:p>
          <w:p>
            <w:pPr>
              <w:pStyle w:val="9"/>
              <w:spacing w:before="1"/>
              <w:jc w:val="left"/>
              <w:rPr>
                <w:rFonts w:ascii="黑体"/>
                <w:sz w:val="17"/>
              </w:rPr>
            </w:pPr>
          </w:p>
          <w:p>
            <w:pPr>
              <w:pStyle w:val="9"/>
              <w:spacing w:before="1"/>
              <w:ind w:left="7"/>
              <w:rPr>
                <w:sz w:val="18"/>
              </w:rPr>
            </w:pPr>
            <w:r>
              <w:rPr>
                <w:sz w:val="18"/>
              </w:rPr>
              <w:t>汞</w:t>
            </w:r>
          </w:p>
        </w:tc>
        <w:tc>
          <w:tcPr>
            <w:tcW w:w="6095" w:type="dxa"/>
          </w:tcPr>
          <w:p>
            <w:pPr>
              <w:pStyle w:val="9"/>
              <w:spacing w:before="40"/>
              <w:ind w:left="108"/>
              <w:jc w:val="left"/>
              <w:rPr>
                <w:sz w:val="18"/>
              </w:rPr>
            </w:pPr>
            <w:r>
              <w:rPr>
                <w:sz w:val="18"/>
              </w:rPr>
              <w:t>土壤和沉积物 汞、砷、硒、铋、锑的测定 微波消解</w:t>
            </w:r>
            <w:r>
              <w:rPr>
                <w:rFonts w:ascii="Times New Roman" w:eastAsia="Times New Roman"/>
                <w:sz w:val="18"/>
              </w:rPr>
              <w:t>/</w:t>
            </w:r>
            <w:r>
              <w:rPr>
                <w:sz w:val="18"/>
              </w:rPr>
              <w:t>原子荧光法</w:t>
            </w:r>
          </w:p>
        </w:tc>
        <w:tc>
          <w:tcPr>
            <w:tcW w:w="1525" w:type="dxa"/>
          </w:tcPr>
          <w:p>
            <w:pPr>
              <w:pStyle w:val="9"/>
              <w:spacing w:before="52"/>
              <w:ind w:left="106"/>
              <w:jc w:val="left"/>
              <w:rPr>
                <w:rFonts w:ascii="Times New Roman"/>
                <w:sz w:val="18"/>
              </w:rPr>
            </w:pPr>
            <w:r>
              <w:rPr>
                <w:rFonts w:ascii="Times New Roman"/>
                <w:sz w:val="18"/>
              </w:rPr>
              <w:t>HJ 680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75"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6095" w:type="dxa"/>
          </w:tcPr>
          <w:p>
            <w:pPr>
              <w:pStyle w:val="9"/>
              <w:spacing w:before="42"/>
              <w:ind w:left="108"/>
              <w:jc w:val="left"/>
              <w:rPr>
                <w:sz w:val="18"/>
              </w:rPr>
            </w:pPr>
            <w:r>
              <w:rPr>
                <w:spacing w:val="-8"/>
                <w:sz w:val="18"/>
              </w:rPr>
              <w:t xml:space="preserve">土壤质量 总汞、总砷、总铅的测定 原子荧光法第 </w:t>
            </w:r>
            <w:r>
              <w:rPr>
                <w:rFonts w:ascii="Times New Roman" w:eastAsia="Times New Roman"/>
                <w:sz w:val="18"/>
              </w:rPr>
              <w:t xml:space="preserve">1 </w:t>
            </w:r>
            <w:r>
              <w:rPr>
                <w:spacing w:val="-5"/>
                <w:sz w:val="18"/>
              </w:rPr>
              <w:t>部分：土壤中总汞的测</w:t>
            </w:r>
          </w:p>
          <w:p>
            <w:pPr>
              <w:pStyle w:val="9"/>
              <w:spacing w:before="81"/>
              <w:ind w:left="108"/>
              <w:jc w:val="left"/>
              <w:rPr>
                <w:sz w:val="18"/>
              </w:rPr>
            </w:pPr>
            <w:r>
              <w:rPr>
                <w:sz w:val="18"/>
              </w:rPr>
              <w:t>定</w:t>
            </w:r>
          </w:p>
        </w:tc>
        <w:tc>
          <w:tcPr>
            <w:tcW w:w="1525" w:type="dxa"/>
          </w:tcPr>
          <w:p>
            <w:pPr>
              <w:pStyle w:val="9"/>
              <w:spacing w:before="2"/>
              <w:jc w:val="left"/>
              <w:rPr>
                <w:rFonts w:ascii="黑体"/>
                <w:sz w:val="16"/>
              </w:rPr>
            </w:pPr>
          </w:p>
          <w:p>
            <w:pPr>
              <w:pStyle w:val="9"/>
              <w:spacing w:before="0"/>
              <w:ind w:left="106"/>
              <w:jc w:val="left"/>
              <w:rPr>
                <w:rFonts w:ascii="Times New Roman"/>
                <w:sz w:val="18"/>
              </w:rPr>
            </w:pPr>
            <w:r>
              <w:rPr>
                <w:rFonts w:ascii="Times New Roman"/>
                <w:sz w:val="18"/>
              </w:rPr>
              <w:t>GB/T 22105.1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75"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6095" w:type="dxa"/>
          </w:tcPr>
          <w:p>
            <w:pPr>
              <w:pStyle w:val="9"/>
              <w:spacing w:before="41"/>
              <w:ind w:left="108"/>
              <w:jc w:val="left"/>
              <w:rPr>
                <w:sz w:val="18"/>
              </w:rPr>
            </w:pPr>
            <w:r>
              <w:rPr>
                <w:sz w:val="18"/>
              </w:rPr>
              <w:t>土壤质量 总汞的测定 冷原子吸收分光光度法</w:t>
            </w:r>
          </w:p>
        </w:tc>
        <w:tc>
          <w:tcPr>
            <w:tcW w:w="1525" w:type="dxa"/>
          </w:tcPr>
          <w:p>
            <w:pPr>
              <w:pStyle w:val="9"/>
              <w:ind w:left="106"/>
              <w:jc w:val="left"/>
              <w:rPr>
                <w:rFonts w:ascii="Times New Roman"/>
                <w:sz w:val="18"/>
              </w:rPr>
            </w:pPr>
            <w:r>
              <w:rPr>
                <w:rFonts w:ascii="Times New Roman"/>
                <w:sz w:val="18"/>
              </w:rPr>
              <w:t>GB/T 17136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75"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6095" w:type="dxa"/>
          </w:tcPr>
          <w:p>
            <w:pPr>
              <w:pStyle w:val="9"/>
              <w:spacing w:before="41"/>
              <w:ind w:left="108"/>
              <w:jc w:val="left"/>
              <w:rPr>
                <w:sz w:val="18"/>
              </w:rPr>
            </w:pPr>
            <w:r>
              <w:rPr>
                <w:sz w:val="18"/>
              </w:rPr>
              <w:t>土壤和沉积物 总汞的测定 催化热解</w:t>
            </w:r>
            <w:r>
              <w:rPr>
                <w:rFonts w:ascii="Times New Roman" w:eastAsia="Times New Roman"/>
                <w:sz w:val="18"/>
              </w:rPr>
              <w:t>-</w:t>
            </w:r>
            <w:r>
              <w:rPr>
                <w:sz w:val="18"/>
              </w:rPr>
              <w:t>冷原子吸收分光光度法</w:t>
            </w:r>
          </w:p>
        </w:tc>
        <w:tc>
          <w:tcPr>
            <w:tcW w:w="1525" w:type="dxa"/>
          </w:tcPr>
          <w:p>
            <w:pPr>
              <w:pStyle w:val="9"/>
              <w:ind w:left="106"/>
              <w:jc w:val="left"/>
              <w:rPr>
                <w:rFonts w:ascii="Times New Roman"/>
                <w:sz w:val="18"/>
              </w:rPr>
            </w:pPr>
            <w:r>
              <w:rPr>
                <w:rFonts w:ascii="Times New Roman"/>
                <w:sz w:val="18"/>
              </w:rPr>
              <w:t>HJ 923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75" w:type="dxa"/>
            <w:vMerge w:val="restart"/>
          </w:tcPr>
          <w:p>
            <w:pPr>
              <w:pStyle w:val="9"/>
              <w:spacing w:before="0"/>
              <w:jc w:val="left"/>
              <w:rPr>
                <w:rFonts w:ascii="黑体"/>
                <w:sz w:val="20"/>
              </w:rPr>
            </w:pPr>
          </w:p>
          <w:p>
            <w:pPr>
              <w:pStyle w:val="9"/>
              <w:spacing w:before="5"/>
              <w:jc w:val="left"/>
              <w:rPr>
                <w:rFonts w:ascii="黑体"/>
                <w:sz w:val="21"/>
              </w:rPr>
            </w:pPr>
          </w:p>
          <w:p>
            <w:pPr>
              <w:pStyle w:val="9"/>
              <w:spacing w:before="0"/>
              <w:ind w:left="6"/>
              <w:rPr>
                <w:rFonts w:ascii="Times New Roman"/>
                <w:sz w:val="18"/>
              </w:rPr>
            </w:pPr>
            <w:r>
              <w:rPr>
                <w:rFonts w:ascii="Times New Roman"/>
                <w:sz w:val="18"/>
              </w:rPr>
              <w:t>3</w:t>
            </w:r>
          </w:p>
        </w:tc>
        <w:tc>
          <w:tcPr>
            <w:tcW w:w="1276" w:type="dxa"/>
            <w:vMerge w:val="restart"/>
          </w:tcPr>
          <w:p>
            <w:pPr>
              <w:pStyle w:val="9"/>
              <w:spacing w:before="0"/>
              <w:jc w:val="left"/>
              <w:rPr>
                <w:rFonts w:ascii="黑体"/>
                <w:sz w:val="18"/>
              </w:rPr>
            </w:pPr>
          </w:p>
          <w:p>
            <w:pPr>
              <w:pStyle w:val="9"/>
              <w:spacing w:before="6"/>
              <w:jc w:val="left"/>
              <w:rPr>
                <w:rFonts w:ascii="黑体"/>
                <w:sz w:val="22"/>
              </w:rPr>
            </w:pPr>
          </w:p>
          <w:p>
            <w:pPr>
              <w:pStyle w:val="9"/>
              <w:spacing w:before="0"/>
              <w:ind w:left="7"/>
              <w:rPr>
                <w:sz w:val="18"/>
              </w:rPr>
            </w:pPr>
            <w:r>
              <w:rPr>
                <w:sz w:val="18"/>
              </w:rPr>
              <w:t>砷</w:t>
            </w:r>
          </w:p>
        </w:tc>
        <w:tc>
          <w:tcPr>
            <w:tcW w:w="6095" w:type="dxa"/>
          </w:tcPr>
          <w:p>
            <w:pPr>
              <w:pStyle w:val="9"/>
              <w:spacing w:before="41"/>
              <w:ind w:left="108"/>
              <w:jc w:val="left"/>
              <w:rPr>
                <w:sz w:val="18"/>
              </w:rPr>
            </w:pPr>
            <w:r>
              <w:rPr>
                <w:sz w:val="18"/>
              </w:rPr>
              <w:t xml:space="preserve">土壤和沉积物 </w:t>
            </w:r>
            <w:r>
              <w:rPr>
                <w:rFonts w:ascii="Times New Roman" w:eastAsia="Times New Roman"/>
                <w:sz w:val="18"/>
              </w:rPr>
              <w:t xml:space="preserve">12 </w:t>
            </w:r>
            <w:r>
              <w:rPr>
                <w:sz w:val="18"/>
              </w:rPr>
              <w:t>种金属元素的测定 王水提取</w:t>
            </w:r>
            <w:r>
              <w:rPr>
                <w:rFonts w:ascii="Times New Roman" w:eastAsia="Times New Roman"/>
                <w:sz w:val="18"/>
              </w:rPr>
              <w:t>-</w:t>
            </w:r>
            <w:r>
              <w:rPr>
                <w:sz w:val="18"/>
              </w:rPr>
              <w:t>电感耦合等离子体质谱法</w:t>
            </w:r>
          </w:p>
        </w:tc>
        <w:tc>
          <w:tcPr>
            <w:tcW w:w="1525" w:type="dxa"/>
          </w:tcPr>
          <w:p>
            <w:pPr>
              <w:pStyle w:val="9"/>
              <w:spacing w:before="53"/>
              <w:ind w:left="106"/>
              <w:jc w:val="left"/>
              <w:rPr>
                <w:rFonts w:ascii="Times New Roman"/>
                <w:sz w:val="18"/>
              </w:rPr>
            </w:pPr>
            <w:r>
              <w:rPr>
                <w:rFonts w:ascii="Times New Roman"/>
                <w:sz w:val="18"/>
              </w:rPr>
              <w:t>HJ 803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75"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6095" w:type="dxa"/>
          </w:tcPr>
          <w:p>
            <w:pPr>
              <w:pStyle w:val="9"/>
              <w:spacing w:before="40"/>
              <w:ind w:left="108"/>
              <w:jc w:val="left"/>
              <w:rPr>
                <w:sz w:val="18"/>
              </w:rPr>
            </w:pPr>
            <w:r>
              <w:rPr>
                <w:sz w:val="18"/>
              </w:rPr>
              <w:t>土壤和沉积物 汞、砷、硒、铋、锑的测定 微波消解</w:t>
            </w:r>
            <w:r>
              <w:rPr>
                <w:rFonts w:ascii="Times New Roman" w:eastAsia="Times New Roman"/>
                <w:sz w:val="18"/>
              </w:rPr>
              <w:t>/</w:t>
            </w:r>
            <w:r>
              <w:rPr>
                <w:sz w:val="18"/>
              </w:rPr>
              <w:t>原子荧光法</w:t>
            </w:r>
          </w:p>
        </w:tc>
        <w:tc>
          <w:tcPr>
            <w:tcW w:w="1525" w:type="dxa"/>
          </w:tcPr>
          <w:p>
            <w:pPr>
              <w:pStyle w:val="9"/>
              <w:spacing w:before="52"/>
              <w:ind w:left="106"/>
              <w:jc w:val="left"/>
              <w:rPr>
                <w:rFonts w:ascii="Times New Roman"/>
                <w:sz w:val="18"/>
              </w:rPr>
            </w:pPr>
            <w:r>
              <w:rPr>
                <w:rFonts w:ascii="Times New Roman"/>
                <w:sz w:val="18"/>
              </w:rPr>
              <w:t>HJ 680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75"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6095" w:type="dxa"/>
          </w:tcPr>
          <w:p>
            <w:pPr>
              <w:pStyle w:val="9"/>
              <w:spacing w:before="40"/>
              <w:ind w:left="108"/>
              <w:jc w:val="left"/>
              <w:rPr>
                <w:sz w:val="18"/>
              </w:rPr>
            </w:pPr>
            <w:r>
              <w:rPr>
                <w:spacing w:val="-8"/>
                <w:sz w:val="18"/>
              </w:rPr>
              <w:t xml:space="preserve">土壤质量 总汞、总砷、总铅的测定 原子荧光法第 </w:t>
            </w:r>
            <w:r>
              <w:rPr>
                <w:rFonts w:ascii="Times New Roman" w:eastAsia="Times New Roman"/>
                <w:sz w:val="18"/>
              </w:rPr>
              <w:t xml:space="preserve">2 </w:t>
            </w:r>
            <w:r>
              <w:rPr>
                <w:spacing w:val="-5"/>
                <w:sz w:val="18"/>
              </w:rPr>
              <w:t>部分：土壤中总砷的测</w:t>
            </w:r>
          </w:p>
          <w:p>
            <w:pPr>
              <w:pStyle w:val="9"/>
              <w:spacing w:before="81"/>
              <w:ind w:left="108"/>
              <w:jc w:val="left"/>
              <w:rPr>
                <w:sz w:val="18"/>
              </w:rPr>
            </w:pPr>
            <w:r>
              <w:rPr>
                <w:sz w:val="18"/>
              </w:rPr>
              <w:t>定</w:t>
            </w:r>
          </w:p>
        </w:tc>
        <w:tc>
          <w:tcPr>
            <w:tcW w:w="1525" w:type="dxa"/>
          </w:tcPr>
          <w:p>
            <w:pPr>
              <w:pStyle w:val="9"/>
              <w:spacing w:before="3"/>
              <w:jc w:val="left"/>
              <w:rPr>
                <w:rFonts w:ascii="黑体"/>
                <w:sz w:val="16"/>
              </w:rPr>
            </w:pPr>
          </w:p>
          <w:p>
            <w:pPr>
              <w:pStyle w:val="9"/>
              <w:spacing w:before="0"/>
              <w:ind w:left="106"/>
              <w:jc w:val="left"/>
              <w:rPr>
                <w:rFonts w:ascii="Times New Roman"/>
                <w:sz w:val="18"/>
              </w:rPr>
            </w:pPr>
            <w:r>
              <w:rPr>
                <w:rFonts w:ascii="Times New Roman"/>
                <w:sz w:val="18"/>
              </w:rPr>
              <w:t>GB/T 22105.2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75" w:type="dxa"/>
            <w:vMerge w:val="restart"/>
          </w:tcPr>
          <w:p>
            <w:pPr>
              <w:pStyle w:val="9"/>
              <w:spacing w:before="7"/>
              <w:jc w:val="left"/>
              <w:rPr>
                <w:rFonts w:ascii="黑体"/>
                <w:sz w:val="16"/>
              </w:rPr>
            </w:pPr>
          </w:p>
          <w:p>
            <w:pPr>
              <w:pStyle w:val="9"/>
              <w:spacing w:before="0"/>
              <w:ind w:left="6"/>
              <w:rPr>
                <w:rFonts w:ascii="Times New Roman"/>
                <w:sz w:val="18"/>
              </w:rPr>
            </w:pPr>
            <w:r>
              <w:rPr>
                <w:rFonts w:ascii="Times New Roman"/>
                <w:sz w:val="18"/>
              </w:rPr>
              <w:t>4</w:t>
            </w:r>
          </w:p>
        </w:tc>
        <w:tc>
          <w:tcPr>
            <w:tcW w:w="1276" w:type="dxa"/>
            <w:vMerge w:val="restart"/>
          </w:tcPr>
          <w:p>
            <w:pPr>
              <w:pStyle w:val="9"/>
              <w:spacing w:before="10"/>
              <w:jc w:val="left"/>
              <w:rPr>
                <w:rFonts w:ascii="黑体"/>
                <w:sz w:val="15"/>
              </w:rPr>
            </w:pPr>
          </w:p>
          <w:p>
            <w:pPr>
              <w:pStyle w:val="9"/>
              <w:spacing w:before="1"/>
              <w:ind w:left="7"/>
              <w:rPr>
                <w:sz w:val="18"/>
              </w:rPr>
            </w:pPr>
            <w:r>
              <w:rPr>
                <w:sz w:val="18"/>
              </w:rPr>
              <w:t>铅</w:t>
            </w:r>
          </w:p>
        </w:tc>
        <w:tc>
          <w:tcPr>
            <w:tcW w:w="6095" w:type="dxa"/>
          </w:tcPr>
          <w:p>
            <w:pPr>
              <w:pStyle w:val="9"/>
              <w:spacing w:before="42"/>
              <w:ind w:left="108"/>
              <w:jc w:val="left"/>
              <w:rPr>
                <w:sz w:val="18"/>
              </w:rPr>
            </w:pPr>
            <w:r>
              <w:rPr>
                <w:sz w:val="18"/>
              </w:rPr>
              <w:t>土壤质量 铅、镉的测定 石墨炉原子吸收分光光度法</w:t>
            </w:r>
          </w:p>
        </w:tc>
        <w:tc>
          <w:tcPr>
            <w:tcW w:w="1525" w:type="dxa"/>
          </w:tcPr>
          <w:p>
            <w:pPr>
              <w:pStyle w:val="9"/>
              <w:ind w:left="106"/>
              <w:jc w:val="left"/>
              <w:rPr>
                <w:rFonts w:ascii="Times New Roman"/>
                <w:sz w:val="18"/>
              </w:rPr>
            </w:pPr>
            <w:r>
              <w:rPr>
                <w:rFonts w:ascii="Times New Roman"/>
                <w:sz w:val="18"/>
              </w:rPr>
              <w:t>GB/T 17141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75"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6095" w:type="dxa"/>
          </w:tcPr>
          <w:p>
            <w:pPr>
              <w:pStyle w:val="9"/>
              <w:spacing w:before="41"/>
              <w:ind w:left="108"/>
              <w:jc w:val="left"/>
              <w:rPr>
                <w:sz w:val="18"/>
              </w:rPr>
            </w:pPr>
            <w:r>
              <w:rPr>
                <w:sz w:val="18"/>
              </w:rPr>
              <w:t>土壤和沉积物 无机元素的测定 波长色散</w:t>
            </w:r>
            <w:r>
              <w:rPr>
                <w:rFonts w:ascii="Times New Roman" w:eastAsia="Times New Roman"/>
                <w:sz w:val="18"/>
              </w:rPr>
              <w:t xml:space="preserve">X </w:t>
            </w:r>
            <w:r>
              <w:rPr>
                <w:sz w:val="18"/>
              </w:rPr>
              <w:t>射线荧光光谱法</w:t>
            </w:r>
          </w:p>
        </w:tc>
        <w:tc>
          <w:tcPr>
            <w:tcW w:w="1525" w:type="dxa"/>
          </w:tcPr>
          <w:p>
            <w:pPr>
              <w:pStyle w:val="9"/>
              <w:ind w:left="106"/>
              <w:jc w:val="left"/>
              <w:rPr>
                <w:rFonts w:ascii="Times New Roman"/>
                <w:sz w:val="18"/>
              </w:rPr>
            </w:pPr>
            <w:r>
              <w:rPr>
                <w:rFonts w:ascii="Times New Roman"/>
                <w:sz w:val="18"/>
              </w:rPr>
              <w:t>HJ 780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75" w:type="dxa"/>
            <w:vMerge w:val="restart"/>
          </w:tcPr>
          <w:p>
            <w:pPr>
              <w:pStyle w:val="9"/>
              <w:spacing w:before="9"/>
              <w:jc w:val="left"/>
              <w:rPr>
                <w:rFonts w:ascii="黑体"/>
                <w:sz w:val="16"/>
              </w:rPr>
            </w:pPr>
          </w:p>
          <w:p>
            <w:pPr>
              <w:pStyle w:val="9"/>
              <w:spacing w:before="0"/>
              <w:ind w:left="6"/>
              <w:rPr>
                <w:rFonts w:ascii="Times New Roman"/>
                <w:sz w:val="18"/>
              </w:rPr>
            </w:pPr>
            <w:r>
              <w:rPr>
                <w:rFonts w:ascii="Times New Roman"/>
                <w:sz w:val="18"/>
              </w:rPr>
              <w:t>5</w:t>
            </w:r>
          </w:p>
        </w:tc>
        <w:tc>
          <w:tcPr>
            <w:tcW w:w="1276" w:type="dxa"/>
            <w:vMerge w:val="restart"/>
          </w:tcPr>
          <w:p>
            <w:pPr>
              <w:pStyle w:val="9"/>
              <w:spacing w:before="10"/>
              <w:jc w:val="left"/>
              <w:rPr>
                <w:rFonts w:ascii="黑体"/>
                <w:sz w:val="15"/>
              </w:rPr>
            </w:pPr>
          </w:p>
          <w:p>
            <w:pPr>
              <w:pStyle w:val="9"/>
              <w:spacing w:before="0"/>
              <w:ind w:left="7"/>
              <w:rPr>
                <w:sz w:val="18"/>
              </w:rPr>
            </w:pPr>
            <w:r>
              <w:rPr>
                <w:sz w:val="18"/>
              </w:rPr>
              <w:t>铬</w:t>
            </w:r>
          </w:p>
        </w:tc>
        <w:tc>
          <w:tcPr>
            <w:tcW w:w="6095" w:type="dxa"/>
          </w:tcPr>
          <w:p>
            <w:pPr>
              <w:pStyle w:val="9"/>
              <w:spacing w:before="41"/>
              <w:ind w:left="108"/>
              <w:jc w:val="left"/>
              <w:rPr>
                <w:sz w:val="18"/>
              </w:rPr>
            </w:pPr>
            <w:r>
              <w:rPr>
                <w:sz w:val="18"/>
              </w:rPr>
              <w:t>土壤 总铬的测定 火焰原子吸收分光光度法</w:t>
            </w:r>
          </w:p>
        </w:tc>
        <w:tc>
          <w:tcPr>
            <w:tcW w:w="1525" w:type="dxa"/>
          </w:tcPr>
          <w:p>
            <w:pPr>
              <w:pStyle w:val="9"/>
              <w:ind w:left="106"/>
              <w:jc w:val="left"/>
              <w:rPr>
                <w:rFonts w:ascii="Times New Roman"/>
                <w:sz w:val="18"/>
              </w:rPr>
            </w:pPr>
            <w:r>
              <w:rPr>
                <w:rFonts w:ascii="Times New Roman"/>
                <w:sz w:val="18"/>
              </w:rPr>
              <w:t>HJ 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75"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6095" w:type="dxa"/>
          </w:tcPr>
          <w:p>
            <w:pPr>
              <w:pStyle w:val="9"/>
              <w:spacing w:before="41"/>
              <w:ind w:left="108"/>
              <w:jc w:val="left"/>
              <w:rPr>
                <w:sz w:val="18"/>
              </w:rPr>
            </w:pPr>
            <w:r>
              <w:rPr>
                <w:sz w:val="18"/>
              </w:rPr>
              <w:t>土壤和沉积物 无机元素的测定 波长色散</w:t>
            </w:r>
            <w:r>
              <w:rPr>
                <w:rFonts w:ascii="Times New Roman" w:eastAsia="Times New Roman"/>
                <w:sz w:val="18"/>
              </w:rPr>
              <w:t xml:space="preserve">X </w:t>
            </w:r>
            <w:r>
              <w:rPr>
                <w:sz w:val="18"/>
              </w:rPr>
              <w:t>射线荧光光谱法</w:t>
            </w:r>
          </w:p>
        </w:tc>
        <w:tc>
          <w:tcPr>
            <w:tcW w:w="1525" w:type="dxa"/>
          </w:tcPr>
          <w:p>
            <w:pPr>
              <w:pStyle w:val="9"/>
              <w:spacing w:before="53"/>
              <w:ind w:left="106"/>
              <w:jc w:val="left"/>
              <w:rPr>
                <w:rFonts w:ascii="Times New Roman"/>
                <w:sz w:val="18"/>
              </w:rPr>
            </w:pPr>
            <w:r>
              <w:rPr>
                <w:rFonts w:ascii="Times New Roman"/>
                <w:sz w:val="18"/>
              </w:rPr>
              <w:t>HJ 780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75" w:type="dxa"/>
            <w:vMerge w:val="restart"/>
          </w:tcPr>
          <w:p>
            <w:pPr>
              <w:pStyle w:val="9"/>
              <w:spacing w:before="8"/>
              <w:jc w:val="left"/>
              <w:rPr>
                <w:rFonts w:ascii="黑体"/>
                <w:sz w:val="16"/>
              </w:rPr>
            </w:pPr>
          </w:p>
          <w:p>
            <w:pPr>
              <w:pStyle w:val="9"/>
              <w:spacing w:before="0"/>
              <w:ind w:left="6"/>
              <w:rPr>
                <w:rFonts w:ascii="Times New Roman"/>
                <w:sz w:val="18"/>
              </w:rPr>
            </w:pPr>
            <w:r>
              <w:rPr>
                <w:rFonts w:ascii="Times New Roman"/>
                <w:sz w:val="18"/>
              </w:rPr>
              <w:t>6</w:t>
            </w:r>
          </w:p>
        </w:tc>
        <w:tc>
          <w:tcPr>
            <w:tcW w:w="1276" w:type="dxa"/>
            <w:vMerge w:val="restart"/>
          </w:tcPr>
          <w:p>
            <w:pPr>
              <w:pStyle w:val="9"/>
              <w:spacing w:before="9"/>
              <w:jc w:val="left"/>
              <w:rPr>
                <w:rFonts w:ascii="黑体"/>
                <w:sz w:val="15"/>
              </w:rPr>
            </w:pPr>
          </w:p>
          <w:p>
            <w:pPr>
              <w:pStyle w:val="9"/>
              <w:spacing w:before="0"/>
              <w:ind w:left="7"/>
              <w:rPr>
                <w:sz w:val="18"/>
              </w:rPr>
            </w:pPr>
            <w:r>
              <w:rPr>
                <w:sz w:val="18"/>
              </w:rPr>
              <w:t>铜</w:t>
            </w:r>
          </w:p>
        </w:tc>
        <w:tc>
          <w:tcPr>
            <w:tcW w:w="6095" w:type="dxa"/>
          </w:tcPr>
          <w:p>
            <w:pPr>
              <w:pStyle w:val="9"/>
              <w:spacing w:before="40"/>
              <w:ind w:left="108"/>
              <w:jc w:val="left"/>
              <w:rPr>
                <w:sz w:val="18"/>
              </w:rPr>
            </w:pPr>
            <w:r>
              <w:rPr>
                <w:sz w:val="18"/>
              </w:rPr>
              <w:t>土壤质量 铜、锌的测定 火焰原子吸收分光光度法</w:t>
            </w:r>
          </w:p>
        </w:tc>
        <w:tc>
          <w:tcPr>
            <w:tcW w:w="1525" w:type="dxa"/>
          </w:tcPr>
          <w:p>
            <w:pPr>
              <w:pStyle w:val="9"/>
              <w:spacing w:before="52"/>
              <w:ind w:left="106"/>
              <w:jc w:val="left"/>
              <w:rPr>
                <w:rFonts w:ascii="Times New Roman"/>
                <w:sz w:val="18"/>
              </w:rPr>
            </w:pPr>
            <w:r>
              <w:rPr>
                <w:rFonts w:ascii="Times New Roman"/>
                <w:sz w:val="18"/>
              </w:rPr>
              <w:t>GB/T 17138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75"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6095" w:type="dxa"/>
          </w:tcPr>
          <w:p>
            <w:pPr>
              <w:pStyle w:val="9"/>
              <w:spacing w:before="40"/>
              <w:ind w:left="108"/>
              <w:jc w:val="left"/>
              <w:rPr>
                <w:sz w:val="18"/>
              </w:rPr>
            </w:pPr>
            <w:r>
              <w:rPr>
                <w:sz w:val="18"/>
              </w:rPr>
              <w:t>土壤和沉积物 无机元素的测定 波长色散</w:t>
            </w:r>
            <w:r>
              <w:rPr>
                <w:rFonts w:ascii="Times New Roman" w:eastAsia="Times New Roman"/>
                <w:sz w:val="18"/>
              </w:rPr>
              <w:t xml:space="preserve">X </w:t>
            </w:r>
            <w:r>
              <w:rPr>
                <w:sz w:val="18"/>
              </w:rPr>
              <w:t>射线荧光光谱法</w:t>
            </w:r>
          </w:p>
        </w:tc>
        <w:tc>
          <w:tcPr>
            <w:tcW w:w="1525" w:type="dxa"/>
          </w:tcPr>
          <w:p>
            <w:pPr>
              <w:pStyle w:val="9"/>
              <w:spacing w:before="52"/>
              <w:ind w:left="106"/>
              <w:jc w:val="left"/>
              <w:rPr>
                <w:rFonts w:ascii="Times New Roman"/>
                <w:sz w:val="18"/>
              </w:rPr>
            </w:pPr>
            <w:r>
              <w:rPr>
                <w:rFonts w:ascii="Times New Roman"/>
                <w:sz w:val="18"/>
              </w:rPr>
              <w:t>HJ 780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75" w:type="dxa"/>
            <w:vMerge w:val="restart"/>
          </w:tcPr>
          <w:p>
            <w:pPr>
              <w:pStyle w:val="9"/>
              <w:spacing w:before="7"/>
              <w:jc w:val="left"/>
              <w:rPr>
                <w:rFonts w:ascii="黑体"/>
                <w:sz w:val="16"/>
              </w:rPr>
            </w:pPr>
          </w:p>
          <w:p>
            <w:pPr>
              <w:pStyle w:val="9"/>
              <w:spacing w:before="0"/>
              <w:ind w:left="6"/>
              <w:rPr>
                <w:rFonts w:ascii="Times New Roman"/>
                <w:sz w:val="18"/>
              </w:rPr>
            </w:pPr>
            <w:r>
              <w:rPr>
                <w:rFonts w:ascii="Times New Roman"/>
                <w:sz w:val="18"/>
              </w:rPr>
              <w:t>7</w:t>
            </w:r>
          </w:p>
        </w:tc>
        <w:tc>
          <w:tcPr>
            <w:tcW w:w="1276" w:type="dxa"/>
            <w:vMerge w:val="restart"/>
          </w:tcPr>
          <w:p>
            <w:pPr>
              <w:pStyle w:val="9"/>
              <w:spacing w:before="10"/>
              <w:jc w:val="left"/>
              <w:rPr>
                <w:rFonts w:ascii="黑体"/>
                <w:sz w:val="15"/>
              </w:rPr>
            </w:pPr>
          </w:p>
          <w:p>
            <w:pPr>
              <w:pStyle w:val="9"/>
              <w:spacing w:before="1"/>
              <w:ind w:left="7"/>
              <w:rPr>
                <w:sz w:val="18"/>
              </w:rPr>
            </w:pPr>
            <w:r>
              <w:rPr>
                <w:sz w:val="18"/>
              </w:rPr>
              <w:t>镍</w:t>
            </w:r>
          </w:p>
        </w:tc>
        <w:tc>
          <w:tcPr>
            <w:tcW w:w="6095" w:type="dxa"/>
          </w:tcPr>
          <w:p>
            <w:pPr>
              <w:pStyle w:val="9"/>
              <w:spacing w:before="42"/>
              <w:ind w:left="108"/>
              <w:jc w:val="left"/>
              <w:rPr>
                <w:sz w:val="18"/>
              </w:rPr>
            </w:pPr>
            <w:r>
              <w:rPr>
                <w:sz w:val="18"/>
              </w:rPr>
              <w:t>土壤质量 镍的测定 火焰原子吸收分光光度法</w:t>
            </w:r>
          </w:p>
        </w:tc>
        <w:tc>
          <w:tcPr>
            <w:tcW w:w="1525" w:type="dxa"/>
          </w:tcPr>
          <w:p>
            <w:pPr>
              <w:pStyle w:val="9"/>
              <w:ind w:left="106"/>
              <w:jc w:val="left"/>
              <w:rPr>
                <w:rFonts w:ascii="Times New Roman"/>
                <w:sz w:val="18"/>
              </w:rPr>
            </w:pPr>
            <w:r>
              <w:rPr>
                <w:rFonts w:ascii="Times New Roman"/>
                <w:sz w:val="18"/>
              </w:rPr>
              <w:t>GB/T 17139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75"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6095" w:type="dxa"/>
          </w:tcPr>
          <w:p>
            <w:pPr>
              <w:pStyle w:val="9"/>
              <w:spacing w:before="41"/>
              <w:ind w:left="108"/>
              <w:jc w:val="left"/>
              <w:rPr>
                <w:sz w:val="18"/>
              </w:rPr>
            </w:pPr>
            <w:r>
              <w:rPr>
                <w:sz w:val="18"/>
              </w:rPr>
              <w:t>土壤和沉积物 无机元素的测定 波长色散</w:t>
            </w:r>
            <w:r>
              <w:rPr>
                <w:rFonts w:ascii="Times New Roman" w:eastAsia="Times New Roman"/>
                <w:sz w:val="18"/>
              </w:rPr>
              <w:t xml:space="preserve">X </w:t>
            </w:r>
            <w:r>
              <w:rPr>
                <w:sz w:val="18"/>
              </w:rPr>
              <w:t>射线荧光光谱法</w:t>
            </w:r>
          </w:p>
        </w:tc>
        <w:tc>
          <w:tcPr>
            <w:tcW w:w="1525" w:type="dxa"/>
          </w:tcPr>
          <w:p>
            <w:pPr>
              <w:pStyle w:val="9"/>
              <w:ind w:left="106"/>
              <w:jc w:val="left"/>
              <w:rPr>
                <w:rFonts w:ascii="Times New Roman"/>
                <w:sz w:val="18"/>
              </w:rPr>
            </w:pPr>
            <w:r>
              <w:rPr>
                <w:rFonts w:ascii="Times New Roman"/>
                <w:sz w:val="18"/>
              </w:rPr>
              <w:t>HJ 780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75" w:type="dxa"/>
            <w:vMerge w:val="restart"/>
          </w:tcPr>
          <w:p>
            <w:pPr>
              <w:pStyle w:val="9"/>
              <w:spacing w:before="9"/>
              <w:jc w:val="left"/>
              <w:rPr>
                <w:rFonts w:ascii="黑体"/>
                <w:sz w:val="16"/>
              </w:rPr>
            </w:pPr>
          </w:p>
          <w:p>
            <w:pPr>
              <w:pStyle w:val="9"/>
              <w:spacing w:before="0"/>
              <w:ind w:left="6"/>
              <w:rPr>
                <w:rFonts w:ascii="Times New Roman"/>
                <w:sz w:val="18"/>
              </w:rPr>
            </w:pPr>
            <w:r>
              <w:rPr>
                <w:rFonts w:ascii="Times New Roman"/>
                <w:sz w:val="18"/>
              </w:rPr>
              <w:t>8</w:t>
            </w:r>
          </w:p>
        </w:tc>
        <w:tc>
          <w:tcPr>
            <w:tcW w:w="1276" w:type="dxa"/>
            <w:vMerge w:val="restart"/>
          </w:tcPr>
          <w:p>
            <w:pPr>
              <w:pStyle w:val="9"/>
              <w:spacing w:before="10"/>
              <w:jc w:val="left"/>
              <w:rPr>
                <w:rFonts w:ascii="黑体"/>
                <w:sz w:val="15"/>
              </w:rPr>
            </w:pPr>
          </w:p>
          <w:p>
            <w:pPr>
              <w:pStyle w:val="9"/>
              <w:spacing w:before="0"/>
              <w:ind w:left="7"/>
              <w:rPr>
                <w:sz w:val="18"/>
              </w:rPr>
            </w:pPr>
            <w:r>
              <w:rPr>
                <w:sz w:val="18"/>
              </w:rPr>
              <w:t>锌</w:t>
            </w:r>
          </w:p>
        </w:tc>
        <w:tc>
          <w:tcPr>
            <w:tcW w:w="6095" w:type="dxa"/>
          </w:tcPr>
          <w:p>
            <w:pPr>
              <w:pStyle w:val="9"/>
              <w:spacing w:before="41"/>
              <w:ind w:left="108"/>
              <w:jc w:val="left"/>
              <w:rPr>
                <w:sz w:val="18"/>
              </w:rPr>
            </w:pPr>
            <w:r>
              <w:rPr>
                <w:sz w:val="18"/>
              </w:rPr>
              <w:t>土壤质量 铜、锌的测定 火焰原子吸收分光光度法</w:t>
            </w:r>
          </w:p>
        </w:tc>
        <w:tc>
          <w:tcPr>
            <w:tcW w:w="1525" w:type="dxa"/>
          </w:tcPr>
          <w:p>
            <w:pPr>
              <w:pStyle w:val="9"/>
              <w:ind w:left="106"/>
              <w:jc w:val="left"/>
              <w:rPr>
                <w:rFonts w:ascii="Times New Roman"/>
                <w:sz w:val="18"/>
              </w:rPr>
            </w:pPr>
            <w:r>
              <w:rPr>
                <w:rFonts w:ascii="Times New Roman"/>
                <w:sz w:val="18"/>
              </w:rPr>
              <w:t>GB/T 17138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75"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6095" w:type="dxa"/>
          </w:tcPr>
          <w:p>
            <w:pPr>
              <w:pStyle w:val="9"/>
              <w:spacing w:before="41"/>
              <w:ind w:left="108"/>
              <w:jc w:val="left"/>
              <w:rPr>
                <w:sz w:val="18"/>
              </w:rPr>
            </w:pPr>
            <w:r>
              <w:rPr>
                <w:sz w:val="18"/>
              </w:rPr>
              <w:t>土壤和沉积物 无机元素的测定 波长色散</w:t>
            </w:r>
            <w:r>
              <w:rPr>
                <w:rFonts w:ascii="Times New Roman" w:eastAsia="Times New Roman"/>
                <w:sz w:val="18"/>
              </w:rPr>
              <w:t xml:space="preserve">X </w:t>
            </w:r>
            <w:r>
              <w:rPr>
                <w:sz w:val="18"/>
              </w:rPr>
              <w:t>射线荧光光谱法</w:t>
            </w:r>
          </w:p>
        </w:tc>
        <w:tc>
          <w:tcPr>
            <w:tcW w:w="1525" w:type="dxa"/>
          </w:tcPr>
          <w:p>
            <w:pPr>
              <w:pStyle w:val="9"/>
              <w:spacing w:before="53"/>
              <w:ind w:left="106"/>
              <w:jc w:val="left"/>
              <w:rPr>
                <w:rFonts w:ascii="Times New Roman"/>
                <w:sz w:val="18"/>
              </w:rPr>
            </w:pPr>
            <w:r>
              <w:rPr>
                <w:rFonts w:ascii="Times New Roman"/>
                <w:sz w:val="18"/>
              </w:rPr>
              <w:t>HJ 780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75" w:type="dxa"/>
            <w:vMerge w:val="restart"/>
          </w:tcPr>
          <w:p>
            <w:pPr>
              <w:pStyle w:val="9"/>
              <w:spacing w:before="2"/>
              <w:jc w:val="left"/>
              <w:rPr>
                <w:rFonts w:ascii="黑体"/>
                <w:sz w:val="29"/>
              </w:rPr>
            </w:pPr>
          </w:p>
          <w:p>
            <w:pPr>
              <w:pStyle w:val="9"/>
              <w:spacing w:before="0"/>
              <w:ind w:left="6"/>
              <w:rPr>
                <w:rFonts w:ascii="Times New Roman"/>
                <w:sz w:val="18"/>
              </w:rPr>
            </w:pPr>
            <w:r>
              <w:rPr>
                <w:rFonts w:ascii="Times New Roman"/>
                <w:sz w:val="18"/>
              </w:rPr>
              <w:t>9</w:t>
            </w:r>
          </w:p>
        </w:tc>
        <w:tc>
          <w:tcPr>
            <w:tcW w:w="1276" w:type="dxa"/>
            <w:vMerge w:val="restart"/>
          </w:tcPr>
          <w:p>
            <w:pPr>
              <w:pStyle w:val="9"/>
              <w:spacing w:before="0"/>
              <w:jc w:val="left"/>
              <w:rPr>
                <w:rFonts w:ascii="黑体"/>
                <w:sz w:val="18"/>
              </w:rPr>
            </w:pPr>
          </w:p>
          <w:p>
            <w:pPr>
              <w:pStyle w:val="9"/>
              <w:spacing w:before="131"/>
              <w:ind w:left="186"/>
              <w:jc w:val="left"/>
              <w:rPr>
                <w:sz w:val="18"/>
              </w:rPr>
            </w:pPr>
            <w:r>
              <w:rPr>
                <w:sz w:val="18"/>
              </w:rPr>
              <w:t>六六六总量</w:t>
            </w:r>
          </w:p>
        </w:tc>
        <w:tc>
          <w:tcPr>
            <w:tcW w:w="6095" w:type="dxa"/>
          </w:tcPr>
          <w:p>
            <w:pPr>
              <w:pStyle w:val="9"/>
              <w:spacing w:before="40"/>
              <w:ind w:left="108"/>
              <w:jc w:val="left"/>
              <w:rPr>
                <w:sz w:val="18"/>
              </w:rPr>
            </w:pPr>
            <w:r>
              <w:rPr>
                <w:sz w:val="18"/>
              </w:rPr>
              <w:t>土壤和沉积物 有机氯农药的测定 气相色谱</w:t>
            </w:r>
            <w:r>
              <w:rPr>
                <w:rFonts w:ascii="Times New Roman" w:eastAsia="Times New Roman"/>
                <w:sz w:val="18"/>
              </w:rPr>
              <w:t>-</w:t>
            </w:r>
            <w:r>
              <w:rPr>
                <w:sz w:val="18"/>
              </w:rPr>
              <w:t>质谱法</w:t>
            </w:r>
          </w:p>
        </w:tc>
        <w:tc>
          <w:tcPr>
            <w:tcW w:w="1525" w:type="dxa"/>
          </w:tcPr>
          <w:p>
            <w:pPr>
              <w:pStyle w:val="9"/>
              <w:spacing w:before="52"/>
              <w:ind w:left="106"/>
              <w:jc w:val="left"/>
              <w:rPr>
                <w:rFonts w:ascii="Times New Roman"/>
                <w:sz w:val="18"/>
              </w:rPr>
            </w:pPr>
            <w:r>
              <w:rPr>
                <w:rFonts w:ascii="Times New Roman"/>
                <w:sz w:val="18"/>
              </w:rPr>
              <w:t>HJ 835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75"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6095" w:type="dxa"/>
          </w:tcPr>
          <w:p>
            <w:pPr>
              <w:pStyle w:val="9"/>
              <w:spacing w:before="40"/>
              <w:ind w:left="108"/>
              <w:jc w:val="left"/>
              <w:rPr>
                <w:sz w:val="18"/>
              </w:rPr>
            </w:pPr>
            <w:r>
              <w:rPr>
                <w:sz w:val="18"/>
              </w:rPr>
              <w:t>土壤和沉积物 有机氯农药的测定 气相色谱法</w:t>
            </w:r>
          </w:p>
        </w:tc>
        <w:tc>
          <w:tcPr>
            <w:tcW w:w="1525" w:type="dxa"/>
          </w:tcPr>
          <w:p>
            <w:pPr>
              <w:pStyle w:val="9"/>
              <w:spacing w:before="52"/>
              <w:ind w:left="106"/>
              <w:jc w:val="left"/>
              <w:rPr>
                <w:rFonts w:ascii="Times New Roman"/>
                <w:sz w:val="18"/>
              </w:rPr>
            </w:pPr>
            <w:r>
              <w:rPr>
                <w:rFonts w:ascii="Times New Roman"/>
                <w:sz w:val="18"/>
              </w:rPr>
              <w:t>HJ 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75"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6095" w:type="dxa"/>
          </w:tcPr>
          <w:p>
            <w:pPr>
              <w:pStyle w:val="9"/>
              <w:spacing w:before="42"/>
              <w:ind w:left="108"/>
              <w:jc w:val="left"/>
              <w:rPr>
                <w:sz w:val="18"/>
              </w:rPr>
            </w:pPr>
            <w:r>
              <w:rPr>
                <w:sz w:val="18"/>
              </w:rPr>
              <w:t>土壤质量 六六六和滴滴涕的测定 气相色谱法</w:t>
            </w:r>
          </w:p>
        </w:tc>
        <w:tc>
          <w:tcPr>
            <w:tcW w:w="1525" w:type="dxa"/>
          </w:tcPr>
          <w:p>
            <w:pPr>
              <w:pStyle w:val="9"/>
              <w:ind w:left="106"/>
              <w:jc w:val="left"/>
              <w:rPr>
                <w:rFonts w:ascii="Times New Roman"/>
                <w:sz w:val="18"/>
              </w:rPr>
            </w:pPr>
            <w:r>
              <w:rPr>
                <w:rFonts w:ascii="Times New Roman"/>
                <w:sz w:val="18"/>
              </w:rPr>
              <w:t>GB/T 14550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75" w:type="dxa"/>
            <w:vMerge w:val="restart"/>
          </w:tcPr>
          <w:p>
            <w:pPr>
              <w:pStyle w:val="9"/>
              <w:spacing w:before="1"/>
              <w:jc w:val="left"/>
              <w:rPr>
                <w:rFonts w:ascii="黑体"/>
                <w:sz w:val="29"/>
              </w:rPr>
            </w:pPr>
          </w:p>
          <w:p>
            <w:pPr>
              <w:pStyle w:val="9"/>
              <w:spacing w:before="0"/>
              <w:ind w:left="136" w:right="126"/>
              <w:rPr>
                <w:rFonts w:ascii="Times New Roman"/>
                <w:sz w:val="18"/>
              </w:rPr>
            </w:pPr>
            <w:r>
              <w:rPr>
                <w:rFonts w:ascii="Times New Roman"/>
                <w:sz w:val="18"/>
              </w:rPr>
              <w:t>10</w:t>
            </w:r>
          </w:p>
        </w:tc>
        <w:tc>
          <w:tcPr>
            <w:tcW w:w="1276" w:type="dxa"/>
            <w:vMerge w:val="restart"/>
          </w:tcPr>
          <w:p>
            <w:pPr>
              <w:pStyle w:val="9"/>
              <w:spacing w:before="0"/>
              <w:jc w:val="left"/>
              <w:rPr>
                <w:rFonts w:ascii="黑体"/>
                <w:sz w:val="18"/>
              </w:rPr>
            </w:pPr>
          </w:p>
          <w:p>
            <w:pPr>
              <w:pStyle w:val="9"/>
              <w:spacing w:before="132"/>
              <w:ind w:left="186"/>
              <w:jc w:val="left"/>
              <w:rPr>
                <w:sz w:val="18"/>
              </w:rPr>
            </w:pPr>
            <w:r>
              <w:rPr>
                <w:sz w:val="18"/>
              </w:rPr>
              <w:t>滴滴涕总量</w:t>
            </w:r>
          </w:p>
        </w:tc>
        <w:tc>
          <w:tcPr>
            <w:tcW w:w="6095" w:type="dxa"/>
          </w:tcPr>
          <w:p>
            <w:pPr>
              <w:pStyle w:val="9"/>
              <w:spacing w:before="42"/>
              <w:ind w:left="108"/>
              <w:jc w:val="left"/>
              <w:rPr>
                <w:sz w:val="18"/>
              </w:rPr>
            </w:pPr>
            <w:r>
              <w:rPr>
                <w:sz w:val="18"/>
              </w:rPr>
              <w:t>土壤和沉积物 有机氯农药的测定 气相色谱</w:t>
            </w:r>
            <w:r>
              <w:rPr>
                <w:rFonts w:ascii="Times New Roman" w:eastAsia="Times New Roman"/>
                <w:sz w:val="18"/>
              </w:rPr>
              <w:t>-</w:t>
            </w:r>
            <w:r>
              <w:rPr>
                <w:sz w:val="18"/>
              </w:rPr>
              <w:t>质谱法</w:t>
            </w:r>
          </w:p>
        </w:tc>
        <w:tc>
          <w:tcPr>
            <w:tcW w:w="1525" w:type="dxa"/>
          </w:tcPr>
          <w:p>
            <w:pPr>
              <w:pStyle w:val="9"/>
              <w:ind w:left="106"/>
              <w:jc w:val="left"/>
              <w:rPr>
                <w:rFonts w:ascii="Times New Roman"/>
                <w:sz w:val="18"/>
              </w:rPr>
            </w:pPr>
            <w:r>
              <w:rPr>
                <w:rFonts w:ascii="Times New Roman"/>
                <w:sz w:val="18"/>
              </w:rPr>
              <w:t>HJ 835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75"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6095" w:type="dxa"/>
          </w:tcPr>
          <w:p>
            <w:pPr>
              <w:pStyle w:val="9"/>
              <w:spacing w:before="41"/>
              <w:ind w:left="108"/>
              <w:jc w:val="left"/>
              <w:rPr>
                <w:sz w:val="18"/>
              </w:rPr>
            </w:pPr>
            <w:r>
              <w:rPr>
                <w:sz w:val="18"/>
              </w:rPr>
              <w:t>土壤和沉积物 有机氯农药的测定 气相色谱法</w:t>
            </w:r>
          </w:p>
        </w:tc>
        <w:tc>
          <w:tcPr>
            <w:tcW w:w="1525" w:type="dxa"/>
          </w:tcPr>
          <w:p>
            <w:pPr>
              <w:pStyle w:val="9"/>
              <w:ind w:left="106"/>
              <w:jc w:val="left"/>
              <w:rPr>
                <w:rFonts w:ascii="Times New Roman"/>
                <w:sz w:val="18"/>
              </w:rPr>
            </w:pPr>
            <w:r>
              <w:rPr>
                <w:rFonts w:ascii="Times New Roman"/>
                <w:sz w:val="18"/>
              </w:rPr>
              <w:t>HJ 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75"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6095" w:type="dxa"/>
          </w:tcPr>
          <w:p>
            <w:pPr>
              <w:pStyle w:val="9"/>
              <w:spacing w:before="41"/>
              <w:ind w:left="108"/>
              <w:jc w:val="left"/>
              <w:rPr>
                <w:sz w:val="18"/>
              </w:rPr>
            </w:pPr>
            <w:r>
              <w:rPr>
                <w:sz w:val="18"/>
              </w:rPr>
              <w:t>土壤质量 六六六和滴滴涕的测定 气相色谱法</w:t>
            </w:r>
          </w:p>
        </w:tc>
        <w:tc>
          <w:tcPr>
            <w:tcW w:w="1525" w:type="dxa"/>
          </w:tcPr>
          <w:p>
            <w:pPr>
              <w:pStyle w:val="9"/>
              <w:spacing w:before="53"/>
              <w:ind w:left="106"/>
              <w:jc w:val="left"/>
              <w:rPr>
                <w:rFonts w:ascii="Times New Roman"/>
                <w:sz w:val="18"/>
              </w:rPr>
            </w:pPr>
            <w:r>
              <w:rPr>
                <w:rFonts w:ascii="Times New Roman"/>
                <w:sz w:val="18"/>
              </w:rPr>
              <w:t>GB/T 14550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75" w:type="dxa"/>
            <w:vMerge w:val="restart"/>
          </w:tcPr>
          <w:p>
            <w:pPr>
              <w:pStyle w:val="9"/>
              <w:spacing w:before="2"/>
              <w:jc w:val="left"/>
              <w:rPr>
                <w:rFonts w:ascii="黑体"/>
                <w:sz w:val="29"/>
              </w:rPr>
            </w:pPr>
          </w:p>
          <w:p>
            <w:pPr>
              <w:pStyle w:val="9"/>
              <w:spacing w:before="0"/>
              <w:ind w:left="136" w:right="126"/>
              <w:rPr>
                <w:rFonts w:ascii="Times New Roman"/>
                <w:sz w:val="18"/>
              </w:rPr>
            </w:pPr>
            <w:r>
              <w:rPr>
                <w:rFonts w:ascii="Times New Roman"/>
                <w:sz w:val="18"/>
              </w:rPr>
              <w:t>11</w:t>
            </w:r>
          </w:p>
        </w:tc>
        <w:tc>
          <w:tcPr>
            <w:tcW w:w="1276" w:type="dxa"/>
            <w:vMerge w:val="restart"/>
          </w:tcPr>
          <w:p>
            <w:pPr>
              <w:pStyle w:val="9"/>
              <w:spacing w:before="3"/>
              <w:jc w:val="left"/>
              <w:rPr>
                <w:rFonts w:ascii="黑体"/>
                <w:sz w:val="28"/>
              </w:rPr>
            </w:pPr>
          </w:p>
          <w:p>
            <w:pPr>
              <w:pStyle w:val="9"/>
              <w:spacing w:before="0"/>
              <w:ind w:left="268"/>
              <w:jc w:val="left"/>
              <w:rPr>
                <w:sz w:val="18"/>
              </w:rPr>
            </w:pPr>
            <w:r>
              <w:rPr>
                <w:sz w:val="18"/>
              </w:rPr>
              <w:t>苯并</w:t>
            </w:r>
            <w:r>
              <w:rPr>
                <w:rFonts w:ascii="Times New Roman" w:eastAsia="Times New Roman"/>
                <w:sz w:val="18"/>
              </w:rPr>
              <w:t>[a]</w:t>
            </w:r>
            <w:r>
              <w:rPr>
                <w:sz w:val="18"/>
              </w:rPr>
              <w:t>芘</w:t>
            </w:r>
          </w:p>
        </w:tc>
        <w:tc>
          <w:tcPr>
            <w:tcW w:w="6095" w:type="dxa"/>
          </w:tcPr>
          <w:p>
            <w:pPr>
              <w:pStyle w:val="9"/>
              <w:spacing w:before="40"/>
              <w:ind w:left="108"/>
              <w:jc w:val="left"/>
              <w:rPr>
                <w:sz w:val="18"/>
              </w:rPr>
            </w:pPr>
            <w:r>
              <w:rPr>
                <w:sz w:val="18"/>
              </w:rPr>
              <w:t>土壤和沉积物 多环芳烃的测定 气相色谱</w:t>
            </w:r>
            <w:r>
              <w:rPr>
                <w:rFonts w:ascii="Times New Roman" w:eastAsia="Times New Roman"/>
                <w:sz w:val="18"/>
              </w:rPr>
              <w:t>-</w:t>
            </w:r>
            <w:r>
              <w:rPr>
                <w:sz w:val="18"/>
              </w:rPr>
              <w:t>质谱法</w:t>
            </w:r>
          </w:p>
        </w:tc>
        <w:tc>
          <w:tcPr>
            <w:tcW w:w="1525" w:type="dxa"/>
          </w:tcPr>
          <w:p>
            <w:pPr>
              <w:pStyle w:val="9"/>
              <w:spacing w:before="52"/>
              <w:ind w:left="106"/>
              <w:jc w:val="left"/>
              <w:rPr>
                <w:rFonts w:ascii="Times New Roman"/>
                <w:sz w:val="18"/>
              </w:rPr>
            </w:pPr>
            <w:r>
              <w:rPr>
                <w:rFonts w:ascii="Times New Roman"/>
                <w:sz w:val="18"/>
              </w:rPr>
              <w:t>HJ 805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75"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6095" w:type="dxa"/>
          </w:tcPr>
          <w:p>
            <w:pPr>
              <w:pStyle w:val="9"/>
              <w:spacing w:before="40"/>
              <w:ind w:left="108"/>
              <w:jc w:val="left"/>
              <w:rPr>
                <w:sz w:val="18"/>
              </w:rPr>
            </w:pPr>
            <w:r>
              <w:rPr>
                <w:sz w:val="18"/>
              </w:rPr>
              <w:t>土壤和沉积物 多环芳烃的测定 高效液相色谱法</w:t>
            </w:r>
          </w:p>
        </w:tc>
        <w:tc>
          <w:tcPr>
            <w:tcW w:w="1525" w:type="dxa"/>
          </w:tcPr>
          <w:p>
            <w:pPr>
              <w:pStyle w:val="9"/>
              <w:spacing w:before="52"/>
              <w:ind w:left="106"/>
              <w:jc w:val="left"/>
              <w:rPr>
                <w:rFonts w:ascii="Times New Roman"/>
                <w:sz w:val="18"/>
              </w:rPr>
            </w:pPr>
            <w:r>
              <w:rPr>
                <w:rFonts w:ascii="Times New Roman"/>
                <w:sz w:val="18"/>
              </w:rPr>
              <w:t>HJ 784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75"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6095" w:type="dxa"/>
          </w:tcPr>
          <w:p>
            <w:pPr>
              <w:pStyle w:val="9"/>
              <w:spacing w:before="42"/>
              <w:ind w:left="108"/>
              <w:jc w:val="left"/>
              <w:rPr>
                <w:sz w:val="18"/>
              </w:rPr>
            </w:pPr>
            <w:r>
              <w:rPr>
                <w:sz w:val="18"/>
              </w:rPr>
              <w:t>土壤和沉积物 半挥发性有机物的测定 气相色谱</w:t>
            </w:r>
            <w:r>
              <w:rPr>
                <w:rFonts w:ascii="Times New Roman" w:eastAsia="Times New Roman"/>
                <w:sz w:val="18"/>
              </w:rPr>
              <w:t>-</w:t>
            </w:r>
            <w:r>
              <w:rPr>
                <w:sz w:val="18"/>
              </w:rPr>
              <w:t>质谱法</w:t>
            </w:r>
          </w:p>
        </w:tc>
        <w:tc>
          <w:tcPr>
            <w:tcW w:w="1525" w:type="dxa"/>
          </w:tcPr>
          <w:p>
            <w:pPr>
              <w:pStyle w:val="9"/>
              <w:ind w:left="106"/>
              <w:jc w:val="left"/>
              <w:rPr>
                <w:rFonts w:ascii="Times New Roman"/>
                <w:sz w:val="18"/>
              </w:rPr>
            </w:pPr>
            <w:r>
              <w:rPr>
                <w:rFonts w:ascii="Times New Roman"/>
                <w:sz w:val="18"/>
              </w:rPr>
              <w:t>HJ 834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75" w:type="dxa"/>
          </w:tcPr>
          <w:p>
            <w:pPr>
              <w:pStyle w:val="9"/>
              <w:ind w:left="136" w:right="126"/>
              <w:rPr>
                <w:rFonts w:ascii="Times New Roman"/>
                <w:sz w:val="18"/>
              </w:rPr>
            </w:pPr>
            <w:r>
              <w:rPr>
                <w:rFonts w:ascii="Times New Roman"/>
                <w:sz w:val="18"/>
              </w:rPr>
              <w:t>12</w:t>
            </w:r>
          </w:p>
        </w:tc>
        <w:tc>
          <w:tcPr>
            <w:tcW w:w="1276" w:type="dxa"/>
          </w:tcPr>
          <w:p>
            <w:pPr>
              <w:pStyle w:val="9"/>
              <w:ind w:left="166" w:right="156"/>
              <w:rPr>
                <w:rFonts w:ascii="Times New Roman"/>
                <w:sz w:val="18"/>
              </w:rPr>
            </w:pPr>
            <w:r>
              <w:rPr>
                <w:rFonts w:ascii="Times New Roman"/>
                <w:sz w:val="18"/>
              </w:rPr>
              <w:t>pH</w:t>
            </w:r>
          </w:p>
        </w:tc>
        <w:tc>
          <w:tcPr>
            <w:tcW w:w="6095" w:type="dxa"/>
          </w:tcPr>
          <w:p>
            <w:pPr>
              <w:pStyle w:val="9"/>
              <w:spacing w:before="41"/>
              <w:ind w:left="108"/>
              <w:jc w:val="left"/>
              <w:rPr>
                <w:sz w:val="18"/>
              </w:rPr>
            </w:pPr>
            <w:r>
              <w:rPr>
                <w:sz w:val="18"/>
              </w:rPr>
              <w:t xml:space="preserve">土壤 </w:t>
            </w:r>
            <w:r>
              <w:rPr>
                <w:rFonts w:ascii="Times New Roman" w:eastAsia="Times New Roman"/>
                <w:sz w:val="18"/>
              </w:rPr>
              <w:t xml:space="preserve">pH </w:t>
            </w:r>
            <w:r>
              <w:rPr>
                <w:sz w:val="18"/>
              </w:rPr>
              <w:t>值的测定 电位法</w:t>
            </w:r>
          </w:p>
        </w:tc>
        <w:tc>
          <w:tcPr>
            <w:tcW w:w="1525" w:type="dxa"/>
          </w:tcPr>
          <w:p>
            <w:pPr>
              <w:pStyle w:val="9"/>
              <w:ind w:left="11"/>
              <w:rPr>
                <w:rFonts w:ascii="Times New Roman"/>
                <w:sz w:val="18"/>
              </w:rPr>
            </w:pPr>
            <w:r>
              <w:rPr>
                <w:rFonts w:ascii="Times New Roman"/>
                <w:sz w:val="18"/>
              </w:rPr>
              <w:t>-</w:t>
            </w:r>
          </w:p>
        </w:tc>
      </w:tr>
    </w:tbl>
    <w:p>
      <w:pPr>
        <w:pStyle w:val="4"/>
        <w:spacing w:before="7"/>
        <w:rPr>
          <w:rFonts w:ascii="黑体"/>
          <w:sz w:val="24"/>
        </w:rPr>
      </w:pPr>
    </w:p>
    <w:p>
      <w:pPr>
        <w:pStyle w:val="8"/>
        <w:numPr>
          <w:ilvl w:val="0"/>
          <w:numId w:val="2"/>
        </w:numPr>
        <w:tabs>
          <w:tab w:val="left" w:pos="428"/>
        </w:tabs>
        <w:spacing w:before="0" w:after="0" w:line="240" w:lineRule="auto"/>
        <w:ind w:left="427" w:right="0" w:hanging="210"/>
        <w:jc w:val="left"/>
        <w:rPr>
          <w:rFonts w:hint="eastAsia" w:ascii="黑体" w:eastAsia="黑体"/>
          <w:sz w:val="21"/>
        </w:rPr>
      </w:pPr>
      <w:bookmarkStart w:id="62" w:name="_bookmark8"/>
      <w:bookmarkEnd w:id="62"/>
      <w:bookmarkStart w:id="63" w:name="_bookmark8"/>
      <w:bookmarkEnd w:id="63"/>
      <w:bookmarkStart w:id="64" w:name="8 实施与监督"/>
      <w:bookmarkEnd w:id="64"/>
      <w:r>
        <w:rPr>
          <w:rFonts w:hint="eastAsia" w:ascii="黑体" w:eastAsia="黑体"/>
          <w:sz w:val="21"/>
        </w:rPr>
        <w:t>实施与监督</w:t>
      </w:r>
    </w:p>
    <w:p>
      <w:pPr>
        <w:pStyle w:val="8"/>
        <w:numPr>
          <w:ilvl w:val="1"/>
          <w:numId w:val="2"/>
        </w:numPr>
        <w:tabs>
          <w:tab w:val="left" w:pos="533"/>
        </w:tabs>
        <w:spacing w:before="177" w:after="0" w:line="240" w:lineRule="auto"/>
        <w:ind w:left="532" w:right="0" w:hanging="315"/>
        <w:jc w:val="left"/>
        <w:rPr>
          <w:rFonts w:ascii="Times New Roman" w:eastAsia="Times New Roman"/>
          <w:sz w:val="21"/>
        </w:rPr>
      </w:pPr>
      <w:r>
        <w:rPr>
          <w:sz w:val="21"/>
        </w:rPr>
        <w:t>本标准由各级生态环境主管部门会同农业农村等相关主管部门监督实施。</w:t>
      </w:r>
    </w:p>
    <w:sectPr>
      <w:pgSz w:w="11910" w:h="16840"/>
      <w:pgMar w:top="1640" w:right="740" w:bottom="1040" w:left="1200" w:header="1428" w:footer="85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0" o:spid="_x0000_s2050" o:spt="202" type="#_x0000_t202" style="position:absolute;left:0pt;margin-left:295pt;margin-top:788.4pt;height:12pt;width:9.05pt;mso-position-horizontal-relative:page;mso-position-vertical-relative:page;z-index:-252850176;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 roman </w:instrText>
                </w:r>
                <w:r>
                  <w:fldChar w:fldCharType="separate"/>
                </w:r>
                <w:r>
                  <w:t>ii</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1" o:spid="_x0000_s2051" o:spt="202" type="#_x0000_t202" style="position:absolute;left:0pt;margin-left:295.2pt;margin-top:788.4pt;height:12pt;width:8.5pt;mso-position-horizontal-relative:page;mso-position-vertical-relative:page;z-index:-252849152;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49" o:spid="_x0000_s2049" o:spt="202" type="#_x0000_t202" style="position:absolute;left:0pt;margin-left:462.75pt;margin-top:70.35pt;height:13.6pt;width:76.95pt;mso-position-horizontal-relative:page;mso-position-vertical-relative:page;z-index:-252851200;mso-width-relative:page;mso-height-relative:page;" filled="f" stroked="f" coordsize="21600,21600">
          <v:path/>
          <v:fill on="f" focussize="0,0"/>
          <v:stroke on="f" joinstyle="miter"/>
          <v:imagedata o:title=""/>
          <o:lock v:ext="edit"/>
          <v:textbox inset="0mm,0mm,0mm,0mm">
            <w:txbxContent>
              <w:p>
                <w:pPr>
                  <w:pStyle w:val="4"/>
                  <w:spacing w:before="10"/>
                  <w:ind w:left="20"/>
                  <w:rPr>
                    <w:rFonts w:ascii="Times New Roman" w:hAnsi="Times New Roman"/>
                  </w:rPr>
                </w:pPr>
                <w:r>
                  <w:rPr>
                    <w:rFonts w:ascii="Times New Roman" w:hAnsi="Times New Roman"/>
                  </w:rPr>
                  <w:t>GB 15618—2018</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lvlText w:val="%1"/>
      <w:lvlJc w:val="left"/>
      <w:pPr>
        <w:ind w:left="458" w:hanging="240"/>
        <w:jc w:val="left"/>
      </w:pPr>
      <w:rPr>
        <w:rFonts w:hint="default" w:ascii="黑体" w:hAnsi="黑体" w:eastAsia="黑体" w:cs="黑体"/>
        <w:w w:val="100"/>
        <w:sz w:val="24"/>
        <w:szCs w:val="24"/>
        <w:lang w:val="en-US" w:eastAsia="en-US" w:bidi="en-US"/>
      </w:rPr>
    </w:lvl>
    <w:lvl w:ilvl="1" w:tentative="0">
      <w:start w:val="0"/>
      <w:numFmt w:val="bullet"/>
      <w:lvlText w:val="•"/>
      <w:lvlJc w:val="left"/>
      <w:pPr>
        <w:ind w:left="1410" w:hanging="240"/>
      </w:pPr>
      <w:rPr>
        <w:rFonts w:hint="default"/>
        <w:lang w:val="en-US" w:eastAsia="en-US" w:bidi="en-US"/>
      </w:rPr>
    </w:lvl>
    <w:lvl w:ilvl="2" w:tentative="0">
      <w:start w:val="0"/>
      <w:numFmt w:val="bullet"/>
      <w:lvlText w:val="•"/>
      <w:lvlJc w:val="left"/>
      <w:pPr>
        <w:ind w:left="2361" w:hanging="240"/>
      </w:pPr>
      <w:rPr>
        <w:rFonts w:hint="default"/>
        <w:lang w:val="en-US" w:eastAsia="en-US" w:bidi="en-US"/>
      </w:rPr>
    </w:lvl>
    <w:lvl w:ilvl="3" w:tentative="0">
      <w:start w:val="0"/>
      <w:numFmt w:val="bullet"/>
      <w:lvlText w:val="•"/>
      <w:lvlJc w:val="left"/>
      <w:pPr>
        <w:ind w:left="3312" w:hanging="240"/>
      </w:pPr>
      <w:rPr>
        <w:rFonts w:hint="default"/>
        <w:lang w:val="en-US" w:eastAsia="en-US" w:bidi="en-US"/>
      </w:rPr>
    </w:lvl>
    <w:lvl w:ilvl="4" w:tentative="0">
      <w:start w:val="0"/>
      <w:numFmt w:val="bullet"/>
      <w:lvlText w:val="•"/>
      <w:lvlJc w:val="left"/>
      <w:pPr>
        <w:ind w:left="4262" w:hanging="240"/>
      </w:pPr>
      <w:rPr>
        <w:rFonts w:hint="default"/>
        <w:lang w:val="en-US" w:eastAsia="en-US" w:bidi="en-US"/>
      </w:rPr>
    </w:lvl>
    <w:lvl w:ilvl="5" w:tentative="0">
      <w:start w:val="0"/>
      <w:numFmt w:val="bullet"/>
      <w:lvlText w:val="•"/>
      <w:lvlJc w:val="left"/>
      <w:pPr>
        <w:ind w:left="5213" w:hanging="240"/>
      </w:pPr>
      <w:rPr>
        <w:rFonts w:hint="default"/>
        <w:lang w:val="en-US" w:eastAsia="en-US" w:bidi="en-US"/>
      </w:rPr>
    </w:lvl>
    <w:lvl w:ilvl="6" w:tentative="0">
      <w:start w:val="0"/>
      <w:numFmt w:val="bullet"/>
      <w:lvlText w:val="•"/>
      <w:lvlJc w:val="left"/>
      <w:pPr>
        <w:ind w:left="6164" w:hanging="240"/>
      </w:pPr>
      <w:rPr>
        <w:rFonts w:hint="default"/>
        <w:lang w:val="en-US" w:eastAsia="en-US" w:bidi="en-US"/>
      </w:rPr>
    </w:lvl>
    <w:lvl w:ilvl="7" w:tentative="0">
      <w:start w:val="0"/>
      <w:numFmt w:val="bullet"/>
      <w:lvlText w:val="•"/>
      <w:lvlJc w:val="left"/>
      <w:pPr>
        <w:ind w:left="7114" w:hanging="240"/>
      </w:pPr>
      <w:rPr>
        <w:rFonts w:hint="default"/>
        <w:lang w:val="en-US" w:eastAsia="en-US" w:bidi="en-US"/>
      </w:rPr>
    </w:lvl>
    <w:lvl w:ilvl="8" w:tentative="0">
      <w:start w:val="0"/>
      <w:numFmt w:val="bullet"/>
      <w:lvlText w:val="•"/>
      <w:lvlJc w:val="left"/>
      <w:pPr>
        <w:ind w:left="8065" w:hanging="240"/>
      </w:pPr>
      <w:rPr>
        <w:rFonts w:hint="default"/>
        <w:lang w:val="en-US" w:eastAsia="en-US" w:bidi="en-US"/>
      </w:rPr>
    </w:lvl>
  </w:abstractNum>
  <w:abstractNum w:abstractNumId="1">
    <w:nsid w:val="59ADCABA"/>
    <w:multiLevelType w:val="multilevel"/>
    <w:tmpl w:val="59ADCABA"/>
    <w:lvl w:ilvl="0" w:tentative="0">
      <w:start w:val="1"/>
      <w:numFmt w:val="decimal"/>
      <w:lvlText w:val="%1"/>
      <w:lvlJc w:val="left"/>
      <w:pPr>
        <w:ind w:left="427" w:hanging="209"/>
        <w:jc w:val="left"/>
      </w:pPr>
      <w:rPr>
        <w:rFonts w:hint="default" w:ascii="黑体" w:hAnsi="黑体" w:eastAsia="黑体" w:cs="黑体"/>
        <w:w w:val="99"/>
        <w:sz w:val="21"/>
        <w:szCs w:val="21"/>
        <w:lang w:val="en-US" w:eastAsia="en-US" w:bidi="en-US"/>
      </w:rPr>
    </w:lvl>
    <w:lvl w:ilvl="1" w:tentative="0">
      <w:start w:val="1"/>
      <w:numFmt w:val="decimal"/>
      <w:lvlText w:val="%1.%2"/>
      <w:lvlJc w:val="left"/>
      <w:pPr>
        <w:ind w:left="532" w:hanging="315"/>
        <w:jc w:val="left"/>
      </w:pPr>
      <w:rPr>
        <w:rFonts w:hint="default"/>
        <w:spacing w:val="0"/>
        <w:w w:val="99"/>
        <w:lang w:val="en-US" w:eastAsia="en-US" w:bidi="en-US"/>
      </w:rPr>
    </w:lvl>
    <w:lvl w:ilvl="2" w:tentative="0">
      <w:start w:val="1"/>
      <w:numFmt w:val="decimal"/>
      <w:lvlText w:val="%1.%2.%3"/>
      <w:lvlJc w:val="left"/>
      <w:pPr>
        <w:ind w:left="218" w:hanging="315"/>
        <w:jc w:val="left"/>
      </w:pPr>
      <w:rPr>
        <w:rFonts w:hint="default" w:ascii="Times New Roman" w:hAnsi="Times New Roman" w:eastAsia="Times New Roman" w:cs="Times New Roman"/>
        <w:spacing w:val="0"/>
        <w:w w:val="99"/>
        <w:sz w:val="21"/>
        <w:szCs w:val="21"/>
        <w:lang w:val="en-US" w:eastAsia="en-US" w:bidi="en-US"/>
      </w:rPr>
    </w:lvl>
    <w:lvl w:ilvl="3" w:tentative="0">
      <w:start w:val="0"/>
      <w:numFmt w:val="bullet"/>
      <w:lvlText w:val="•"/>
      <w:lvlJc w:val="left"/>
      <w:pPr>
        <w:ind w:left="580" w:hanging="315"/>
      </w:pPr>
      <w:rPr>
        <w:rFonts w:hint="default"/>
        <w:lang w:val="en-US" w:eastAsia="en-US" w:bidi="en-US"/>
      </w:rPr>
    </w:lvl>
    <w:lvl w:ilvl="4" w:tentative="0">
      <w:start w:val="0"/>
      <w:numFmt w:val="bullet"/>
      <w:lvlText w:val="•"/>
      <w:lvlJc w:val="left"/>
      <w:pPr>
        <w:ind w:left="640" w:hanging="315"/>
      </w:pPr>
      <w:rPr>
        <w:rFonts w:hint="default"/>
        <w:lang w:val="en-US" w:eastAsia="en-US" w:bidi="en-US"/>
      </w:rPr>
    </w:lvl>
    <w:lvl w:ilvl="5" w:tentative="0">
      <w:start w:val="0"/>
      <w:numFmt w:val="bullet"/>
      <w:lvlText w:val="•"/>
      <w:lvlJc w:val="left"/>
      <w:pPr>
        <w:ind w:left="960" w:hanging="315"/>
      </w:pPr>
      <w:rPr>
        <w:rFonts w:hint="default"/>
        <w:lang w:val="en-US" w:eastAsia="en-US" w:bidi="en-US"/>
      </w:rPr>
    </w:lvl>
    <w:lvl w:ilvl="6" w:tentative="0">
      <w:start w:val="0"/>
      <w:numFmt w:val="bullet"/>
      <w:lvlText w:val="•"/>
      <w:lvlJc w:val="left"/>
      <w:pPr>
        <w:ind w:left="1100" w:hanging="315"/>
      </w:pPr>
      <w:rPr>
        <w:rFonts w:hint="default"/>
        <w:lang w:val="en-US" w:eastAsia="en-US" w:bidi="en-US"/>
      </w:rPr>
    </w:lvl>
    <w:lvl w:ilvl="7" w:tentative="0">
      <w:start w:val="0"/>
      <w:numFmt w:val="bullet"/>
      <w:lvlText w:val="•"/>
      <w:lvlJc w:val="left"/>
      <w:pPr>
        <w:ind w:left="3316" w:hanging="315"/>
      </w:pPr>
      <w:rPr>
        <w:rFonts w:hint="default"/>
        <w:lang w:val="en-US" w:eastAsia="en-US" w:bidi="en-US"/>
      </w:rPr>
    </w:lvl>
    <w:lvl w:ilvl="8" w:tentative="0">
      <w:start w:val="0"/>
      <w:numFmt w:val="bullet"/>
      <w:lvlText w:val="•"/>
      <w:lvlJc w:val="left"/>
      <w:pPr>
        <w:ind w:left="5533" w:hanging="315"/>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10522452"/>
    <w:rsid w:val="32CA6E99"/>
    <w:rsid w:val="3CA55253"/>
    <w:rsid w:val="52806D5B"/>
    <w:rsid w:val="72A82320"/>
    <w:rsid w:val="7D6913CB"/>
    <w:rsid w:val="7D8E6A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en-US"/>
    </w:rPr>
  </w:style>
  <w:style w:type="paragraph" w:styleId="2">
    <w:name w:val="heading 1"/>
    <w:basedOn w:val="1"/>
    <w:next w:val="1"/>
    <w:qFormat/>
    <w:uiPriority w:val="1"/>
    <w:pPr>
      <w:ind w:right="290"/>
      <w:jc w:val="center"/>
      <w:outlineLvl w:val="1"/>
    </w:pPr>
    <w:rPr>
      <w:rFonts w:ascii="黑体" w:hAnsi="黑体" w:eastAsia="黑体" w:cs="黑体"/>
      <w:sz w:val="52"/>
      <w:szCs w:val="52"/>
      <w:lang w:val="en-US" w:eastAsia="en-US" w:bidi="en-US"/>
    </w:rPr>
  </w:style>
  <w:style w:type="paragraph" w:styleId="3">
    <w:name w:val="heading 2"/>
    <w:basedOn w:val="1"/>
    <w:next w:val="1"/>
    <w:qFormat/>
    <w:uiPriority w:val="1"/>
    <w:pPr>
      <w:ind w:right="175"/>
      <w:jc w:val="center"/>
      <w:outlineLvl w:val="2"/>
    </w:pPr>
    <w:rPr>
      <w:rFonts w:ascii="Times New Roman" w:hAnsi="Times New Roman" w:eastAsia="Times New Roman" w:cs="Times New Roman"/>
      <w:b/>
      <w:bCs/>
      <w:sz w:val="28"/>
      <w:szCs w:val="28"/>
      <w:lang w:val="en-US" w:eastAsia="en-US" w:bidi="en-US"/>
    </w:rPr>
  </w:style>
  <w:style w:type="character" w:default="1" w:styleId="6">
    <w:name w:val="Default Paragraph Font"/>
    <w:semiHidden/>
    <w:unhideWhenUsed/>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1"/>
      <w:szCs w:val="21"/>
      <w:lang w:val="en-US" w:eastAsia="en-US" w:bidi="en-US"/>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427" w:hanging="241"/>
    </w:pPr>
    <w:rPr>
      <w:rFonts w:ascii="宋体" w:hAnsi="宋体" w:eastAsia="宋体" w:cs="宋体"/>
      <w:lang w:val="en-US" w:eastAsia="en-US" w:bidi="en-US"/>
    </w:rPr>
  </w:style>
  <w:style w:type="paragraph" w:customStyle="1" w:styleId="9">
    <w:name w:val="Table Paragraph"/>
    <w:basedOn w:val="1"/>
    <w:qFormat/>
    <w:uiPriority w:val="1"/>
    <w:pPr>
      <w:spacing w:before="51"/>
      <w:jc w:val="center"/>
    </w:pPr>
    <w:rPr>
      <w:rFonts w:ascii="宋体" w:hAnsi="宋体" w:eastAsia="宋体" w:cs="宋体"/>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ScaleCrop>false</ScaleCrop>
  <LinksUpToDate>false</LinksUpToDate>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2020-11-20T01:03:00Z</dcterms:created>
  <dc:creator>Xia</dc:creator>
  <cp:lastModifiedBy>积木</cp:lastModifiedBy>
  <dcterms:modified xsi:type="dcterms:W3CDTF">2020-11-20T06:46:14Z</dcterms:modified>
  <dc: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2018-07-05T00:00:00Z</vt:filetime>
  </property>
  <property fmtid="{D5CDD505-2E9C-101B-9397-08002B2CF9AE}" pid="3" name="Creator">
    <vt:lpwstr>WPS Office</vt:lpwstr>
  </property>
  <property fmtid="{D5CDD505-2E9C-101B-9397-08002B2CF9AE}" pid="4" name="LastSaved">
    <vt:filetime>2020-11-20T00:00:00Z</vt:filetime>
  </property>
  <property fmtid="{D5CDD505-2E9C-101B-9397-08002B2CF9AE}" pid="5" name="KSOProductBuildVer">
    <vt:lpwstr>2052-11.1.0.9662</vt:lpwstr>
  </property>
</Properties>
</file>