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heme="majorEastAsia"/>
          <w:color w:val="000000" w:themeColor="text1"/>
          <w:szCs w:val="32"/>
          <w14:textFill>
            <w14:solidFill>
              <w14:schemeClr w14:val="tx1"/>
            </w14:solidFill>
          </w14:textFill>
        </w:rPr>
      </w:pPr>
      <w:r>
        <w:rPr>
          <w:rFonts w:hint="eastAsia" w:ascii="黑体" w:hAnsi="黑体" w:eastAsia="黑体" w:cstheme="majorEastAsia"/>
          <w:color w:val="000000" w:themeColor="text1"/>
          <w:szCs w:val="32"/>
          <w14:textFill>
            <w14:solidFill>
              <w14:schemeClr w14:val="tx1"/>
            </w14:solidFill>
          </w14:textFill>
        </w:rPr>
        <w:t>附件</w:t>
      </w:r>
      <w:r>
        <w:rPr>
          <w:rFonts w:ascii="黑体" w:hAnsi="黑体" w:eastAsia="黑体" w:cstheme="majorEastAsia"/>
          <w:color w:val="000000" w:themeColor="text1"/>
          <w:szCs w:val="32"/>
          <w14:textFill>
            <w14:solidFill>
              <w14:schemeClr w14:val="tx1"/>
            </w14:solidFill>
          </w14:textFill>
        </w:rPr>
        <w:t>2</w:t>
      </w:r>
    </w:p>
    <w:p>
      <w:pPr>
        <w:spacing w:beforeLines="50" w:afterLines="50" w:line="600" w:lineRule="exact"/>
        <w:jc w:val="center"/>
        <w:rPr>
          <w:rFonts w:ascii="方正小标宋简体" w:eastAsia="方正小标宋简体" w:hAnsiTheme="majorEastAsia" w:cstheme="majorEastAsia"/>
          <w:bCs/>
          <w:color w:val="000000" w:themeColor="text1"/>
          <w:sz w:val="44"/>
          <w:szCs w:val="44"/>
          <w14:textFill>
            <w14:solidFill>
              <w14:schemeClr w14:val="tx1"/>
            </w14:solidFill>
          </w14:textFill>
        </w:rPr>
      </w:pPr>
      <w:bookmarkStart w:id="0" w:name="_GoBack"/>
      <w:r>
        <w:rPr>
          <w:rFonts w:hint="eastAsia" w:ascii="方正小标宋简体" w:eastAsia="方正小标宋简体" w:hAnsiTheme="majorEastAsia" w:cstheme="majorEastAsia"/>
          <w:bCs/>
          <w:color w:val="000000" w:themeColor="text1"/>
          <w:sz w:val="44"/>
          <w:szCs w:val="44"/>
          <w14:textFill>
            <w14:solidFill>
              <w14:schemeClr w14:val="tx1"/>
            </w14:solidFill>
          </w14:textFill>
        </w:rPr>
        <w:t>2020年全市校园安全工作专项督导情况综述</w:t>
      </w:r>
    </w:p>
    <w:bookmarkEnd w:id="0"/>
    <w:p>
      <w:pPr>
        <w:spacing w:line="580" w:lineRule="exact"/>
        <w:ind w:firstLine="632" w:firstLineChars="200"/>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2020年10月26日至11日5日，宜昌市人民政府教育督导委员会按照年初工作安排，组织人员分五组，从管理与制度、条件与保障、教育与管理、重点治理、事故处理等五个方面，采取听汇报、查资料、看现场、访师生等方式，对14个县市区和21个市直学校开展校园安全专项督导，深入了解政府、各职能部门及学校校园安全工作开展情况</w:t>
      </w:r>
      <w:r>
        <w:rPr>
          <w:rStyle w:val="6"/>
          <w:rFonts w:hint="eastAsia" w:ascii="仿宋" w:hAnsi="仿宋" w:eastAsia="仿宋" w:cs="仿宋"/>
          <w:color w:val="000000" w:themeColor="text1"/>
          <w:spacing w:val="6"/>
          <w:szCs w:val="32"/>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现将督导情况通报如下：</w:t>
      </w:r>
    </w:p>
    <w:p>
      <w:pPr>
        <w:spacing w:line="580" w:lineRule="exact"/>
        <w:ind w:firstLine="632"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一、工作情况</w:t>
      </w:r>
    </w:p>
    <w:p>
      <w:pPr>
        <w:spacing w:line="580" w:lineRule="exact"/>
        <w:ind w:firstLine="632" w:firstLineChars="200"/>
        <w:rPr>
          <w:rFonts w:ascii="仿宋" w:hAnsi="仿宋" w:eastAsia="仿宋" w:cs="仿宋"/>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（一）</w:t>
      </w:r>
      <w:r>
        <w:rPr>
          <w:rStyle w:val="6"/>
          <w:rFonts w:hint="eastAsia" w:ascii="楷体" w:hAnsi="楷体" w:eastAsia="楷体" w:cs="楷体"/>
          <w:color w:val="000000" w:themeColor="text1"/>
          <w:szCs w:val="32"/>
          <w14:textFill>
            <w14:solidFill>
              <w14:schemeClr w14:val="tx1"/>
            </w14:solidFill>
          </w14:textFill>
        </w:rPr>
        <w:t>强化政府主导，校园安全工作体制更加完善。</w:t>
      </w:r>
      <w:r>
        <w:rPr>
          <w:rStyle w:val="6"/>
          <w:rFonts w:hint="eastAsia" w:ascii="仿宋" w:hAnsi="仿宋" w:eastAsia="仿宋" w:cs="仿宋"/>
          <w:color w:val="000000" w:themeColor="text1"/>
          <w:spacing w:val="6"/>
          <w:szCs w:val="32"/>
          <w14:textFill>
            <w14:solidFill>
              <w14:schemeClr w14:val="tx1"/>
            </w14:solidFill>
          </w14:textFill>
        </w:rPr>
        <w:t>各地党委政府对校园安全工作高度重视，切实压紧压实学校安全责任，以校园安全生产委员会、学校及周边治安综合治理领导小组、校车安全领导小组三个领导机构统筹校园安全，建立了“政府负责、社会协同、属地管理、综合治理”的校园安全工作机制。西陵区“四大家”领导每人包保1－2所学校幼儿园；夷陵区14名区级领导深入学生课堂开展安全教育；伍家岗区委区政府2019年牵头召开校园安全专题会议5次，17次专题调研校园安全工作；当阳市建立起以“分片督导、干部包保；校长住校、园长跟车；家校共建、封闭管理；学校主责、督保同责”的校园安全长效机制；远安县全面推行校园安全“全员化·网格化·课程化”行动，全市校园安全工作成效得到显著提升。</w:t>
      </w:r>
    </w:p>
    <w:p>
      <w:pPr>
        <w:spacing w:line="580" w:lineRule="exact"/>
        <w:ind w:firstLine="632" w:firstLineChars="200"/>
        <w:rPr>
          <w:rStyle w:val="6"/>
          <w:rFonts w:ascii="仿宋" w:hAnsi="仿宋" w:eastAsia="仿宋" w:cs="仿宋"/>
          <w:color w:val="000000" w:themeColor="text1"/>
          <w:spacing w:val="6"/>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（二）加大财政投入，安全工作保障水平稳步提升。</w:t>
      </w:r>
      <w:r>
        <w:rPr>
          <w:rStyle w:val="6"/>
          <w:rFonts w:hint="eastAsia" w:ascii="仿宋" w:hAnsi="仿宋" w:eastAsia="仿宋" w:cs="仿宋"/>
          <w:color w:val="000000" w:themeColor="text1"/>
          <w:spacing w:val="6"/>
          <w:szCs w:val="32"/>
          <w14:textFill>
            <w14:solidFill>
              <w14:schemeClr w14:val="tx1"/>
            </w14:solidFill>
          </w14:textFill>
        </w:rPr>
        <w:t>各地不断加大对校园安全的财政投入，教育部门统筹相关职能部门齐心协力，确保校园安全工作责任、措施、投入、落实“四到位”。枝江市2019年投资480万元完成了12所学校25栋宿舍的隔离，投资100多万元新建围墙2000余米，学校全封闭式管理完成率100%；伍家岗区投入325万元实现校园安防四个100%，所有公办学校安装人脸识别系统；夷陵区2020年保安员工资补贴预算从360万元增加到580万元，全区公办中小学、幼儿园保安员工资补贴标准由每人每月1800元调整为2880元，对普惠性民办幼儿园按不高于1.8万元标准补助1名安保人员经费，每年预算400万元校车专车运营补贴，保障学生乘车安全。</w:t>
      </w:r>
    </w:p>
    <w:p>
      <w:pPr>
        <w:spacing w:line="580" w:lineRule="exact"/>
        <w:ind w:firstLine="632" w:firstLineChars="200"/>
        <w:rPr>
          <w:rStyle w:val="6"/>
          <w:rFonts w:ascii="仿宋" w:hAnsi="仿宋" w:eastAsia="仿宋" w:cs="仿宋"/>
          <w:color w:val="000000" w:themeColor="text1"/>
          <w:spacing w:val="6"/>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（三）教育预防到位，安全意识普遍增强。</w:t>
      </w:r>
      <w:r>
        <w:rPr>
          <w:rStyle w:val="6"/>
          <w:rFonts w:hint="eastAsia" w:ascii="仿宋" w:hAnsi="仿宋" w:eastAsia="仿宋" w:cs="仿宋"/>
          <w:color w:val="000000" w:themeColor="text1"/>
          <w:spacing w:val="6"/>
          <w:szCs w:val="32"/>
          <w14:textFill>
            <w14:solidFill>
              <w14:schemeClr w14:val="tx1"/>
            </w14:solidFill>
          </w14:textFill>
        </w:rPr>
        <w:t>各地充分发挥生命安全教育和心理健康教育课程效能，多途径落实各项校园安全教育。夷陵区打造以“我的安全我作主”为核心内容的“安全小卫士”主题教育品牌；西陵区坚持开展“1530安全教育”；伍家岗区组建“吾家未成年人检察工作室”，开展形式多样法治教育；宜都市在清江小学建设法治文化公园；枝江市实施心理防控“八件套”，做实心理健康教育；点军区52名家校联系员，架起家校桥梁，全方位开展安全宣传教育；当阳市通过“千名教师家访五问五谈、万名家长进校一护二察三评”活动护航学生成长；宜昌一中将5月25日、9月25日设为学校“生命教育日”，开展“久爱我”“我爱我”主题班会、主题演讲等活动，引领学生珍爱生命。各地中小学、幼儿园科学规范开展应急演练已成工作常态。</w:t>
      </w:r>
    </w:p>
    <w:p>
      <w:pPr>
        <w:spacing w:line="580" w:lineRule="exact"/>
        <w:ind w:firstLine="632" w:firstLineChars="200"/>
        <w:rPr>
          <w:rStyle w:val="6"/>
          <w:rFonts w:ascii="仿宋" w:hAnsi="仿宋" w:eastAsia="仿宋" w:cs="仿宋"/>
          <w:color w:val="000000" w:themeColor="text1"/>
          <w:spacing w:val="6"/>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（四）聚焦重点领域，专项治理扎实有效。</w:t>
      </w:r>
      <w:r>
        <w:rPr>
          <w:rStyle w:val="6"/>
          <w:rFonts w:hint="eastAsia" w:ascii="仿宋" w:hAnsi="仿宋" w:eastAsia="仿宋" w:cs="仿宋"/>
          <w:color w:val="000000" w:themeColor="text1"/>
          <w:spacing w:val="6"/>
          <w:szCs w:val="32"/>
          <w14:textFill>
            <w14:solidFill>
              <w14:schemeClr w14:val="tx1"/>
            </w14:solidFill>
          </w14:textFill>
        </w:rPr>
        <w:t>各地认真开展各类安全专项治理，工作富有成效。坚持将疫情防控及传染病防治摆在首位，“二案十二制”和“五个一律”落实到位。五峰县通过聘请医院、保健院退休专业医生实现校医全覆盖，破解校医配备不足难题。防溺水宣传教育重视到位，高新区、点军区、当阳市等地积极制作防溺水微视频充分利用新媒体广泛宣传，长阳县组织党员干部通过“三会三讲”群众会，下沉村组进行防溺水知识宣传。校园周边问题整改成效显著，当阳市主要领导亲自挂帅，政府挂牌督办，关闭当阳桥小学门口加油站；投资近百万元改建沙河小学校门，解决原校门前超长下坡重载车易失控风险。校园欺凌防治、三书一函等扫黑除恶工作稳步推进，点军区开展22场校园欺凌和“联手关爱守护天使”主题活动，伍家岗区通过开展“保贝童行·检察护航”积极落实“一号检察建议”。上下学交通安全多措并举，长阳县专项资金300万元保障上下学交通安全，宜都市专项资金91万元回购15辆校车为改制幼儿园学生上下学提供校车服务，点军区组建专业校车服务公司解决学生上下学交通难题。校园食品安全守护行动落实有力，夷陵中学、金东方高中等学校开展“三推一禁”严格落实“节约粮食，反对浪费”要求，五峰县、秭归县、长阳县、夷陵区投入专项资金用于提升山区农村学校营养餐计划，多地实现明厨亮灶覆盖率100%。</w:t>
      </w:r>
    </w:p>
    <w:p>
      <w:pPr>
        <w:spacing w:line="580" w:lineRule="exact"/>
        <w:ind w:firstLine="632"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二、存在的问题</w:t>
      </w:r>
    </w:p>
    <w:p>
      <w:pPr>
        <w:spacing w:line="580" w:lineRule="exact"/>
        <w:ind w:firstLine="632" w:firstLineChars="200"/>
        <w:rPr>
          <w:rStyle w:val="6"/>
          <w:rFonts w:ascii="仿宋" w:hAnsi="仿宋" w:eastAsia="仿宋" w:cs="仿宋"/>
          <w:color w:val="000000" w:themeColor="text1"/>
          <w:spacing w:val="6"/>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（一）安全责任逐级衰减。</w:t>
      </w:r>
      <w:r>
        <w:rPr>
          <w:rStyle w:val="6"/>
          <w:rFonts w:hint="eastAsia" w:ascii="仿宋" w:hAnsi="仿宋" w:eastAsia="仿宋" w:cs="仿宋"/>
          <w:color w:val="000000" w:themeColor="text1"/>
          <w:spacing w:val="6"/>
          <w:szCs w:val="32"/>
          <w14:textFill>
            <w14:solidFill>
              <w14:schemeClr w14:val="tx1"/>
            </w14:solidFill>
          </w14:textFill>
        </w:rPr>
        <w:t>部分学校安全主体责任不够落实，安全监管力度层层衰减，部分教职工对校园安全仍存在侥幸心理和麻痹思想，体现为忙应付、轻落实，存在以会议落实会议、以表格充当痕迹、以过场代替过程等现象，安全管理未形成有效闭环，“最后一米”未能彻底打通，学校主要负责人主动作为不够，主动谋划不足、落地落实不细，校园安全风险依然存在。</w:t>
      </w:r>
    </w:p>
    <w:p>
      <w:pPr>
        <w:spacing w:line="580" w:lineRule="exact"/>
        <w:ind w:firstLine="632" w:firstLineChars="200"/>
        <w:rPr>
          <w:rStyle w:val="6"/>
          <w:rFonts w:ascii="仿宋" w:hAnsi="仿宋" w:eastAsia="仿宋" w:cs="仿宋"/>
          <w:color w:val="000000" w:themeColor="text1"/>
          <w:spacing w:val="6"/>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（二）各方联动仍有不足。</w:t>
      </w:r>
      <w:r>
        <w:rPr>
          <w:rStyle w:val="6"/>
          <w:rFonts w:hint="eastAsia" w:ascii="仿宋" w:hAnsi="仿宋" w:eastAsia="仿宋" w:cs="仿宋"/>
          <w:color w:val="000000" w:themeColor="text1"/>
          <w:spacing w:val="6"/>
          <w:szCs w:val="32"/>
          <w14:textFill>
            <w14:solidFill>
              <w14:schemeClr w14:val="tx1"/>
            </w14:solidFill>
          </w14:textFill>
        </w:rPr>
        <w:t>师生之间、家校之间、内部处室之间、职能部门之间未形成最大合力，师生互动次数、质量上有待提高，个别教师在与学生交流时存在个体差异，对成绩薄弱、特异情况等类型学生跟踪跟进帮扶不够；家校互动仍多停留在学生学习情况交流层面，对学生心理波动不了解或未引起足够重视，互动形式单一；单位内部处室之间联动不足，存在“各扫门前雪”现象；职能部门之间信息渠道不畅，存在涉校涉生相关问题信息未及时与教育主管部门或学校沟通对接，导致教育滞后、管理未能及时跟进情况；校外培训机构、校外托管“小饭桌”的安全是薄弱环节，联合监管力度不够，</w:t>
      </w:r>
      <w:r>
        <w:rPr>
          <w:rFonts w:hint="eastAsia" w:ascii="仿宋" w:hAnsi="仿宋" w:eastAsia="仿宋" w:cs="仿宋_GB2312"/>
          <w:color w:val="000000" w:themeColor="text1"/>
          <w:szCs w:val="32"/>
          <w14:textFill>
            <w14:solidFill>
              <w14:schemeClr w14:val="tx1"/>
            </w14:solidFill>
          </w14:textFill>
        </w:rPr>
        <w:t>食品安全、消防安全、交通安全等隐患大，安全风险高</w:t>
      </w:r>
      <w:r>
        <w:rPr>
          <w:rStyle w:val="6"/>
          <w:rFonts w:hint="eastAsia" w:ascii="仿宋" w:hAnsi="仿宋" w:eastAsia="仿宋" w:cs="仿宋"/>
          <w:color w:val="000000" w:themeColor="text1"/>
          <w:spacing w:val="6"/>
          <w:szCs w:val="32"/>
          <w14:textFill>
            <w14:solidFill>
              <w14:schemeClr w14:val="tx1"/>
            </w14:solidFill>
          </w14:textFill>
        </w:rPr>
        <w:t>。</w:t>
      </w:r>
    </w:p>
    <w:p>
      <w:pPr>
        <w:spacing w:line="580" w:lineRule="exact"/>
        <w:ind w:firstLine="632" w:firstLineChars="200"/>
        <w:rPr>
          <w:rStyle w:val="6"/>
          <w:rFonts w:ascii="仿宋" w:hAnsi="仿宋" w:eastAsia="仿宋" w:cs="仿宋"/>
          <w:color w:val="000000" w:themeColor="text1"/>
          <w:spacing w:val="6"/>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（三）专业管理水平不高。</w:t>
      </w:r>
      <w:r>
        <w:rPr>
          <w:rFonts w:hint="eastAsia" w:ascii="仿宋" w:hAnsi="仿宋" w:eastAsia="仿宋" w:cs="仿宋"/>
          <w:color w:val="000000" w:themeColor="text1"/>
          <w:szCs w:val="32"/>
          <w14:textFill>
            <w14:solidFill>
              <w14:schemeClr w14:val="tx1"/>
            </w14:solidFill>
          </w14:textFill>
        </w:rPr>
        <w:t>一是</w:t>
      </w:r>
      <w:r>
        <w:rPr>
          <w:rStyle w:val="6"/>
          <w:rFonts w:hint="eastAsia" w:ascii="仿宋" w:hAnsi="仿宋" w:eastAsia="仿宋" w:cs="仿宋"/>
          <w:color w:val="000000" w:themeColor="text1"/>
          <w:spacing w:val="6"/>
          <w:szCs w:val="32"/>
          <w14:textFill>
            <w14:solidFill>
              <w14:schemeClr w14:val="tx1"/>
            </w14:solidFill>
          </w14:textFill>
        </w:rPr>
        <w:t>心理健康教师、校医等专业人才匮乏，不能满足学校需求。尤其是在当前疫情情况下，学生心理问题时有发生，难以及时有效、保质保量完成心理健康教育和学校防疫防控等任务。表现为学生心理筛查范围不够、力度不足、跟踪帮扶不及时、家校联动不充分等现象，特别是农村偏远山区学校、教学点情况更为突出。二是安全培训力度不大、深度不够、专业不强，学校主要负责人对当前面临的校园安全新形势缺乏应对和思考，对《湖北省学校安全条例》的学习、培训仅停留在传达文件和口头学习上，未能联系工作实际贯彻实施，培训多局限于安全管理人员，未全面铺开至一线教师和家长。三是学校安全管理人员年龄偏大、专业化水平不高，应对突发安全事件的能力不强。少数学校应急预案照搬照抄、生搬硬套，应急演练搞形式、走过场，未解决影响校园安全的深层次问题，导致学校安全管理在低位面循环。</w:t>
      </w:r>
    </w:p>
    <w:p>
      <w:pPr>
        <w:spacing w:line="580" w:lineRule="exact"/>
        <w:ind w:firstLine="632" w:firstLineChars="200"/>
        <w:rPr>
          <w:rFonts w:ascii="仿宋" w:hAnsi="仿宋" w:eastAsia="仿宋" w:cs="仿宋"/>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（四）宣传教育有效性不够。</w:t>
      </w:r>
      <w:r>
        <w:rPr>
          <w:rFonts w:hint="eastAsia" w:ascii="仿宋" w:hAnsi="仿宋" w:eastAsia="仿宋" w:cs="仿宋"/>
          <w:color w:val="000000" w:themeColor="text1"/>
          <w:szCs w:val="32"/>
          <w14:textFill>
            <w14:solidFill>
              <w14:schemeClr w14:val="tx1"/>
            </w14:solidFill>
          </w14:textFill>
        </w:rPr>
        <w:t>对学生的法治宣传和德育教育欠缺力度和深度，针对性和有效性不强。“三书一函”反映问题令人警醒，学生安全事故令人惋惜，体音美及心理健康教育、生命安全教育课程开设未达标或流于形式，质量不高。个别地方领导、少数学校校长和教师办学思想不端正、片面强调“清北率”和中高考升学率，给学校增强无形的办学压力，学生课业负担普遍较重，造成学生心理问题增多。预防未成年人违法犯罪、校园欺凌、防范侵害、防范电信诈骗等专项教育与时俱进不够，法制副校长、家长学校、家校互动未完全发挥应有作用。</w:t>
      </w:r>
    </w:p>
    <w:p>
      <w:pPr>
        <w:spacing w:line="580" w:lineRule="exact"/>
        <w:ind w:firstLine="632"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三、督导建议</w:t>
      </w:r>
    </w:p>
    <w:p>
      <w:pPr>
        <w:spacing w:line="580" w:lineRule="exact"/>
        <w:ind w:firstLine="632" w:firstLineChars="200"/>
        <w:rPr>
          <w:rFonts w:ascii="仿宋" w:hAnsi="仿宋" w:eastAsia="仿宋" w:cs="仿宋"/>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（一）进一步压实安全责任。</w:t>
      </w:r>
      <w:r>
        <w:rPr>
          <w:rFonts w:hint="eastAsia" w:ascii="仿宋" w:hAnsi="仿宋" w:eastAsia="仿宋" w:cs="仿宋"/>
          <w:color w:val="000000" w:themeColor="text1"/>
          <w:szCs w:val="32"/>
          <w14:textFill>
            <w14:solidFill>
              <w14:schemeClr w14:val="tx1"/>
            </w14:solidFill>
          </w14:textFill>
        </w:rPr>
        <w:t>各地政府要进一步加强对本行政区域内学校安全工作的领导，健全学校安全风险防控体系；各地教育行政部门要进一步统筹相关部门，协调、监督指导区域内学校做好安全工作；各级各类学校要从思想上、行动上、措施上真正履行校园安全主体责任，真正把校园安全当作生命线、当作第一任务来抓，通过健全全员安全生产责任制将安全责任逐级分解、逐级压实，形成横向到边、纵向到底的校园安全责任网络，真正将责任落实到每个教职工身上，做到校园安全人人有事做、事事有人管。</w:t>
      </w:r>
    </w:p>
    <w:p>
      <w:pPr>
        <w:spacing w:line="580" w:lineRule="exact"/>
        <w:ind w:firstLine="632" w:firstLineChars="200"/>
        <w:rPr>
          <w:rFonts w:ascii="仿宋" w:hAnsi="仿宋" w:eastAsia="仿宋" w:cs="仿宋"/>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（二）进一步加强安全管理。</w:t>
      </w:r>
      <w:r>
        <w:rPr>
          <w:rFonts w:hint="eastAsia" w:ascii="仿宋" w:hAnsi="仿宋" w:eastAsia="仿宋" w:cs="仿宋"/>
          <w:color w:val="000000" w:themeColor="text1"/>
          <w:szCs w:val="32"/>
          <w14:textFill>
            <w14:solidFill>
              <w14:schemeClr w14:val="tx1"/>
            </w14:solidFill>
          </w14:textFill>
        </w:rPr>
        <w:t>落实校园安全“最后一米”，安全教育要多形式、多渠道结合，重点关注学生心理健康、安全自护、防侵害等教育，要做到有针对性、警示性、实效性，真正让学生入脑入心。要真正抓实体音美劳和生命安全、心理健康教育、让体育运动、艺术熏陶融入学生学习生活中，为师生减压减负。教师要全面关心关爱学生，与家长保持良性互动和沟通，要加强学生异常情况的筛查、监测及跟踪管理，通过建立学生互助小组等形式及时跟踪学生心理状况；要强化常态化校园安全隐患、学生矛盾纠纷、学生异常情况的自查自纠，将学校管理进一步落细落实。</w:t>
      </w:r>
    </w:p>
    <w:p>
      <w:pPr>
        <w:spacing w:line="580" w:lineRule="exact"/>
        <w:ind w:firstLine="632" w:firstLineChars="200"/>
        <w:rPr>
          <w:rFonts w:ascii="仿宋" w:hAnsi="仿宋" w:eastAsia="仿宋" w:cs="仿宋"/>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（三）进一步提升专业能力。</w:t>
      </w:r>
      <w:r>
        <w:rPr>
          <w:rFonts w:hint="eastAsia" w:ascii="仿宋" w:hAnsi="仿宋" w:eastAsia="仿宋" w:cs="仿宋"/>
          <w:color w:val="000000" w:themeColor="text1"/>
          <w:szCs w:val="32"/>
          <w14:textFill>
            <w14:solidFill>
              <w14:schemeClr w14:val="tx1"/>
            </w14:solidFill>
          </w14:textFill>
        </w:rPr>
        <w:t>各级教育主管部门要把校园安全人员的培训纳入本地师资培训年度计划，不仅要加大对学校安全管理干部、心理健康教师、班主任、安保人员等队伍的培训力度，更要加强对学校主要负责人、全体教师的安全培训，提升校园安全管理的整体专业化水平。要充实学校专（兼）职心理健康教师队伍，统筹各种专业力量，建立市区（县）校三级心理健康专业支持队伍，针对学生心理问题精准施策、精准筛查、精准疏导、精准发力、靶向用力。要进一步结合实际分析校园安全工作的规律、内涵及特点，通过推进学校安全工作标准化来提升校园工作专业水平，真正将各项安全职责落实到位。</w:t>
      </w:r>
    </w:p>
    <w:p>
      <w:pPr>
        <w:spacing w:line="580" w:lineRule="exact"/>
        <w:ind w:firstLine="632" w:firstLineChars="200"/>
        <w:rPr>
          <w:rFonts w:ascii="仿宋" w:hAnsi="仿宋" w:eastAsia="仿宋" w:cs="仿宋"/>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（四）进一步健全工作机制。</w:t>
      </w:r>
      <w:r>
        <w:rPr>
          <w:rFonts w:hint="eastAsia" w:ascii="仿宋" w:hAnsi="仿宋" w:eastAsia="仿宋" w:cs="仿宋"/>
          <w:color w:val="000000" w:themeColor="text1"/>
          <w:szCs w:val="32"/>
          <w14:textFill>
            <w14:solidFill>
              <w14:schemeClr w14:val="tx1"/>
            </w14:solidFill>
          </w14:textFill>
        </w:rPr>
        <w:t>要进一步健全并落实全员安全生产责任制、预防校园欺凌、预防性侵害、预防未成年人犯罪、涉校矛盾纠纷排查等工作机制。加强部门信息互通、家校联动、师生交流，形成齐抓共管、全员育人的良好氛围。要标本兼治，常长共抓、常管长严，坚持务实管用的措施，总结事故教训，固化经验做法，形成校园安全长效治理机制和工作制度。</w:t>
      </w:r>
    </w:p>
    <w:p>
      <w:pPr>
        <w:spacing w:line="600" w:lineRule="exact"/>
        <w:ind w:firstLine="632" w:firstLineChars="200"/>
        <w:rPr>
          <w:rFonts w:ascii="仿宋" w:hAnsi="仿宋" w:eastAsia="仿宋" w:cs="仿宋"/>
          <w:color w:val="000000" w:themeColor="text1"/>
          <w:szCs w:val="32"/>
          <w14:textFill>
            <w14:solidFill>
              <w14:schemeClr w14:val="tx1"/>
            </w14:solidFill>
          </w14:textFill>
        </w:rPr>
      </w:pPr>
    </w:p>
    <w:p>
      <w:pPr>
        <w:spacing w:line="600" w:lineRule="exact"/>
        <w:ind w:firstLine="632" w:firstLineChars="200"/>
        <w:rPr>
          <w:rFonts w:ascii="仿宋" w:hAnsi="仿宋" w:eastAsia="仿宋" w:cs="仿宋"/>
          <w:color w:val="000000" w:themeColor="text1"/>
          <w:szCs w:val="32"/>
          <w14:textFill>
            <w14:solidFill>
              <w14:schemeClr w14:val="tx1"/>
            </w14:solidFill>
          </w14:textFill>
        </w:rPr>
      </w:pPr>
    </w:p>
    <w:p>
      <w:pPr>
        <w:spacing w:line="600" w:lineRule="exact"/>
        <w:ind w:firstLine="632" w:firstLineChars="200"/>
        <w:rPr>
          <w:rFonts w:ascii="仿宋" w:hAnsi="仿宋" w:eastAsia="仿宋" w:cs="仿宋"/>
          <w:color w:val="000000" w:themeColor="text1"/>
          <w:szCs w:val="32"/>
          <w14:textFill>
            <w14:solidFill>
              <w14:schemeClr w14:val="tx1"/>
            </w14:solidFill>
          </w14:textFill>
        </w:rPr>
      </w:pPr>
    </w:p>
    <w:p>
      <w:pPr>
        <w:spacing w:line="600" w:lineRule="exact"/>
        <w:ind w:firstLine="632" w:firstLineChars="200"/>
        <w:rPr>
          <w:rFonts w:ascii="仿宋" w:hAnsi="仿宋" w:eastAsia="仿宋" w:cs="仿宋"/>
          <w:color w:val="000000" w:themeColor="text1"/>
          <w:szCs w:val="32"/>
          <w14:textFill>
            <w14:solidFill>
              <w14:schemeClr w14:val="tx1"/>
            </w14:solidFill>
          </w14:textFill>
        </w:rPr>
      </w:pPr>
    </w:p>
    <w:p>
      <w:pPr>
        <w:spacing w:line="600" w:lineRule="exact"/>
        <w:ind w:firstLine="632" w:firstLineChars="200"/>
        <w:rPr>
          <w:rFonts w:ascii="仿宋" w:hAnsi="仿宋" w:eastAsia="仿宋" w:cs="仿宋"/>
          <w:color w:val="000000" w:themeColor="text1"/>
          <w:szCs w:val="32"/>
          <w14:textFill>
            <w14:solidFill>
              <w14:schemeClr w14:val="tx1"/>
            </w14:solidFill>
          </w14:textFill>
        </w:rPr>
      </w:pPr>
    </w:p>
    <w:p>
      <w:pPr>
        <w:spacing w:line="600" w:lineRule="exact"/>
        <w:ind w:firstLine="412" w:firstLineChars="200"/>
        <w:rPr>
          <w:rFonts w:ascii="仿宋" w:hAnsi="仿宋" w:eastAsia="仿宋" w:cs="仿宋"/>
          <w:color w:val="000000" w:themeColor="text1"/>
          <w:szCs w:val="32"/>
          <w14:textFill>
            <w14:solidFill>
              <w14:schemeClr w14:val="tx1"/>
            </w14:solidFill>
          </w14:textFill>
        </w:rPr>
      </w:pPr>
      <w:r>
        <w:rPr>
          <w:rFonts w:asciiTheme="minorHAnsi" w:hAnsiTheme="minorHAnsi" w:eastAsiaTheme="minorEastAsia" w:cstheme="minorBidi"/>
          <w:color w:val="000000" w:themeColor="text1"/>
          <w:sz w:val="21"/>
          <w:szCs w:val="22"/>
          <w14:textFill>
            <w14:solidFill>
              <w14:schemeClr w14:val="tx1"/>
            </w14:solidFill>
          </w14:textFill>
        </w:rPr>
        <mc:AlternateContent>
          <mc:Choice Requires="wps">
            <w:drawing>
              <wp:anchor distT="0" distB="0" distL="114300" distR="114300" simplePos="0" relativeHeight="251656192" behindDoc="0" locked="0" layoutInCell="1" allowOverlap="1">
                <wp:simplePos x="0" y="0"/>
                <wp:positionH relativeFrom="margin">
                  <wp:posOffset>-36195</wp:posOffset>
                </wp:positionH>
                <wp:positionV relativeFrom="paragraph">
                  <wp:posOffset>365760</wp:posOffset>
                </wp:positionV>
                <wp:extent cx="5615940" cy="0"/>
                <wp:effectExtent l="0" t="4445" r="0" b="698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pt;margin-top:28.8pt;height:0pt;width:442.2pt;mso-position-horizontal-relative:margin;z-index:251656192;mso-width-relative:page;mso-height-relative:page;" coordsize="21600,21600" o:gfxdata="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ZYmX1gAAAAgBAAAPAAAAAAAAAAEAIAAAACIAAABkcnMvZG93bnJldi54bWxQ&#10;SwECFAAUAAAACACHTuJAgSjcTPkBAADyAwAADgAAAAAAAAABACAAAAAlAQAAZHJzL2Uyb0RvYy54&#10;bWxQSwUGAAAAAAYABgBZAQAAkAUAAAAA&#10;">
                <v:path arrowok="t"/>
                <v:fill focussize="0,0"/>
                <v:stroke/>
                <v:imagedata o:title=""/>
                <o:lock v:ext="edit"/>
              </v:line>
            </w:pict>
          </mc:Fallback>
        </mc:AlternateContent>
      </w:r>
    </w:p>
    <w:sectPr>
      <w:footerReference r:id="rId3" w:type="default"/>
      <w:pgSz w:w="11906" w:h="16838"/>
      <w:pgMar w:top="1701" w:right="1588" w:bottom="1588"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580"/>
        <w:tab w:val="clear" w:pos="8306"/>
      </w:tabs>
      <w:ind w:right="320" w:rightChars="100"/>
      <w:jc w:val="right"/>
      <w:rPr>
        <w:rFonts w:asciiTheme="minorEastAsia" w:hAnsiTheme="minorEastAsia" w:eastAsiaTheme="minorEastAsia"/>
        <w:sz w:val="28"/>
        <w:szCs w:val="28"/>
      </w:rPr>
    </w:pPr>
    <w:r>
      <w:rPr>
        <w:rStyle w:val="5"/>
        <w:rFonts w:asciiTheme="minorEastAsia" w:hAnsiTheme="minorEastAsia" w:eastAsiaTheme="minorEastAsia"/>
        <w:sz w:val="28"/>
        <w:szCs w:val="28"/>
      </w:rPr>
      <w:fldChar w:fldCharType="begin"/>
    </w:r>
    <w:r>
      <w:rPr>
        <w:rStyle w:val="5"/>
        <w:rFonts w:asciiTheme="minorEastAsia" w:hAnsiTheme="minorEastAsia" w:eastAsiaTheme="minorEastAsia"/>
        <w:sz w:val="28"/>
        <w:szCs w:val="28"/>
      </w:rPr>
      <w:instrText xml:space="preserve"> PAGE </w:instrText>
    </w:r>
    <w:r>
      <w:rPr>
        <w:rStyle w:val="5"/>
        <w:rFonts w:asciiTheme="minorEastAsia" w:hAnsiTheme="minorEastAsia" w:eastAsiaTheme="minorEastAsia"/>
        <w:sz w:val="28"/>
        <w:szCs w:val="28"/>
      </w:rPr>
      <w:fldChar w:fldCharType="separate"/>
    </w:r>
    <w:r>
      <w:rPr>
        <w:rStyle w:val="5"/>
        <w:rFonts w:asciiTheme="minorEastAsia" w:hAnsiTheme="minorEastAsia" w:eastAsiaTheme="minorEastAsia"/>
        <w:sz w:val="28"/>
        <w:szCs w:val="28"/>
      </w:rPr>
      <w:t>- 17 -</w:t>
    </w:r>
    <w:r>
      <w:rPr>
        <w:rStyle w:val="5"/>
        <w:rFonts w:asciiTheme="minorEastAsia" w:hAnsiTheme="minorEastAsia" w:eastAsia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A7340"/>
    <w:rsid w:val="4A7A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NormalCharacter"/>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2021-01-29T05:39:00Z</dcterms:created>
  <dc:creator>夏沫</dc:creator>
  <cp:lastModifiedBy>夏沫</cp:lastModifiedBy>
  <dcterms:modified xsi:type="dcterms:W3CDTF">2021-01-29T05:40:43Z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