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val="en-US" w:eastAsia="zh-CN"/>
              </w:rPr>
              <w:t>湖北三宁矿业有限公司（宜昌鹰燕矿业有限责任公司投资经营)</w:t>
            </w:r>
            <w:bookmarkStart w:id="0" w:name="_GoBack"/>
            <w:bookmarkEnd w:id="0"/>
            <w:r>
              <w:rPr>
                <w:rFonts w:hint="eastAsia" w:ascii="宋体" w:hAnsi="宋体" w:eastAsia="宋体"/>
                <w:bCs/>
                <w:sz w:val="21"/>
                <w:szCs w:val="21"/>
                <w:lang w:val="en-US" w:eastAsia="zh-CN"/>
              </w:rPr>
              <w:t>挑水河磷矿东部矿段909工区智能光电选矿项目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5490E1F"/>
    <w:rsid w:val="175D17CA"/>
    <w:rsid w:val="30D83849"/>
    <w:rsid w:val="413132D8"/>
    <w:rsid w:val="44EB321A"/>
    <w:rsid w:val="4916669F"/>
    <w:rsid w:val="55050E0F"/>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2</TotalTime>
  <ScaleCrop>false</ScaleCrop>
  <LinksUpToDate>false</LinksUpToDate>
  <CharactersWithSpaces>516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Levi</cp:lastModifiedBy>
  <dcterms:modified xsi:type="dcterms:W3CDTF">2021-02-04T01:32:30Z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