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5A6" w:rsidRDefault="006175A6">
      <w:pPr>
        <w:ind w:firstLineChars="0" w:firstLine="0"/>
        <w:jc w:val="center"/>
        <w:rPr>
          <w:rFonts w:hint="eastAsia"/>
          <w:b/>
          <w:bCs/>
          <w:color w:val="000000"/>
          <w:sz w:val="44"/>
          <w:szCs w:val="44"/>
        </w:rPr>
      </w:pPr>
    </w:p>
    <w:p w:rsidR="006175A6" w:rsidRDefault="006175A6">
      <w:pPr>
        <w:ind w:firstLineChars="0" w:firstLine="0"/>
        <w:jc w:val="center"/>
        <w:rPr>
          <w:b/>
          <w:bCs/>
          <w:color w:val="000000"/>
          <w:sz w:val="44"/>
          <w:szCs w:val="44"/>
        </w:rPr>
      </w:pPr>
    </w:p>
    <w:p w:rsidR="006175A6" w:rsidRDefault="006175A6">
      <w:pPr>
        <w:ind w:firstLineChars="0" w:firstLine="0"/>
        <w:jc w:val="center"/>
        <w:rPr>
          <w:b/>
          <w:bCs/>
          <w:color w:val="000000"/>
          <w:sz w:val="44"/>
          <w:szCs w:val="44"/>
        </w:rPr>
      </w:pPr>
    </w:p>
    <w:p w:rsidR="006175A6" w:rsidRDefault="009B4BA7">
      <w:pPr>
        <w:ind w:firstLineChars="0" w:firstLine="0"/>
        <w:jc w:val="center"/>
        <w:rPr>
          <w:b/>
          <w:color w:val="000000"/>
          <w:spacing w:val="20"/>
          <w:sz w:val="40"/>
          <w:szCs w:val="44"/>
        </w:rPr>
      </w:pPr>
      <w:r>
        <w:rPr>
          <w:rFonts w:cs="宋体" w:hint="eastAsia"/>
          <w:b/>
          <w:color w:val="000000"/>
          <w:sz w:val="40"/>
          <w:szCs w:val="44"/>
          <w:lang w:bidi="ar"/>
        </w:rPr>
        <w:t>湖北兴山县两河口水库工程项目（重新审核）</w:t>
      </w:r>
    </w:p>
    <w:p w:rsidR="006175A6" w:rsidRDefault="009B4BA7">
      <w:pPr>
        <w:ind w:firstLineChars="0" w:firstLine="0"/>
        <w:jc w:val="center"/>
        <w:rPr>
          <w:b/>
          <w:bCs/>
          <w:color w:val="000000"/>
          <w:spacing w:val="20"/>
          <w:sz w:val="84"/>
          <w:szCs w:val="84"/>
        </w:rPr>
      </w:pPr>
      <w:r>
        <w:rPr>
          <w:b/>
          <w:bCs/>
          <w:color w:val="000000"/>
          <w:spacing w:val="20"/>
          <w:sz w:val="84"/>
          <w:szCs w:val="84"/>
        </w:rPr>
        <w:t>环境影响报告书</w:t>
      </w:r>
    </w:p>
    <w:p w:rsidR="006175A6" w:rsidRDefault="009B4BA7">
      <w:pPr>
        <w:ind w:firstLineChars="0" w:firstLine="0"/>
        <w:jc w:val="center"/>
      </w:pPr>
      <w:r>
        <w:rPr>
          <w:b/>
          <w:bCs/>
          <w:color w:val="000000"/>
          <w:sz w:val="32"/>
          <w:szCs w:val="32"/>
        </w:rPr>
        <w:t>（送审稿）</w:t>
      </w:r>
    </w:p>
    <w:p w:rsidR="006175A6" w:rsidRDefault="006175A6">
      <w:pPr>
        <w:ind w:firstLineChars="0" w:firstLine="0"/>
        <w:jc w:val="center"/>
        <w:outlineLvl w:val="0"/>
        <w:rPr>
          <w:b/>
          <w:bCs/>
          <w:color w:val="000000"/>
          <w:sz w:val="84"/>
          <w:szCs w:val="84"/>
        </w:rPr>
      </w:pPr>
    </w:p>
    <w:p w:rsidR="006175A6" w:rsidRDefault="006175A6">
      <w:pPr>
        <w:pStyle w:val="11"/>
        <w:spacing w:line="360" w:lineRule="auto"/>
        <w:jc w:val="center"/>
        <w:rPr>
          <w:b/>
          <w:bCs/>
          <w:color w:val="000000"/>
          <w:sz w:val="32"/>
          <w:szCs w:val="32"/>
        </w:rPr>
      </w:pPr>
    </w:p>
    <w:p w:rsidR="006175A6" w:rsidRDefault="006175A6">
      <w:pPr>
        <w:pStyle w:val="11"/>
        <w:spacing w:line="360" w:lineRule="auto"/>
        <w:jc w:val="center"/>
        <w:rPr>
          <w:b/>
          <w:bCs/>
          <w:color w:val="000000"/>
          <w:sz w:val="32"/>
          <w:szCs w:val="32"/>
        </w:rPr>
      </w:pPr>
    </w:p>
    <w:p w:rsidR="006175A6" w:rsidRDefault="006175A6">
      <w:pPr>
        <w:pStyle w:val="11"/>
        <w:spacing w:line="360" w:lineRule="auto"/>
        <w:jc w:val="center"/>
        <w:rPr>
          <w:b/>
          <w:bCs/>
          <w:color w:val="000000"/>
          <w:sz w:val="32"/>
          <w:szCs w:val="32"/>
        </w:rPr>
      </w:pPr>
    </w:p>
    <w:p w:rsidR="006175A6" w:rsidRDefault="006175A6">
      <w:pPr>
        <w:pStyle w:val="11"/>
        <w:spacing w:line="360" w:lineRule="auto"/>
        <w:jc w:val="center"/>
        <w:rPr>
          <w:b/>
          <w:bCs/>
          <w:color w:val="000000"/>
          <w:sz w:val="32"/>
          <w:szCs w:val="32"/>
        </w:rPr>
      </w:pPr>
    </w:p>
    <w:p w:rsidR="006175A6" w:rsidRDefault="006175A6">
      <w:pPr>
        <w:pStyle w:val="11"/>
        <w:spacing w:line="360" w:lineRule="auto"/>
        <w:jc w:val="center"/>
        <w:rPr>
          <w:b/>
          <w:bCs/>
          <w:color w:val="000000"/>
          <w:sz w:val="32"/>
          <w:szCs w:val="32"/>
        </w:rPr>
      </w:pPr>
    </w:p>
    <w:p w:rsidR="006175A6" w:rsidRDefault="009B4BA7">
      <w:pPr>
        <w:pStyle w:val="11"/>
        <w:spacing w:line="360" w:lineRule="auto"/>
        <w:jc w:val="center"/>
        <w:rPr>
          <w:b/>
          <w:bCs/>
          <w:color w:val="000000"/>
          <w:sz w:val="32"/>
          <w:szCs w:val="32"/>
        </w:rPr>
      </w:pPr>
      <w:r>
        <w:rPr>
          <w:b/>
          <w:bCs/>
          <w:color w:val="000000"/>
          <w:sz w:val="32"/>
          <w:szCs w:val="32"/>
        </w:rPr>
        <w:t>评价单位：</w:t>
      </w:r>
      <w:r>
        <w:rPr>
          <w:rFonts w:hint="eastAsia"/>
          <w:b/>
          <w:bCs/>
          <w:color w:val="000000"/>
          <w:sz w:val="32"/>
          <w:szCs w:val="32"/>
        </w:rPr>
        <w:t>湖北汇森生态科技开发有限公司</w:t>
      </w:r>
    </w:p>
    <w:p w:rsidR="006175A6" w:rsidRDefault="009B4BA7">
      <w:pPr>
        <w:ind w:firstLineChars="0" w:firstLine="0"/>
        <w:jc w:val="center"/>
        <w:rPr>
          <w:b/>
          <w:bCs/>
          <w:color w:val="000000"/>
          <w:sz w:val="32"/>
          <w:szCs w:val="32"/>
        </w:rPr>
      </w:pPr>
      <w:r>
        <w:rPr>
          <w:rFonts w:hint="eastAsia"/>
          <w:b/>
          <w:bCs/>
          <w:color w:val="000000"/>
          <w:sz w:val="32"/>
          <w:szCs w:val="32"/>
        </w:rPr>
        <w:t>评价时间：</w:t>
      </w:r>
      <w:r>
        <w:rPr>
          <w:rFonts w:hint="eastAsia"/>
          <w:b/>
          <w:bCs/>
          <w:color w:val="000000"/>
          <w:sz w:val="32"/>
          <w:szCs w:val="32"/>
        </w:rPr>
        <w:t>2021</w:t>
      </w:r>
      <w:r>
        <w:rPr>
          <w:rFonts w:hint="eastAsia"/>
          <w:b/>
          <w:bCs/>
          <w:color w:val="000000"/>
          <w:sz w:val="32"/>
          <w:szCs w:val="32"/>
        </w:rPr>
        <w:t>年</w:t>
      </w:r>
      <w:r>
        <w:rPr>
          <w:rFonts w:hint="eastAsia"/>
          <w:b/>
          <w:bCs/>
          <w:color w:val="000000"/>
          <w:sz w:val="32"/>
          <w:szCs w:val="32"/>
        </w:rPr>
        <w:t>8</w:t>
      </w:r>
      <w:r>
        <w:rPr>
          <w:rFonts w:hint="eastAsia"/>
          <w:b/>
          <w:bCs/>
          <w:color w:val="000000"/>
          <w:sz w:val="32"/>
          <w:szCs w:val="32"/>
        </w:rPr>
        <w:t>月</w:t>
      </w:r>
    </w:p>
    <w:p w:rsidR="006175A6" w:rsidRDefault="006175A6">
      <w:pPr>
        <w:pStyle w:val="11"/>
        <w:jc w:val="center"/>
      </w:pPr>
    </w:p>
    <w:p w:rsidR="006175A6" w:rsidRDefault="006175A6">
      <w:pPr>
        <w:ind w:firstLine="480"/>
      </w:pPr>
    </w:p>
    <w:p w:rsidR="006175A6" w:rsidRDefault="006175A6">
      <w:pPr>
        <w:ind w:firstLine="480"/>
        <w:sectPr w:rsidR="006175A6">
          <w:headerReference w:type="even" r:id="rId10"/>
          <w:headerReference w:type="default" r:id="rId11"/>
          <w:footerReference w:type="even" r:id="rId12"/>
          <w:footerReference w:type="default" r:id="rId13"/>
          <w:headerReference w:type="first" r:id="rId14"/>
          <w:footerReference w:type="first" r:id="rId15"/>
          <w:footnotePr>
            <w:numFmt w:val="decimalEnclosedCircleChinese"/>
            <w:numRestart w:val="eachPage"/>
          </w:footnotePr>
          <w:pgSz w:w="11906" w:h="16838"/>
          <w:pgMar w:top="1440" w:right="1800" w:bottom="1440" w:left="1800" w:header="851" w:footer="992" w:gutter="0"/>
          <w:cols w:space="425"/>
          <w:docGrid w:type="lines" w:linePitch="312"/>
        </w:sectPr>
      </w:pPr>
    </w:p>
    <w:p w:rsidR="00E97427" w:rsidRDefault="009B4BA7">
      <w:pPr>
        <w:ind w:firstLineChars="0" w:firstLine="0"/>
        <w:jc w:val="center"/>
        <w:rPr>
          <w:noProof/>
        </w:rPr>
      </w:pPr>
      <w:r>
        <w:rPr>
          <w:b/>
        </w:rPr>
        <w:lastRenderedPageBreak/>
        <w:t>目录</w:t>
      </w:r>
      <w:r>
        <w:rPr>
          <w:b/>
        </w:rPr>
        <w:fldChar w:fldCharType="begin"/>
      </w:r>
      <w:r>
        <w:rPr>
          <w:b/>
        </w:rPr>
        <w:instrText xml:space="preserve"> TOC \o "1-2" \h \z \u </w:instrText>
      </w:r>
      <w:r>
        <w:rPr>
          <w:b/>
        </w:rPr>
        <w:fldChar w:fldCharType="separate"/>
      </w:r>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075" w:history="1">
        <w:r w:rsidRPr="00325E4C">
          <w:rPr>
            <w:rStyle w:val="ac"/>
            <w:noProof/>
          </w:rPr>
          <w:t>1</w:t>
        </w:r>
        <w:r>
          <w:rPr>
            <w:rFonts w:asciiTheme="minorHAnsi" w:eastAsiaTheme="minorEastAsia" w:hAnsiTheme="minorHAnsi" w:cstheme="minorBidi"/>
            <w:noProof/>
            <w:sz w:val="21"/>
            <w:szCs w:val="22"/>
          </w:rPr>
          <w:tab/>
        </w:r>
        <w:r w:rsidRPr="00325E4C">
          <w:rPr>
            <w:rStyle w:val="ac"/>
            <w:rFonts w:hint="eastAsia"/>
            <w:noProof/>
          </w:rPr>
          <w:t>概述</w:t>
        </w:r>
        <w:r>
          <w:rPr>
            <w:noProof/>
            <w:webHidden/>
          </w:rPr>
          <w:tab/>
        </w:r>
        <w:r>
          <w:rPr>
            <w:noProof/>
            <w:webHidden/>
          </w:rPr>
          <w:fldChar w:fldCharType="begin"/>
        </w:r>
        <w:r>
          <w:rPr>
            <w:noProof/>
            <w:webHidden/>
          </w:rPr>
          <w:instrText xml:space="preserve"> PAGEREF _Toc80170075 \h </w:instrText>
        </w:r>
        <w:r>
          <w:rPr>
            <w:noProof/>
            <w:webHidden/>
          </w:rPr>
        </w:r>
        <w:r>
          <w:rPr>
            <w:noProof/>
            <w:webHidden/>
          </w:rPr>
          <w:fldChar w:fldCharType="separate"/>
        </w:r>
        <w:r>
          <w:rPr>
            <w:noProof/>
            <w:webHidden/>
          </w:rPr>
          <w:t>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76" w:history="1">
        <w:r w:rsidRPr="00325E4C">
          <w:rPr>
            <w:rStyle w:val="ac"/>
            <w:noProof/>
          </w:rPr>
          <w:t>1.1</w:t>
        </w:r>
        <w:r>
          <w:rPr>
            <w:rFonts w:asciiTheme="minorHAnsi" w:eastAsiaTheme="minorEastAsia" w:hAnsiTheme="minorHAnsi" w:cstheme="minorBidi"/>
            <w:noProof/>
            <w:sz w:val="21"/>
            <w:szCs w:val="22"/>
          </w:rPr>
          <w:tab/>
        </w:r>
        <w:r w:rsidRPr="00325E4C">
          <w:rPr>
            <w:rStyle w:val="ac"/>
            <w:rFonts w:hint="eastAsia"/>
            <w:noProof/>
          </w:rPr>
          <w:t>项目背景</w:t>
        </w:r>
        <w:r>
          <w:rPr>
            <w:noProof/>
            <w:webHidden/>
          </w:rPr>
          <w:tab/>
        </w:r>
        <w:r>
          <w:rPr>
            <w:noProof/>
            <w:webHidden/>
          </w:rPr>
          <w:fldChar w:fldCharType="begin"/>
        </w:r>
        <w:r>
          <w:rPr>
            <w:noProof/>
            <w:webHidden/>
          </w:rPr>
          <w:instrText xml:space="preserve"> PAGEREF _Toc80170076 \h </w:instrText>
        </w:r>
        <w:r>
          <w:rPr>
            <w:noProof/>
            <w:webHidden/>
          </w:rPr>
        </w:r>
        <w:r>
          <w:rPr>
            <w:noProof/>
            <w:webHidden/>
          </w:rPr>
          <w:fldChar w:fldCharType="separate"/>
        </w:r>
        <w:r>
          <w:rPr>
            <w:noProof/>
            <w:webHidden/>
          </w:rPr>
          <w:t>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77" w:history="1">
        <w:r w:rsidRPr="00325E4C">
          <w:rPr>
            <w:rStyle w:val="ac"/>
            <w:noProof/>
          </w:rPr>
          <w:t>1.2</w:t>
        </w:r>
        <w:r>
          <w:rPr>
            <w:rFonts w:asciiTheme="minorHAnsi" w:eastAsiaTheme="minorEastAsia" w:hAnsiTheme="minorHAnsi" w:cstheme="minorBidi"/>
            <w:noProof/>
            <w:sz w:val="21"/>
            <w:szCs w:val="22"/>
          </w:rPr>
          <w:tab/>
        </w:r>
        <w:r w:rsidRPr="00325E4C">
          <w:rPr>
            <w:rStyle w:val="ac"/>
            <w:rFonts w:hint="eastAsia"/>
            <w:noProof/>
          </w:rPr>
          <w:t>环境影响评价的工作过程</w:t>
        </w:r>
        <w:r>
          <w:rPr>
            <w:noProof/>
            <w:webHidden/>
          </w:rPr>
          <w:tab/>
        </w:r>
        <w:r>
          <w:rPr>
            <w:noProof/>
            <w:webHidden/>
          </w:rPr>
          <w:fldChar w:fldCharType="begin"/>
        </w:r>
        <w:r>
          <w:rPr>
            <w:noProof/>
            <w:webHidden/>
          </w:rPr>
          <w:instrText xml:space="preserve"> PAGEREF _Toc80170077 \h </w:instrText>
        </w:r>
        <w:r>
          <w:rPr>
            <w:noProof/>
            <w:webHidden/>
          </w:rPr>
        </w:r>
        <w:r>
          <w:rPr>
            <w:noProof/>
            <w:webHidden/>
          </w:rPr>
          <w:fldChar w:fldCharType="separate"/>
        </w:r>
        <w:r>
          <w:rPr>
            <w:noProof/>
            <w:webHidden/>
          </w:rPr>
          <w:t>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78" w:history="1">
        <w:r w:rsidRPr="00325E4C">
          <w:rPr>
            <w:rStyle w:val="ac"/>
            <w:noProof/>
          </w:rPr>
          <w:t>1.3</w:t>
        </w:r>
        <w:r>
          <w:rPr>
            <w:rFonts w:asciiTheme="minorHAnsi" w:eastAsiaTheme="minorEastAsia" w:hAnsiTheme="minorHAnsi" w:cstheme="minorBidi"/>
            <w:noProof/>
            <w:sz w:val="21"/>
            <w:szCs w:val="22"/>
          </w:rPr>
          <w:tab/>
        </w:r>
        <w:r w:rsidRPr="00325E4C">
          <w:rPr>
            <w:rStyle w:val="ac"/>
            <w:rFonts w:hint="eastAsia"/>
            <w:noProof/>
          </w:rPr>
          <w:t>建设项目特点</w:t>
        </w:r>
        <w:r>
          <w:rPr>
            <w:noProof/>
            <w:webHidden/>
          </w:rPr>
          <w:tab/>
        </w:r>
        <w:r>
          <w:rPr>
            <w:noProof/>
            <w:webHidden/>
          </w:rPr>
          <w:fldChar w:fldCharType="begin"/>
        </w:r>
        <w:r>
          <w:rPr>
            <w:noProof/>
            <w:webHidden/>
          </w:rPr>
          <w:instrText xml:space="preserve"> PAGEREF _Toc80170078 \h </w:instrText>
        </w:r>
        <w:r>
          <w:rPr>
            <w:noProof/>
            <w:webHidden/>
          </w:rPr>
        </w:r>
        <w:r>
          <w:rPr>
            <w:noProof/>
            <w:webHidden/>
          </w:rPr>
          <w:fldChar w:fldCharType="separate"/>
        </w:r>
        <w:r>
          <w:rPr>
            <w:noProof/>
            <w:webHidden/>
          </w:rPr>
          <w:t>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79" w:history="1">
        <w:r w:rsidRPr="00325E4C">
          <w:rPr>
            <w:rStyle w:val="ac"/>
            <w:noProof/>
          </w:rPr>
          <w:t>1.4</w:t>
        </w:r>
        <w:r>
          <w:rPr>
            <w:rFonts w:asciiTheme="minorHAnsi" w:eastAsiaTheme="minorEastAsia" w:hAnsiTheme="minorHAnsi" w:cstheme="minorBidi"/>
            <w:noProof/>
            <w:sz w:val="21"/>
            <w:szCs w:val="22"/>
          </w:rPr>
          <w:tab/>
        </w:r>
        <w:r w:rsidRPr="00325E4C">
          <w:rPr>
            <w:rStyle w:val="ac"/>
            <w:rFonts w:hint="eastAsia"/>
            <w:noProof/>
          </w:rPr>
          <w:t>相关情况分析判定</w:t>
        </w:r>
        <w:r>
          <w:rPr>
            <w:noProof/>
            <w:webHidden/>
          </w:rPr>
          <w:tab/>
        </w:r>
        <w:r>
          <w:rPr>
            <w:noProof/>
            <w:webHidden/>
          </w:rPr>
          <w:fldChar w:fldCharType="begin"/>
        </w:r>
        <w:r>
          <w:rPr>
            <w:noProof/>
            <w:webHidden/>
          </w:rPr>
          <w:instrText xml:space="preserve"> PAGEREF _Toc80170079 \h </w:instrText>
        </w:r>
        <w:r>
          <w:rPr>
            <w:noProof/>
            <w:webHidden/>
          </w:rPr>
        </w:r>
        <w:r>
          <w:rPr>
            <w:noProof/>
            <w:webHidden/>
          </w:rPr>
          <w:fldChar w:fldCharType="separate"/>
        </w:r>
        <w:r>
          <w:rPr>
            <w:noProof/>
            <w:webHidden/>
          </w:rPr>
          <w:t>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0" w:history="1">
        <w:r w:rsidRPr="00325E4C">
          <w:rPr>
            <w:rStyle w:val="ac"/>
            <w:noProof/>
          </w:rPr>
          <w:t>1.5</w:t>
        </w:r>
        <w:r>
          <w:rPr>
            <w:rFonts w:asciiTheme="minorHAnsi" w:eastAsiaTheme="minorEastAsia" w:hAnsiTheme="minorHAnsi" w:cstheme="minorBidi"/>
            <w:noProof/>
            <w:sz w:val="21"/>
            <w:szCs w:val="22"/>
          </w:rPr>
          <w:tab/>
        </w:r>
        <w:r w:rsidRPr="00325E4C">
          <w:rPr>
            <w:rStyle w:val="ac"/>
            <w:rFonts w:hint="eastAsia"/>
            <w:noProof/>
          </w:rPr>
          <w:t>关注的主要环境问题及环境影响</w:t>
        </w:r>
        <w:r>
          <w:rPr>
            <w:noProof/>
            <w:webHidden/>
          </w:rPr>
          <w:tab/>
        </w:r>
        <w:r>
          <w:rPr>
            <w:noProof/>
            <w:webHidden/>
          </w:rPr>
          <w:fldChar w:fldCharType="begin"/>
        </w:r>
        <w:r>
          <w:rPr>
            <w:noProof/>
            <w:webHidden/>
          </w:rPr>
          <w:instrText xml:space="preserve"> PAGEREF _Toc80170080 \h </w:instrText>
        </w:r>
        <w:r>
          <w:rPr>
            <w:noProof/>
            <w:webHidden/>
          </w:rPr>
        </w:r>
        <w:r>
          <w:rPr>
            <w:noProof/>
            <w:webHidden/>
          </w:rPr>
          <w:fldChar w:fldCharType="separate"/>
        </w:r>
        <w:r>
          <w:rPr>
            <w:noProof/>
            <w:webHidden/>
          </w:rPr>
          <w:t>- 3 -</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1" w:history="1">
        <w:r w:rsidRPr="00325E4C">
          <w:rPr>
            <w:rStyle w:val="ac"/>
            <w:noProof/>
          </w:rPr>
          <w:t>1.6</w:t>
        </w:r>
        <w:r>
          <w:rPr>
            <w:rFonts w:asciiTheme="minorHAnsi" w:eastAsiaTheme="minorEastAsia" w:hAnsiTheme="minorHAnsi" w:cstheme="minorBidi"/>
            <w:noProof/>
            <w:sz w:val="21"/>
            <w:szCs w:val="22"/>
          </w:rPr>
          <w:tab/>
        </w:r>
        <w:r w:rsidRPr="00325E4C">
          <w:rPr>
            <w:rStyle w:val="ac"/>
            <w:rFonts w:hint="eastAsia"/>
            <w:noProof/>
          </w:rPr>
          <w:t>环境影响主要结论</w:t>
        </w:r>
        <w:r>
          <w:rPr>
            <w:noProof/>
            <w:webHidden/>
          </w:rPr>
          <w:tab/>
        </w:r>
        <w:r>
          <w:rPr>
            <w:noProof/>
            <w:webHidden/>
          </w:rPr>
          <w:fldChar w:fldCharType="begin"/>
        </w:r>
        <w:r>
          <w:rPr>
            <w:noProof/>
            <w:webHidden/>
          </w:rPr>
          <w:instrText xml:space="preserve"> PAGEREF _Toc80170081 \h </w:instrText>
        </w:r>
        <w:r>
          <w:rPr>
            <w:noProof/>
            <w:webHidden/>
          </w:rPr>
        </w:r>
        <w:r>
          <w:rPr>
            <w:noProof/>
            <w:webHidden/>
          </w:rPr>
          <w:fldChar w:fldCharType="separate"/>
        </w:r>
        <w:r>
          <w:rPr>
            <w:noProof/>
            <w:webHidden/>
          </w:rPr>
          <w:t>- 3 -</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082" w:history="1">
        <w:r w:rsidRPr="00325E4C">
          <w:rPr>
            <w:rStyle w:val="ac"/>
            <w:noProof/>
          </w:rPr>
          <w:t>2</w:t>
        </w:r>
        <w:r>
          <w:rPr>
            <w:rFonts w:asciiTheme="minorHAnsi" w:eastAsiaTheme="minorEastAsia" w:hAnsiTheme="minorHAnsi" w:cstheme="minorBidi"/>
            <w:noProof/>
            <w:sz w:val="21"/>
            <w:szCs w:val="22"/>
          </w:rPr>
          <w:tab/>
        </w:r>
        <w:r w:rsidRPr="00325E4C">
          <w:rPr>
            <w:rStyle w:val="ac"/>
            <w:rFonts w:hint="eastAsia"/>
            <w:noProof/>
          </w:rPr>
          <w:t>总则</w:t>
        </w:r>
        <w:r>
          <w:rPr>
            <w:noProof/>
            <w:webHidden/>
          </w:rPr>
          <w:tab/>
        </w:r>
        <w:r>
          <w:rPr>
            <w:noProof/>
            <w:webHidden/>
          </w:rPr>
          <w:fldChar w:fldCharType="begin"/>
        </w:r>
        <w:r>
          <w:rPr>
            <w:noProof/>
            <w:webHidden/>
          </w:rPr>
          <w:instrText xml:space="preserve"> PAGEREF _Toc80170082 \h </w:instrText>
        </w:r>
        <w:r>
          <w:rPr>
            <w:noProof/>
            <w:webHidden/>
          </w:rPr>
        </w:r>
        <w:r>
          <w:rPr>
            <w:noProof/>
            <w:webHidden/>
          </w:rPr>
          <w:fldChar w:fldCharType="separate"/>
        </w:r>
        <w:r>
          <w:rPr>
            <w:noProof/>
            <w:webHidden/>
          </w:rPr>
          <w:t>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3" w:history="1">
        <w:r w:rsidRPr="00325E4C">
          <w:rPr>
            <w:rStyle w:val="ac"/>
            <w:noProof/>
          </w:rPr>
          <w:t>2.1</w:t>
        </w:r>
        <w:r>
          <w:rPr>
            <w:rFonts w:asciiTheme="minorHAnsi" w:eastAsiaTheme="minorEastAsia" w:hAnsiTheme="minorHAnsi" w:cstheme="minorBidi"/>
            <w:noProof/>
            <w:sz w:val="21"/>
            <w:szCs w:val="22"/>
          </w:rPr>
          <w:tab/>
        </w:r>
        <w:r w:rsidRPr="00325E4C">
          <w:rPr>
            <w:rStyle w:val="ac"/>
            <w:rFonts w:hint="eastAsia"/>
            <w:noProof/>
          </w:rPr>
          <w:t>编制依据</w:t>
        </w:r>
        <w:r>
          <w:rPr>
            <w:noProof/>
            <w:webHidden/>
          </w:rPr>
          <w:tab/>
        </w:r>
        <w:r>
          <w:rPr>
            <w:noProof/>
            <w:webHidden/>
          </w:rPr>
          <w:fldChar w:fldCharType="begin"/>
        </w:r>
        <w:r>
          <w:rPr>
            <w:noProof/>
            <w:webHidden/>
          </w:rPr>
          <w:instrText xml:space="preserve"> PAGEREF _Toc80170083 \h </w:instrText>
        </w:r>
        <w:r>
          <w:rPr>
            <w:noProof/>
            <w:webHidden/>
          </w:rPr>
        </w:r>
        <w:r>
          <w:rPr>
            <w:noProof/>
            <w:webHidden/>
          </w:rPr>
          <w:fldChar w:fldCharType="separate"/>
        </w:r>
        <w:r>
          <w:rPr>
            <w:noProof/>
            <w:webHidden/>
          </w:rPr>
          <w:t>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4" w:history="1">
        <w:r w:rsidRPr="00325E4C">
          <w:rPr>
            <w:rStyle w:val="ac"/>
            <w:noProof/>
          </w:rPr>
          <w:t>2.2</w:t>
        </w:r>
        <w:r>
          <w:rPr>
            <w:rFonts w:asciiTheme="minorHAnsi" w:eastAsiaTheme="minorEastAsia" w:hAnsiTheme="minorHAnsi" w:cstheme="minorBidi"/>
            <w:noProof/>
            <w:sz w:val="21"/>
            <w:szCs w:val="22"/>
          </w:rPr>
          <w:tab/>
        </w:r>
        <w:r w:rsidRPr="00325E4C">
          <w:rPr>
            <w:rStyle w:val="ac"/>
            <w:rFonts w:hint="eastAsia"/>
            <w:noProof/>
          </w:rPr>
          <w:t>评价工作原则及方法</w:t>
        </w:r>
        <w:r>
          <w:rPr>
            <w:noProof/>
            <w:webHidden/>
          </w:rPr>
          <w:tab/>
        </w:r>
        <w:r>
          <w:rPr>
            <w:noProof/>
            <w:webHidden/>
          </w:rPr>
          <w:fldChar w:fldCharType="begin"/>
        </w:r>
        <w:r>
          <w:rPr>
            <w:noProof/>
            <w:webHidden/>
          </w:rPr>
          <w:instrText xml:space="preserve"> PAGEREF _Toc80170084 \h </w:instrText>
        </w:r>
        <w:r>
          <w:rPr>
            <w:noProof/>
            <w:webHidden/>
          </w:rPr>
        </w:r>
        <w:r>
          <w:rPr>
            <w:noProof/>
            <w:webHidden/>
          </w:rPr>
          <w:fldChar w:fldCharType="separate"/>
        </w:r>
        <w:r>
          <w:rPr>
            <w:noProof/>
            <w:webHidden/>
          </w:rPr>
          <w:t>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5" w:history="1">
        <w:r w:rsidRPr="00325E4C">
          <w:rPr>
            <w:rStyle w:val="ac"/>
            <w:noProof/>
          </w:rPr>
          <w:t>2.3</w:t>
        </w:r>
        <w:r>
          <w:rPr>
            <w:rFonts w:asciiTheme="minorHAnsi" w:eastAsiaTheme="minorEastAsia" w:hAnsiTheme="minorHAnsi" w:cstheme="minorBidi"/>
            <w:noProof/>
            <w:sz w:val="21"/>
            <w:szCs w:val="22"/>
          </w:rPr>
          <w:tab/>
        </w:r>
        <w:r w:rsidRPr="00325E4C">
          <w:rPr>
            <w:rStyle w:val="ac"/>
            <w:rFonts w:hint="eastAsia"/>
            <w:noProof/>
          </w:rPr>
          <w:t>编制目的</w:t>
        </w:r>
        <w:r>
          <w:rPr>
            <w:noProof/>
            <w:webHidden/>
          </w:rPr>
          <w:tab/>
        </w:r>
        <w:r>
          <w:rPr>
            <w:noProof/>
            <w:webHidden/>
          </w:rPr>
          <w:fldChar w:fldCharType="begin"/>
        </w:r>
        <w:r>
          <w:rPr>
            <w:noProof/>
            <w:webHidden/>
          </w:rPr>
          <w:instrText xml:space="preserve"> PAGEREF _Toc80170085 \h </w:instrText>
        </w:r>
        <w:r>
          <w:rPr>
            <w:noProof/>
            <w:webHidden/>
          </w:rPr>
        </w:r>
        <w:r>
          <w:rPr>
            <w:noProof/>
            <w:webHidden/>
          </w:rPr>
          <w:fldChar w:fldCharType="separate"/>
        </w:r>
        <w:r>
          <w:rPr>
            <w:noProof/>
            <w:webHidden/>
          </w:rPr>
          <w:t>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6" w:history="1">
        <w:r w:rsidRPr="00325E4C">
          <w:rPr>
            <w:rStyle w:val="ac"/>
            <w:noProof/>
          </w:rPr>
          <w:t>2.4</w:t>
        </w:r>
        <w:r>
          <w:rPr>
            <w:rFonts w:asciiTheme="minorHAnsi" w:eastAsiaTheme="minorEastAsia" w:hAnsiTheme="minorHAnsi" w:cstheme="minorBidi"/>
            <w:noProof/>
            <w:sz w:val="21"/>
            <w:szCs w:val="22"/>
          </w:rPr>
          <w:tab/>
        </w:r>
        <w:r w:rsidRPr="00325E4C">
          <w:rPr>
            <w:rStyle w:val="ac"/>
            <w:rFonts w:hint="eastAsia"/>
            <w:noProof/>
          </w:rPr>
          <w:t>环境影响识别和评价因子筛选</w:t>
        </w:r>
        <w:r>
          <w:rPr>
            <w:noProof/>
            <w:webHidden/>
          </w:rPr>
          <w:tab/>
        </w:r>
        <w:r>
          <w:rPr>
            <w:noProof/>
            <w:webHidden/>
          </w:rPr>
          <w:fldChar w:fldCharType="begin"/>
        </w:r>
        <w:r>
          <w:rPr>
            <w:noProof/>
            <w:webHidden/>
          </w:rPr>
          <w:instrText xml:space="preserve"> PAGEREF _Toc80170086 \h </w:instrText>
        </w:r>
        <w:r>
          <w:rPr>
            <w:noProof/>
            <w:webHidden/>
          </w:rPr>
        </w:r>
        <w:r>
          <w:rPr>
            <w:noProof/>
            <w:webHidden/>
          </w:rPr>
          <w:fldChar w:fldCharType="separate"/>
        </w:r>
        <w:r>
          <w:rPr>
            <w:noProof/>
            <w:webHidden/>
          </w:rPr>
          <w:t>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7" w:history="1">
        <w:r w:rsidRPr="00325E4C">
          <w:rPr>
            <w:rStyle w:val="ac"/>
            <w:noProof/>
          </w:rPr>
          <w:t>2.5</w:t>
        </w:r>
        <w:r>
          <w:rPr>
            <w:rFonts w:asciiTheme="minorHAnsi" w:eastAsiaTheme="minorEastAsia" w:hAnsiTheme="minorHAnsi" w:cstheme="minorBidi"/>
            <w:noProof/>
            <w:sz w:val="21"/>
            <w:szCs w:val="22"/>
          </w:rPr>
          <w:tab/>
        </w:r>
        <w:r w:rsidRPr="00325E4C">
          <w:rPr>
            <w:rStyle w:val="ac"/>
            <w:rFonts w:hint="eastAsia"/>
            <w:noProof/>
          </w:rPr>
          <w:t>相关环境功能区划与评价标准</w:t>
        </w:r>
        <w:r>
          <w:rPr>
            <w:noProof/>
            <w:webHidden/>
          </w:rPr>
          <w:tab/>
        </w:r>
        <w:r>
          <w:rPr>
            <w:noProof/>
            <w:webHidden/>
          </w:rPr>
          <w:fldChar w:fldCharType="begin"/>
        </w:r>
        <w:r>
          <w:rPr>
            <w:noProof/>
            <w:webHidden/>
          </w:rPr>
          <w:instrText xml:space="preserve"> PAGEREF _Toc80170087 \h </w:instrText>
        </w:r>
        <w:r>
          <w:rPr>
            <w:noProof/>
            <w:webHidden/>
          </w:rPr>
        </w:r>
        <w:r>
          <w:rPr>
            <w:noProof/>
            <w:webHidden/>
          </w:rPr>
          <w:fldChar w:fldCharType="separate"/>
        </w:r>
        <w:r>
          <w:rPr>
            <w:noProof/>
            <w:webHidden/>
          </w:rPr>
          <w:t>11</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8" w:history="1">
        <w:r w:rsidRPr="00325E4C">
          <w:rPr>
            <w:rStyle w:val="ac"/>
            <w:noProof/>
          </w:rPr>
          <w:t>2.6</w:t>
        </w:r>
        <w:r>
          <w:rPr>
            <w:rFonts w:asciiTheme="minorHAnsi" w:eastAsiaTheme="minorEastAsia" w:hAnsiTheme="minorHAnsi" w:cstheme="minorBidi"/>
            <w:noProof/>
            <w:sz w:val="21"/>
            <w:szCs w:val="22"/>
          </w:rPr>
          <w:tab/>
        </w:r>
        <w:r w:rsidRPr="00325E4C">
          <w:rPr>
            <w:rStyle w:val="ac"/>
            <w:rFonts w:hint="eastAsia"/>
            <w:noProof/>
          </w:rPr>
          <w:t>评价等级与评价范围</w:t>
        </w:r>
        <w:r>
          <w:rPr>
            <w:noProof/>
            <w:webHidden/>
          </w:rPr>
          <w:tab/>
        </w:r>
        <w:r>
          <w:rPr>
            <w:noProof/>
            <w:webHidden/>
          </w:rPr>
          <w:fldChar w:fldCharType="begin"/>
        </w:r>
        <w:r>
          <w:rPr>
            <w:noProof/>
            <w:webHidden/>
          </w:rPr>
          <w:instrText xml:space="preserve"> PAGEREF _Toc80170088 \h </w:instrText>
        </w:r>
        <w:r>
          <w:rPr>
            <w:noProof/>
            <w:webHidden/>
          </w:rPr>
        </w:r>
        <w:r>
          <w:rPr>
            <w:noProof/>
            <w:webHidden/>
          </w:rPr>
          <w:fldChar w:fldCharType="separate"/>
        </w:r>
        <w:r>
          <w:rPr>
            <w:noProof/>
            <w:webHidden/>
          </w:rPr>
          <w:t>16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89" w:history="1">
        <w:r w:rsidRPr="00325E4C">
          <w:rPr>
            <w:rStyle w:val="ac"/>
            <w:noProof/>
          </w:rPr>
          <w:t>2.7</w:t>
        </w:r>
        <w:r>
          <w:rPr>
            <w:rFonts w:asciiTheme="minorHAnsi" w:eastAsiaTheme="minorEastAsia" w:hAnsiTheme="minorHAnsi" w:cstheme="minorBidi"/>
            <w:noProof/>
            <w:sz w:val="21"/>
            <w:szCs w:val="22"/>
          </w:rPr>
          <w:tab/>
        </w:r>
        <w:r w:rsidRPr="00325E4C">
          <w:rPr>
            <w:rStyle w:val="ac"/>
            <w:rFonts w:hint="eastAsia"/>
            <w:noProof/>
          </w:rPr>
          <w:t>环境保护目标</w:t>
        </w:r>
        <w:r>
          <w:rPr>
            <w:noProof/>
            <w:webHidden/>
          </w:rPr>
          <w:tab/>
        </w:r>
        <w:r>
          <w:rPr>
            <w:noProof/>
            <w:webHidden/>
          </w:rPr>
          <w:fldChar w:fldCharType="begin"/>
        </w:r>
        <w:r>
          <w:rPr>
            <w:noProof/>
            <w:webHidden/>
          </w:rPr>
          <w:instrText xml:space="preserve"> PAGEREF _Toc80170089 \h </w:instrText>
        </w:r>
        <w:r>
          <w:rPr>
            <w:noProof/>
            <w:webHidden/>
          </w:rPr>
        </w:r>
        <w:r>
          <w:rPr>
            <w:noProof/>
            <w:webHidden/>
          </w:rPr>
          <w:fldChar w:fldCharType="separate"/>
        </w:r>
        <w:r>
          <w:rPr>
            <w:noProof/>
            <w:webHidden/>
          </w:rPr>
          <w:t>19</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090" w:history="1">
        <w:r w:rsidRPr="00325E4C">
          <w:rPr>
            <w:rStyle w:val="ac"/>
            <w:noProof/>
          </w:rPr>
          <w:t>3</w:t>
        </w:r>
        <w:r>
          <w:rPr>
            <w:rFonts w:asciiTheme="minorHAnsi" w:eastAsiaTheme="minorEastAsia" w:hAnsiTheme="minorHAnsi" w:cstheme="minorBidi"/>
            <w:noProof/>
            <w:sz w:val="21"/>
            <w:szCs w:val="22"/>
          </w:rPr>
          <w:tab/>
        </w:r>
        <w:r w:rsidRPr="00325E4C">
          <w:rPr>
            <w:rStyle w:val="ac"/>
            <w:rFonts w:hint="eastAsia"/>
            <w:noProof/>
          </w:rPr>
          <w:t>工程概况</w:t>
        </w:r>
        <w:r>
          <w:rPr>
            <w:noProof/>
            <w:webHidden/>
          </w:rPr>
          <w:tab/>
        </w:r>
        <w:r>
          <w:rPr>
            <w:noProof/>
            <w:webHidden/>
          </w:rPr>
          <w:fldChar w:fldCharType="begin"/>
        </w:r>
        <w:r>
          <w:rPr>
            <w:noProof/>
            <w:webHidden/>
          </w:rPr>
          <w:instrText xml:space="preserve"> PAGEREF _Toc80170090 \h </w:instrText>
        </w:r>
        <w:r>
          <w:rPr>
            <w:noProof/>
            <w:webHidden/>
          </w:rPr>
        </w:r>
        <w:r>
          <w:rPr>
            <w:noProof/>
            <w:webHidden/>
          </w:rPr>
          <w:fldChar w:fldCharType="separate"/>
        </w:r>
        <w:r>
          <w:rPr>
            <w:noProof/>
            <w:webHidden/>
          </w:rPr>
          <w:t>22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1" w:history="1">
        <w:r w:rsidRPr="00325E4C">
          <w:rPr>
            <w:rStyle w:val="ac"/>
            <w:noProof/>
          </w:rPr>
          <w:t>3.1</w:t>
        </w:r>
        <w:r>
          <w:rPr>
            <w:rFonts w:asciiTheme="minorHAnsi" w:eastAsiaTheme="minorEastAsia" w:hAnsiTheme="minorHAnsi" w:cstheme="minorBidi"/>
            <w:noProof/>
            <w:sz w:val="21"/>
            <w:szCs w:val="22"/>
          </w:rPr>
          <w:tab/>
        </w:r>
        <w:r w:rsidRPr="00325E4C">
          <w:rPr>
            <w:rStyle w:val="ac"/>
            <w:rFonts w:hint="eastAsia"/>
            <w:noProof/>
          </w:rPr>
          <w:t>流域规划</w:t>
        </w:r>
        <w:r>
          <w:rPr>
            <w:noProof/>
            <w:webHidden/>
          </w:rPr>
          <w:tab/>
        </w:r>
        <w:r>
          <w:rPr>
            <w:noProof/>
            <w:webHidden/>
          </w:rPr>
          <w:fldChar w:fldCharType="begin"/>
        </w:r>
        <w:r>
          <w:rPr>
            <w:noProof/>
            <w:webHidden/>
          </w:rPr>
          <w:instrText xml:space="preserve"> PAGEREF _Toc80170091 \h </w:instrText>
        </w:r>
        <w:r>
          <w:rPr>
            <w:noProof/>
            <w:webHidden/>
          </w:rPr>
        </w:r>
        <w:r>
          <w:rPr>
            <w:noProof/>
            <w:webHidden/>
          </w:rPr>
          <w:fldChar w:fldCharType="separate"/>
        </w:r>
        <w:r>
          <w:rPr>
            <w:noProof/>
            <w:webHidden/>
          </w:rPr>
          <w:t>22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2" w:history="1">
        <w:r w:rsidRPr="00325E4C">
          <w:rPr>
            <w:rStyle w:val="ac"/>
            <w:noProof/>
          </w:rPr>
          <w:t>3.2</w:t>
        </w:r>
        <w:r>
          <w:rPr>
            <w:rFonts w:asciiTheme="minorHAnsi" w:eastAsiaTheme="minorEastAsia" w:hAnsiTheme="minorHAnsi" w:cstheme="minorBidi"/>
            <w:noProof/>
            <w:sz w:val="21"/>
            <w:szCs w:val="22"/>
          </w:rPr>
          <w:tab/>
        </w:r>
        <w:r w:rsidRPr="00325E4C">
          <w:rPr>
            <w:rStyle w:val="ac"/>
            <w:rFonts w:hint="eastAsia"/>
            <w:noProof/>
          </w:rPr>
          <w:t>工程地理位置</w:t>
        </w:r>
        <w:r>
          <w:rPr>
            <w:noProof/>
            <w:webHidden/>
          </w:rPr>
          <w:tab/>
        </w:r>
        <w:r>
          <w:rPr>
            <w:noProof/>
            <w:webHidden/>
          </w:rPr>
          <w:fldChar w:fldCharType="begin"/>
        </w:r>
        <w:r>
          <w:rPr>
            <w:noProof/>
            <w:webHidden/>
          </w:rPr>
          <w:instrText xml:space="preserve"> PAGEREF _Toc80170092 \h </w:instrText>
        </w:r>
        <w:r>
          <w:rPr>
            <w:noProof/>
            <w:webHidden/>
          </w:rPr>
        </w:r>
        <w:r>
          <w:rPr>
            <w:noProof/>
            <w:webHidden/>
          </w:rPr>
          <w:fldChar w:fldCharType="separate"/>
        </w:r>
        <w:r>
          <w:rPr>
            <w:noProof/>
            <w:webHidden/>
          </w:rPr>
          <w:t>24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3" w:history="1">
        <w:r w:rsidRPr="00325E4C">
          <w:rPr>
            <w:rStyle w:val="ac"/>
            <w:noProof/>
          </w:rPr>
          <w:t>3.3</w:t>
        </w:r>
        <w:r>
          <w:rPr>
            <w:rFonts w:asciiTheme="minorHAnsi" w:eastAsiaTheme="minorEastAsia" w:hAnsiTheme="minorHAnsi" w:cstheme="minorBidi"/>
            <w:noProof/>
            <w:sz w:val="21"/>
            <w:szCs w:val="22"/>
          </w:rPr>
          <w:tab/>
        </w:r>
        <w:r w:rsidRPr="00325E4C">
          <w:rPr>
            <w:rStyle w:val="ac"/>
            <w:rFonts w:hint="eastAsia"/>
            <w:noProof/>
          </w:rPr>
          <w:t>工程任务、规模与运行方式</w:t>
        </w:r>
        <w:r>
          <w:rPr>
            <w:noProof/>
            <w:webHidden/>
          </w:rPr>
          <w:tab/>
        </w:r>
        <w:r>
          <w:rPr>
            <w:noProof/>
            <w:webHidden/>
          </w:rPr>
          <w:fldChar w:fldCharType="begin"/>
        </w:r>
        <w:r>
          <w:rPr>
            <w:noProof/>
            <w:webHidden/>
          </w:rPr>
          <w:instrText xml:space="preserve"> PAGEREF _Toc80170093 \h </w:instrText>
        </w:r>
        <w:r>
          <w:rPr>
            <w:noProof/>
            <w:webHidden/>
          </w:rPr>
        </w:r>
        <w:r>
          <w:rPr>
            <w:noProof/>
            <w:webHidden/>
          </w:rPr>
          <w:fldChar w:fldCharType="separate"/>
        </w:r>
        <w:r>
          <w:rPr>
            <w:noProof/>
            <w:webHidden/>
          </w:rPr>
          <w:t>24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4" w:history="1">
        <w:r w:rsidRPr="00325E4C">
          <w:rPr>
            <w:rStyle w:val="ac"/>
            <w:noProof/>
          </w:rPr>
          <w:t>3.4</w:t>
        </w:r>
        <w:r>
          <w:rPr>
            <w:rFonts w:asciiTheme="minorHAnsi" w:eastAsiaTheme="minorEastAsia" w:hAnsiTheme="minorHAnsi" w:cstheme="minorBidi"/>
            <w:noProof/>
            <w:sz w:val="21"/>
            <w:szCs w:val="22"/>
          </w:rPr>
          <w:tab/>
        </w:r>
        <w:r w:rsidRPr="00325E4C">
          <w:rPr>
            <w:rStyle w:val="ac"/>
            <w:rFonts w:hint="eastAsia"/>
            <w:noProof/>
          </w:rPr>
          <w:t>工程总布置与主要建筑物</w:t>
        </w:r>
        <w:r>
          <w:rPr>
            <w:noProof/>
            <w:webHidden/>
          </w:rPr>
          <w:tab/>
        </w:r>
        <w:r>
          <w:rPr>
            <w:noProof/>
            <w:webHidden/>
          </w:rPr>
          <w:fldChar w:fldCharType="begin"/>
        </w:r>
        <w:r>
          <w:rPr>
            <w:noProof/>
            <w:webHidden/>
          </w:rPr>
          <w:instrText xml:space="preserve"> PAGEREF _Toc80170094 \h </w:instrText>
        </w:r>
        <w:r>
          <w:rPr>
            <w:noProof/>
            <w:webHidden/>
          </w:rPr>
        </w:r>
        <w:r>
          <w:rPr>
            <w:noProof/>
            <w:webHidden/>
          </w:rPr>
          <w:fldChar w:fldCharType="separate"/>
        </w:r>
        <w:r>
          <w:rPr>
            <w:noProof/>
            <w:webHidden/>
          </w:rPr>
          <w:t>27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5" w:history="1">
        <w:r w:rsidRPr="00325E4C">
          <w:rPr>
            <w:rStyle w:val="ac"/>
            <w:noProof/>
          </w:rPr>
          <w:t>3.5</w:t>
        </w:r>
        <w:r>
          <w:rPr>
            <w:rFonts w:asciiTheme="minorHAnsi" w:eastAsiaTheme="minorEastAsia" w:hAnsiTheme="minorHAnsi" w:cstheme="minorBidi"/>
            <w:noProof/>
            <w:sz w:val="21"/>
            <w:szCs w:val="22"/>
          </w:rPr>
          <w:tab/>
        </w:r>
        <w:r w:rsidRPr="00325E4C">
          <w:rPr>
            <w:rStyle w:val="ac"/>
            <w:rFonts w:hint="eastAsia"/>
            <w:noProof/>
          </w:rPr>
          <w:t>工程施工布置及进度</w:t>
        </w:r>
        <w:r>
          <w:rPr>
            <w:noProof/>
            <w:webHidden/>
          </w:rPr>
          <w:tab/>
        </w:r>
        <w:r>
          <w:rPr>
            <w:noProof/>
            <w:webHidden/>
          </w:rPr>
          <w:fldChar w:fldCharType="begin"/>
        </w:r>
        <w:r>
          <w:rPr>
            <w:noProof/>
            <w:webHidden/>
          </w:rPr>
          <w:instrText xml:space="preserve"> PAGEREF _Toc80170095 \h </w:instrText>
        </w:r>
        <w:r>
          <w:rPr>
            <w:noProof/>
            <w:webHidden/>
          </w:rPr>
        </w:r>
        <w:r>
          <w:rPr>
            <w:noProof/>
            <w:webHidden/>
          </w:rPr>
          <w:fldChar w:fldCharType="separate"/>
        </w:r>
        <w:r>
          <w:rPr>
            <w:noProof/>
            <w:webHidden/>
          </w:rPr>
          <w:t>34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6" w:history="1">
        <w:r w:rsidRPr="00325E4C">
          <w:rPr>
            <w:rStyle w:val="ac"/>
            <w:noProof/>
          </w:rPr>
          <w:t>3.6</w:t>
        </w:r>
        <w:r>
          <w:rPr>
            <w:rFonts w:asciiTheme="minorHAnsi" w:eastAsiaTheme="minorEastAsia" w:hAnsiTheme="minorHAnsi" w:cstheme="minorBidi"/>
            <w:noProof/>
            <w:sz w:val="21"/>
            <w:szCs w:val="22"/>
          </w:rPr>
          <w:tab/>
        </w:r>
        <w:r w:rsidRPr="00325E4C">
          <w:rPr>
            <w:rStyle w:val="ac"/>
            <w:rFonts w:hint="eastAsia"/>
            <w:noProof/>
          </w:rPr>
          <w:t>淹没、占地与移民安置规划</w:t>
        </w:r>
        <w:r>
          <w:rPr>
            <w:noProof/>
            <w:webHidden/>
          </w:rPr>
          <w:tab/>
        </w:r>
        <w:r>
          <w:rPr>
            <w:noProof/>
            <w:webHidden/>
          </w:rPr>
          <w:fldChar w:fldCharType="begin"/>
        </w:r>
        <w:r>
          <w:rPr>
            <w:noProof/>
            <w:webHidden/>
          </w:rPr>
          <w:instrText xml:space="preserve"> PAGEREF _Toc80170096 \h </w:instrText>
        </w:r>
        <w:r>
          <w:rPr>
            <w:noProof/>
            <w:webHidden/>
          </w:rPr>
        </w:r>
        <w:r>
          <w:rPr>
            <w:noProof/>
            <w:webHidden/>
          </w:rPr>
          <w:fldChar w:fldCharType="separate"/>
        </w:r>
        <w:r>
          <w:rPr>
            <w:noProof/>
            <w:webHidden/>
          </w:rPr>
          <w:t>46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7" w:history="1">
        <w:r w:rsidRPr="00325E4C">
          <w:rPr>
            <w:rStyle w:val="ac"/>
            <w:noProof/>
          </w:rPr>
          <w:t>3.7</w:t>
        </w:r>
        <w:r>
          <w:rPr>
            <w:rFonts w:asciiTheme="minorHAnsi" w:eastAsiaTheme="minorEastAsia" w:hAnsiTheme="minorHAnsi" w:cstheme="minorBidi"/>
            <w:noProof/>
            <w:sz w:val="21"/>
            <w:szCs w:val="22"/>
          </w:rPr>
          <w:tab/>
        </w:r>
        <w:r w:rsidRPr="00325E4C">
          <w:rPr>
            <w:rStyle w:val="ac"/>
            <w:rFonts w:hint="eastAsia"/>
            <w:noProof/>
          </w:rPr>
          <w:t>工程管理</w:t>
        </w:r>
        <w:r>
          <w:rPr>
            <w:noProof/>
            <w:webHidden/>
          </w:rPr>
          <w:tab/>
        </w:r>
        <w:r>
          <w:rPr>
            <w:noProof/>
            <w:webHidden/>
          </w:rPr>
          <w:fldChar w:fldCharType="begin"/>
        </w:r>
        <w:r>
          <w:rPr>
            <w:noProof/>
            <w:webHidden/>
          </w:rPr>
          <w:instrText xml:space="preserve"> PAGEREF _Toc80170097 \h </w:instrText>
        </w:r>
        <w:r>
          <w:rPr>
            <w:noProof/>
            <w:webHidden/>
          </w:rPr>
        </w:r>
        <w:r>
          <w:rPr>
            <w:noProof/>
            <w:webHidden/>
          </w:rPr>
          <w:fldChar w:fldCharType="separate"/>
        </w:r>
        <w:r>
          <w:rPr>
            <w:noProof/>
            <w:webHidden/>
          </w:rPr>
          <w:t>48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8" w:history="1">
        <w:r w:rsidRPr="00325E4C">
          <w:rPr>
            <w:rStyle w:val="ac"/>
            <w:noProof/>
          </w:rPr>
          <w:t>3.8</w:t>
        </w:r>
        <w:r>
          <w:rPr>
            <w:rFonts w:asciiTheme="minorHAnsi" w:eastAsiaTheme="minorEastAsia" w:hAnsiTheme="minorHAnsi" w:cstheme="minorBidi"/>
            <w:noProof/>
            <w:sz w:val="21"/>
            <w:szCs w:val="22"/>
          </w:rPr>
          <w:tab/>
        </w:r>
        <w:r w:rsidRPr="00325E4C">
          <w:rPr>
            <w:rStyle w:val="ac"/>
            <w:rFonts w:hint="eastAsia"/>
            <w:noProof/>
          </w:rPr>
          <w:t>工程投资估算</w:t>
        </w:r>
        <w:r>
          <w:rPr>
            <w:noProof/>
            <w:webHidden/>
          </w:rPr>
          <w:tab/>
        </w:r>
        <w:r>
          <w:rPr>
            <w:noProof/>
            <w:webHidden/>
          </w:rPr>
          <w:fldChar w:fldCharType="begin"/>
        </w:r>
        <w:r>
          <w:rPr>
            <w:noProof/>
            <w:webHidden/>
          </w:rPr>
          <w:instrText xml:space="preserve"> PAGEREF _Toc80170098 \h </w:instrText>
        </w:r>
        <w:r>
          <w:rPr>
            <w:noProof/>
            <w:webHidden/>
          </w:rPr>
        </w:r>
        <w:r>
          <w:rPr>
            <w:noProof/>
            <w:webHidden/>
          </w:rPr>
          <w:fldChar w:fldCharType="separate"/>
        </w:r>
        <w:r>
          <w:rPr>
            <w:noProof/>
            <w:webHidden/>
          </w:rPr>
          <w:t>48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099" w:history="1">
        <w:r w:rsidRPr="00325E4C">
          <w:rPr>
            <w:rStyle w:val="ac"/>
            <w:noProof/>
          </w:rPr>
          <w:t>3.9</w:t>
        </w:r>
        <w:r>
          <w:rPr>
            <w:rFonts w:asciiTheme="minorHAnsi" w:eastAsiaTheme="minorEastAsia" w:hAnsiTheme="minorHAnsi" w:cstheme="minorBidi"/>
            <w:noProof/>
            <w:sz w:val="21"/>
            <w:szCs w:val="22"/>
          </w:rPr>
          <w:tab/>
        </w:r>
        <w:r w:rsidRPr="00325E4C">
          <w:rPr>
            <w:rStyle w:val="ac"/>
            <w:rFonts w:hint="eastAsia"/>
            <w:noProof/>
          </w:rPr>
          <w:t>项目的主要技术经济特征</w:t>
        </w:r>
        <w:r>
          <w:rPr>
            <w:noProof/>
            <w:webHidden/>
          </w:rPr>
          <w:tab/>
        </w:r>
        <w:r>
          <w:rPr>
            <w:noProof/>
            <w:webHidden/>
          </w:rPr>
          <w:fldChar w:fldCharType="begin"/>
        </w:r>
        <w:r>
          <w:rPr>
            <w:noProof/>
            <w:webHidden/>
          </w:rPr>
          <w:instrText xml:space="preserve"> PAGEREF _Toc80170099 \h </w:instrText>
        </w:r>
        <w:r>
          <w:rPr>
            <w:noProof/>
            <w:webHidden/>
          </w:rPr>
        </w:r>
        <w:r>
          <w:rPr>
            <w:noProof/>
            <w:webHidden/>
          </w:rPr>
          <w:fldChar w:fldCharType="separate"/>
        </w:r>
        <w:r>
          <w:rPr>
            <w:noProof/>
            <w:webHidden/>
          </w:rPr>
          <w:t>48</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00" w:history="1">
        <w:r w:rsidRPr="00325E4C">
          <w:rPr>
            <w:rStyle w:val="ac"/>
            <w:noProof/>
          </w:rPr>
          <w:t>4</w:t>
        </w:r>
        <w:r>
          <w:rPr>
            <w:rFonts w:asciiTheme="minorHAnsi" w:eastAsiaTheme="minorEastAsia" w:hAnsiTheme="minorHAnsi" w:cstheme="minorBidi"/>
            <w:noProof/>
            <w:sz w:val="21"/>
            <w:szCs w:val="22"/>
          </w:rPr>
          <w:tab/>
        </w:r>
        <w:r w:rsidRPr="00325E4C">
          <w:rPr>
            <w:rStyle w:val="ac"/>
            <w:rFonts w:hint="eastAsia"/>
            <w:noProof/>
          </w:rPr>
          <w:t>工程分析</w:t>
        </w:r>
        <w:r>
          <w:rPr>
            <w:noProof/>
            <w:webHidden/>
          </w:rPr>
          <w:tab/>
        </w:r>
        <w:r>
          <w:rPr>
            <w:noProof/>
            <w:webHidden/>
          </w:rPr>
          <w:fldChar w:fldCharType="begin"/>
        </w:r>
        <w:r>
          <w:rPr>
            <w:noProof/>
            <w:webHidden/>
          </w:rPr>
          <w:instrText xml:space="preserve"> PAGEREF _Toc80170100 \h </w:instrText>
        </w:r>
        <w:r>
          <w:rPr>
            <w:noProof/>
            <w:webHidden/>
          </w:rPr>
        </w:r>
        <w:r>
          <w:rPr>
            <w:noProof/>
            <w:webHidden/>
          </w:rPr>
          <w:fldChar w:fldCharType="separate"/>
        </w:r>
        <w:r>
          <w:rPr>
            <w:noProof/>
            <w:webHidden/>
          </w:rPr>
          <w:t>54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1" w:history="1">
        <w:r w:rsidRPr="00325E4C">
          <w:rPr>
            <w:rStyle w:val="ac"/>
            <w:noProof/>
          </w:rPr>
          <w:t>4.1</w:t>
        </w:r>
        <w:r>
          <w:rPr>
            <w:rFonts w:asciiTheme="minorHAnsi" w:eastAsiaTheme="minorEastAsia" w:hAnsiTheme="minorHAnsi" w:cstheme="minorBidi"/>
            <w:noProof/>
            <w:sz w:val="21"/>
            <w:szCs w:val="22"/>
          </w:rPr>
          <w:tab/>
        </w:r>
        <w:r w:rsidRPr="00325E4C">
          <w:rPr>
            <w:rStyle w:val="ac"/>
            <w:rFonts w:hint="eastAsia"/>
            <w:noProof/>
          </w:rPr>
          <w:t>工程与规划相符性分析</w:t>
        </w:r>
        <w:r>
          <w:rPr>
            <w:noProof/>
            <w:webHidden/>
          </w:rPr>
          <w:tab/>
        </w:r>
        <w:r>
          <w:rPr>
            <w:noProof/>
            <w:webHidden/>
          </w:rPr>
          <w:fldChar w:fldCharType="begin"/>
        </w:r>
        <w:r>
          <w:rPr>
            <w:noProof/>
            <w:webHidden/>
          </w:rPr>
          <w:instrText xml:space="preserve"> PAGEREF _Toc80170101 \h </w:instrText>
        </w:r>
        <w:r>
          <w:rPr>
            <w:noProof/>
            <w:webHidden/>
          </w:rPr>
        </w:r>
        <w:r>
          <w:rPr>
            <w:noProof/>
            <w:webHidden/>
          </w:rPr>
          <w:fldChar w:fldCharType="separate"/>
        </w:r>
        <w:r>
          <w:rPr>
            <w:noProof/>
            <w:webHidden/>
          </w:rPr>
          <w:t>54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2" w:history="1">
        <w:r w:rsidRPr="00325E4C">
          <w:rPr>
            <w:rStyle w:val="ac"/>
            <w:noProof/>
          </w:rPr>
          <w:t>4.2</w:t>
        </w:r>
        <w:r>
          <w:rPr>
            <w:rFonts w:asciiTheme="minorHAnsi" w:eastAsiaTheme="minorEastAsia" w:hAnsiTheme="minorHAnsi" w:cstheme="minorBidi"/>
            <w:noProof/>
            <w:sz w:val="21"/>
            <w:szCs w:val="22"/>
          </w:rPr>
          <w:tab/>
        </w:r>
        <w:r w:rsidRPr="00325E4C">
          <w:rPr>
            <w:rStyle w:val="ac"/>
            <w:rFonts w:hint="eastAsia"/>
            <w:noProof/>
          </w:rPr>
          <w:t>工程影响因素分析</w:t>
        </w:r>
        <w:r>
          <w:rPr>
            <w:noProof/>
            <w:webHidden/>
          </w:rPr>
          <w:tab/>
        </w:r>
        <w:r>
          <w:rPr>
            <w:noProof/>
            <w:webHidden/>
          </w:rPr>
          <w:fldChar w:fldCharType="begin"/>
        </w:r>
        <w:r>
          <w:rPr>
            <w:noProof/>
            <w:webHidden/>
          </w:rPr>
          <w:instrText xml:space="preserve"> PAGEREF _Toc80170102 \h </w:instrText>
        </w:r>
        <w:r>
          <w:rPr>
            <w:noProof/>
            <w:webHidden/>
          </w:rPr>
        </w:r>
        <w:r>
          <w:rPr>
            <w:noProof/>
            <w:webHidden/>
          </w:rPr>
          <w:fldChar w:fldCharType="separate"/>
        </w:r>
        <w:r>
          <w:rPr>
            <w:noProof/>
            <w:webHidden/>
          </w:rPr>
          <w:t>54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3" w:history="1">
        <w:r w:rsidRPr="00325E4C">
          <w:rPr>
            <w:rStyle w:val="ac"/>
            <w:noProof/>
          </w:rPr>
          <w:t>4.3</w:t>
        </w:r>
        <w:r>
          <w:rPr>
            <w:rFonts w:asciiTheme="minorHAnsi" w:eastAsiaTheme="minorEastAsia" w:hAnsiTheme="minorHAnsi" w:cstheme="minorBidi"/>
            <w:noProof/>
            <w:sz w:val="21"/>
            <w:szCs w:val="22"/>
          </w:rPr>
          <w:tab/>
        </w:r>
        <w:r w:rsidRPr="00325E4C">
          <w:rPr>
            <w:rStyle w:val="ac"/>
            <w:rFonts w:hint="eastAsia"/>
            <w:noProof/>
          </w:rPr>
          <w:t>施工期污染源强分析</w:t>
        </w:r>
        <w:r>
          <w:rPr>
            <w:noProof/>
            <w:webHidden/>
          </w:rPr>
          <w:tab/>
        </w:r>
        <w:r>
          <w:rPr>
            <w:noProof/>
            <w:webHidden/>
          </w:rPr>
          <w:fldChar w:fldCharType="begin"/>
        </w:r>
        <w:r>
          <w:rPr>
            <w:noProof/>
            <w:webHidden/>
          </w:rPr>
          <w:instrText xml:space="preserve"> PAGEREF _Toc80170103 \h </w:instrText>
        </w:r>
        <w:r>
          <w:rPr>
            <w:noProof/>
            <w:webHidden/>
          </w:rPr>
        </w:r>
        <w:r>
          <w:rPr>
            <w:noProof/>
            <w:webHidden/>
          </w:rPr>
          <w:fldChar w:fldCharType="separate"/>
        </w:r>
        <w:r>
          <w:rPr>
            <w:noProof/>
            <w:webHidden/>
          </w:rPr>
          <w:t>63</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4" w:history="1">
        <w:r w:rsidRPr="00325E4C">
          <w:rPr>
            <w:rStyle w:val="ac"/>
            <w:noProof/>
          </w:rPr>
          <w:t>4.4</w:t>
        </w:r>
        <w:r>
          <w:rPr>
            <w:rFonts w:asciiTheme="minorHAnsi" w:eastAsiaTheme="minorEastAsia" w:hAnsiTheme="minorHAnsi" w:cstheme="minorBidi"/>
            <w:noProof/>
            <w:sz w:val="21"/>
            <w:szCs w:val="22"/>
          </w:rPr>
          <w:tab/>
        </w:r>
        <w:r w:rsidRPr="00325E4C">
          <w:rPr>
            <w:rStyle w:val="ac"/>
            <w:rFonts w:hint="eastAsia"/>
            <w:noProof/>
          </w:rPr>
          <w:t>运营期污染源强分析</w:t>
        </w:r>
        <w:r>
          <w:rPr>
            <w:noProof/>
            <w:webHidden/>
          </w:rPr>
          <w:tab/>
        </w:r>
        <w:r>
          <w:rPr>
            <w:noProof/>
            <w:webHidden/>
          </w:rPr>
          <w:fldChar w:fldCharType="begin"/>
        </w:r>
        <w:r>
          <w:rPr>
            <w:noProof/>
            <w:webHidden/>
          </w:rPr>
          <w:instrText xml:space="preserve"> PAGEREF _Toc80170104 \h </w:instrText>
        </w:r>
        <w:r>
          <w:rPr>
            <w:noProof/>
            <w:webHidden/>
          </w:rPr>
        </w:r>
        <w:r>
          <w:rPr>
            <w:noProof/>
            <w:webHidden/>
          </w:rPr>
          <w:fldChar w:fldCharType="separate"/>
        </w:r>
        <w:r>
          <w:rPr>
            <w:noProof/>
            <w:webHidden/>
          </w:rPr>
          <w:t>68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5" w:history="1">
        <w:r w:rsidRPr="00325E4C">
          <w:rPr>
            <w:rStyle w:val="ac"/>
            <w:noProof/>
          </w:rPr>
          <w:t>4.5</w:t>
        </w:r>
        <w:r>
          <w:rPr>
            <w:rFonts w:asciiTheme="minorHAnsi" w:eastAsiaTheme="minorEastAsia" w:hAnsiTheme="minorHAnsi" w:cstheme="minorBidi"/>
            <w:noProof/>
            <w:sz w:val="21"/>
            <w:szCs w:val="22"/>
          </w:rPr>
          <w:tab/>
        </w:r>
        <w:r w:rsidRPr="00325E4C">
          <w:rPr>
            <w:rStyle w:val="ac"/>
            <w:rFonts w:hint="eastAsia"/>
            <w:noProof/>
          </w:rPr>
          <w:t>污染物产生与排放汇总</w:t>
        </w:r>
        <w:r>
          <w:rPr>
            <w:noProof/>
            <w:webHidden/>
          </w:rPr>
          <w:tab/>
        </w:r>
        <w:r>
          <w:rPr>
            <w:noProof/>
            <w:webHidden/>
          </w:rPr>
          <w:fldChar w:fldCharType="begin"/>
        </w:r>
        <w:r>
          <w:rPr>
            <w:noProof/>
            <w:webHidden/>
          </w:rPr>
          <w:instrText xml:space="preserve"> PAGEREF _Toc80170105 \h </w:instrText>
        </w:r>
        <w:r>
          <w:rPr>
            <w:noProof/>
            <w:webHidden/>
          </w:rPr>
        </w:r>
        <w:r>
          <w:rPr>
            <w:noProof/>
            <w:webHidden/>
          </w:rPr>
          <w:fldChar w:fldCharType="separate"/>
        </w:r>
        <w:r>
          <w:rPr>
            <w:noProof/>
            <w:webHidden/>
          </w:rPr>
          <w:t>69</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06" w:history="1">
        <w:r w:rsidRPr="00325E4C">
          <w:rPr>
            <w:rStyle w:val="ac"/>
            <w:noProof/>
          </w:rPr>
          <w:t>5</w:t>
        </w:r>
        <w:r>
          <w:rPr>
            <w:rFonts w:asciiTheme="minorHAnsi" w:eastAsiaTheme="minorEastAsia" w:hAnsiTheme="minorHAnsi" w:cstheme="minorBidi"/>
            <w:noProof/>
            <w:sz w:val="21"/>
            <w:szCs w:val="22"/>
          </w:rPr>
          <w:tab/>
        </w:r>
        <w:r w:rsidRPr="00325E4C">
          <w:rPr>
            <w:rStyle w:val="ac"/>
            <w:rFonts w:hint="eastAsia"/>
            <w:noProof/>
          </w:rPr>
          <w:t>环境现状</w:t>
        </w:r>
        <w:r>
          <w:rPr>
            <w:noProof/>
            <w:webHidden/>
          </w:rPr>
          <w:tab/>
        </w:r>
        <w:r>
          <w:rPr>
            <w:noProof/>
            <w:webHidden/>
          </w:rPr>
          <w:fldChar w:fldCharType="begin"/>
        </w:r>
        <w:r>
          <w:rPr>
            <w:noProof/>
            <w:webHidden/>
          </w:rPr>
          <w:instrText xml:space="preserve"> PAGEREF _Toc80170106 \h </w:instrText>
        </w:r>
        <w:r>
          <w:rPr>
            <w:noProof/>
            <w:webHidden/>
          </w:rPr>
        </w:r>
        <w:r>
          <w:rPr>
            <w:noProof/>
            <w:webHidden/>
          </w:rPr>
          <w:fldChar w:fldCharType="separate"/>
        </w:r>
        <w:r>
          <w:rPr>
            <w:noProof/>
            <w:webHidden/>
          </w:rPr>
          <w:t>70</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7" w:history="1">
        <w:r w:rsidRPr="00325E4C">
          <w:rPr>
            <w:rStyle w:val="ac"/>
            <w:noProof/>
          </w:rPr>
          <w:t>5.1</w:t>
        </w:r>
        <w:r>
          <w:rPr>
            <w:rFonts w:asciiTheme="minorHAnsi" w:eastAsiaTheme="minorEastAsia" w:hAnsiTheme="minorHAnsi" w:cstheme="minorBidi"/>
            <w:noProof/>
            <w:sz w:val="21"/>
            <w:szCs w:val="22"/>
          </w:rPr>
          <w:tab/>
        </w:r>
        <w:r w:rsidRPr="00325E4C">
          <w:rPr>
            <w:rStyle w:val="ac"/>
            <w:rFonts w:hint="eastAsia"/>
            <w:noProof/>
          </w:rPr>
          <w:t>流域环境概况</w:t>
        </w:r>
        <w:r>
          <w:rPr>
            <w:noProof/>
            <w:webHidden/>
          </w:rPr>
          <w:tab/>
        </w:r>
        <w:r>
          <w:rPr>
            <w:noProof/>
            <w:webHidden/>
          </w:rPr>
          <w:fldChar w:fldCharType="begin"/>
        </w:r>
        <w:r>
          <w:rPr>
            <w:noProof/>
            <w:webHidden/>
          </w:rPr>
          <w:instrText xml:space="preserve"> PAGEREF _Toc80170107 \h </w:instrText>
        </w:r>
        <w:r>
          <w:rPr>
            <w:noProof/>
            <w:webHidden/>
          </w:rPr>
        </w:r>
        <w:r>
          <w:rPr>
            <w:noProof/>
            <w:webHidden/>
          </w:rPr>
          <w:fldChar w:fldCharType="separate"/>
        </w:r>
        <w:r>
          <w:rPr>
            <w:noProof/>
            <w:webHidden/>
          </w:rPr>
          <w:t>70</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8" w:history="1">
        <w:r w:rsidRPr="00325E4C">
          <w:rPr>
            <w:rStyle w:val="ac"/>
            <w:noProof/>
          </w:rPr>
          <w:t>5.2</w:t>
        </w:r>
        <w:r>
          <w:rPr>
            <w:rFonts w:asciiTheme="minorHAnsi" w:eastAsiaTheme="minorEastAsia" w:hAnsiTheme="minorHAnsi" w:cstheme="minorBidi"/>
            <w:noProof/>
            <w:sz w:val="21"/>
            <w:szCs w:val="22"/>
          </w:rPr>
          <w:tab/>
        </w:r>
        <w:r w:rsidRPr="00325E4C">
          <w:rPr>
            <w:rStyle w:val="ac"/>
            <w:rFonts w:hint="eastAsia"/>
            <w:noProof/>
          </w:rPr>
          <w:t>生态环境现状调查与评价</w:t>
        </w:r>
        <w:r>
          <w:rPr>
            <w:noProof/>
            <w:webHidden/>
          </w:rPr>
          <w:tab/>
        </w:r>
        <w:r>
          <w:rPr>
            <w:noProof/>
            <w:webHidden/>
          </w:rPr>
          <w:fldChar w:fldCharType="begin"/>
        </w:r>
        <w:r>
          <w:rPr>
            <w:noProof/>
            <w:webHidden/>
          </w:rPr>
          <w:instrText xml:space="preserve"> PAGEREF _Toc80170108 \h </w:instrText>
        </w:r>
        <w:r>
          <w:rPr>
            <w:noProof/>
            <w:webHidden/>
          </w:rPr>
        </w:r>
        <w:r>
          <w:rPr>
            <w:noProof/>
            <w:webHidden/>
          </w:rPr>
          <w:fldChar w:fldCharType="separate"/>
        </w:r>
        <w:r>
          <w:rPr>
            <w:noProof/>
            <w:webHidden/>
          </w:rPr>
          <w:t>79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09" w:history="1">
        <w:r w:rsidRPr="00325E4C">
          <w:rPr>
            <w:rStyle w:val="ac"/>
            <w:noProof/>
          </w:rPr>
          <w:t>5.3</w:t>
        </w:r>
        <w:r>
          <w:rPr>
            <w:rFonts w:asciiTheme="minorHAnsi" w:eastAsiaTheme="minorEastAsia" w:hAnsiTheme="minorHAnsi" w:cstheme="minorBidi"/>
            <w:noProof/>
            <w:sz w:val="21"/>
            <w:szCs w:val="22"/>
          </w:rPr>
          <w:tab/>
        </w:r>
        <w:r w:rsidRPr="00325E4C">
          <w:rPr>
            <w:rStyle w:val="ac"/>
            <w:rFonts w:hint="eastAsia"/>
            <w:noProof/>
          </w:rPr>
          <w:t>环境现状评价</w:t>
        </w:r>
        <w:r>
          <w:rPr>
            <w:noProof/>
            <w:webHidden/>
          </w:rPr>
          <w:tab/>
        </w:r>
        <w:r>
          <w:rPr>
            <w:noProof/>
            <w:webHidden/>
          </w:rPr>
          <w:fldChar w:fldCharType="begin"/>
        </w:r>
        <w:r>
          <w:rPr>
            <w:noProof/>
            <w:webHidden/>
          </w:rPr>
          <w:instrText xml:space="preserve"> PAGEREF _Toc80170109 \h </w:instrText>
        </w:r>
        <w:r>
          <w:rPr>
            <w:noProof/>
            <w:webHidden/>
          </w:rPr>
        </w:r>
        <w:r>
          <w:rPr>
            <w:noProof/>
            <w:webHidden/>
          </w:rPr>
          <w:fldChar w:fldCharType="separate"/>
        </w:r>
        <w:r>
          <w:rPr>
            <w:noProof/>
            <w:webHidden/>
          </w:rPr>
          <w:t>97</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10" w:history="1">
        <w:r w:rsidRPr="00325E4C">
          <w:rPr>
            <w:rStyle w:val="ac"/>
            <w:noProof/>
          </w:rPr>
          <w:t>6</w:t>
        </w:r>
        <w:r>
          <w:rPr>
            <w:rFonts w:asciiTheme="minorHAnsi" w:eastAsiaTheme="minorEastAsia" w:hAnsiTheme="minorHAnsi" w:cstheme="minorBidi"/>
            <w:noProof/>
            <w:sz w:val="21"/>
            <w:szCs w:val="22"/>
          </w:rPr>
          <w:tab/>
        </w:r>
        <w:r w:rsidRPr="00325E4C">
          <w:rPr>
            <w:rStyle w:val="ac"/>
            <w:rFonts w:hint="eastAsia"/>
            <w:noProof/>
          </w:rPr>
          <w:t>环境影响预测与评价</w:t>
        </w:r>
        <w:r>
          <w:rPr>
            <w:noProof/>
            <w:webHidden/>
          </w:rPr>
          <w:tab/>
        </w:r>
        <w:r>
          <w:rPr>
            <w:noProof/>
            <w:webHidden/>
          </w:rPr>
          <w:fldChar w:fldCharType="begin"/>
        </w:r>
        <w:r>
          <w:rPr>
            <w:noProof/>
            <w:webHidden/>
          </w:rPr>
          <w:instrText xml:space="preserve"> PAGEREF _Toc80170110 \h </w:instrText>
        </w:r>
        <w:r>
          <w:rPr>
            <w:noProof/>
            <w:webHidden/>
          </w:rPr>
        </w:r>
        <w:r>
          <w:rPr>
            <w:noProof/>
            <w:webHidden/>
          </w:rPr>
          <w:fldChar w:fldCharType="separate"/>
        </w:r>
        <w:r>
          <w:rPr>
            <w:noProof/>
            <w:webHidden/>
          </w:rPr>
          <w:t>115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1" w:history="1">
        <w:r w:rsidRPr="00325E4C">
          <w:rPr>
            <w:rStyle w:val="ac"/>
            <w:noProof/>
          </w:rPr>
          <w:t>6.1</w:t>
        </w:r>
        <w:r>
          <w:rPr>
            <w:rFonts w:asciiTheme="minorHAnsi" w:eastAsiaTheme="minorEastAsia" w:hAnsiTheme="minorHAnsi" w:cstheme="minorBidi"/>
            <w:noProof/>
            <w:sz w:val="21"/>
            <w:szCs w:val="22"/>
          </w:rPr>
          <w:tab/>
        </w:r>
        <w:r w:rsidRPr="00325E4C">
          <w:rPr>
            <w:rStyle w:val="ac"/>
            <w:rFonts w:hint="eastAsia"/>
            <w:noProof/>
          </w:rPr>
          <w:t>生态环境影响预测与评价</w:t>
        </w:r>
        <w:r>
          <w:rPr>
            <w:noProof/>
            <w:webHidden/>
          </w:rPr>
          <w:tab/>
        </w:r>
        <w:r>
          <w:rPr>
            <w:noProof/>
            <w:webHidden/>
          </w:rPr>
          <w:fldChar w:fldCharType="begin"/>
        </w:r>
        <w:r>
          <w:rPr>
            <w:noProof/>
            <w:webHidden/>
          </w:rPr>
          <w:instrText xml:space="preserve"> PAGEREF _Toc80170111 \h </w:instrText>
        </w:r>
        <w:r>
          <w:rPr>
            <w:noProof/>
            <w:webHidden/>
          </w:rPr>
        </w:r>
        <w:r>
          <w:rPr>
            <w:noProof/>
            <w:webHidden/>
          </w:rPr>
          <w:fldChar w:fldCharType="separate"/>
        </w:r>
        <w:r>
          <w:rPr>
            <w:noProof/>
            <w:webHidden/>
          </w:rPr>
          <w:t>115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2" w:history="1">
        <w:r w:rsidRPr="00325E4C">
          <w:rPr>
            <w:rStyle w:val="ac"/>
            <w:noProof/>
          </w:rPr>
          <w:t>6.2</w:t>
        </w:r>
        <w:r>
          <w:rPr>
            <w:rFonts w:asciiTheme="minorHAnsi" w:eastAsiaTheme="minorEastAsia" w:hAnsiTheme="minorHAnsi" w:cstheme="minorBidi"/>
            <w:noProof/>
            <w:sz w:val="21"/>
            <w:szCs w:val="22"/>
          </w:rPr>
          <w:tab/>
        </w:r>
        <w:r w:rsidRPr="00325E4C">
          <w:rPr>
            <w:rStyle w:val="ac"/>
            <w:rFonts w:hint="eastAsia"/>
            <w:noProof/>
          </w:rPr>
          <w:t>水土流失影响预测与评价</w:t>
        </w:r>
        <w:r>
          <w:rPr>
            <w:noProof/>
            <w:webHidden/>
          </w:rPr>
          <w:tab/>
        </w:r>
        <w:r>
          <w:rPr>
            <w:noProof/>
            <w:webHidden/>
          </w:rPr>
          <w:fldChar w:fldCharType="begin"/>
        </w:r>
        <w:r>
          <w:rPr>
            <w:noProof/>
            <w:webHidden/>
          </w:rPr>
          <w:instrText xml:space="preserve"> PAGEREF _Toc80170112 \h </w:instrText>
        </w:r>
        <w:r>
          <w:rPr>
            <w:noProof/>
            <w:webHidden/>
          </w:rPr>
        </w:r>
        <w:r>
          <w:rPr>
            <w:noProof/>
            <w:webHidden/>
          </w:rPr>
          <w:fldChar w:fldCharType="separate"/>
        </w:r>
        <w:r>
          <w:rPr>
            <w:noProof/>
            <w:webHidden/>
          </w:rPr>
          <w:t>124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3" w:history="1">
        <w:r w:rsidRPr="00325E4C">
          <w:rPr>
            <w:rStyle w:val="ac"/>
            <w:noProof/>
          </w:rPr>
          <w:t>6.3</w:t>
        </w:r>
        <w:r>
          <w:rPr>
            <w:rFonts w:asciiTheme="minorHAnsi" w:eastAsiaTheme="minorEastAsia" w:hAnsiTheme="minorHAnsi" w:cstheme="minorBidi"/>
            <w:noProof/>
            <w:sz w:val="21"/>
            <w:szCs w:val="22"/>
          </w:rPr>
          <w:tab/>
        </w:r>
        <w:r w:rsidRPr="00325E4C">
          <w:rPr>
            <w:rStyle w:val="ac"/>
            <w:rFonts w:hint="eastAsia"/>
            <w:noProof/>
          </w:rPr>
          <w:t>环境空气影响分析</w:t>
        </w:r>
        <w:r>
          <w:rPr>
            <w:noProof/>
            <w:webHidden/>
          </w:rPr>
          <w:tab/>
        </w:r>
        <w:r>
          <w:rPr>
            <w:noProof/>
            <w:webHidden/>
          </w:rPr>
          <w:fldChar w:fldCharType="begin"/>
        </w:r>
        <w:r>
          <w:rPr>
            <w:noProof/>
            <w:webHidden/>
          </w:rPr>
          <w:instrText xml:space="preserve"> PAGEREF _Toc80170113 \h </w:instrText>
        </w:r>
        <w:r>
          <w:rPr>
            <w:noProof/>
            <w:webHidden/>
          </w:rPr>
        </w:r>
        <w:r>
          <w:rPr>
            <w:noProof/>
            <w:webHidden/>
          </w:rPr>
          <w:fldChar w:fldCharType="separate"/>
        </w:r>
        <w:r>
          <w:rPr>
            <w:noProof/>
            <w:webHidden/>
          </w:rPr>
          <w:t>128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4" w:history="1">
        <w:r w:rsidRPr="00325E4C">
          <w:rPr>
            <w:rStyle w:val="ac"/>
            <w:noProof/>
          </w:rPr>
          <w:t>6.4</w:t>
        </w:r>
        <w:r>
          <w:rPr>
            <w:rFonts w:asciiTheme="minorHAnsi" w:eastAsiaTheme="minorEastAsia" w:hAnsiTheme="minorHAnsi" w:cstheme="minorBidi"/>
            <w:noProof/>
            <w:sz w:val="21"/>
            <w:szCs w:val="22"/>
          </w:rPr>
          <w:tab/>
        </w:r>
        <w:r w:rsidRPr="00325E4C">
          <w:rPr>
            <w:rStyle w:val="ac"/>
            <w:rFonts w:hint="eastAsia"/>
            <w:noProof/>
          </w:rPr>
          <w:t>地表水影响分析</w:t>
        </w:r>
        <w:r>
          <w:rPr>
            <w:noProof/>
            <w:webHidden/>
          </w:rPr>
          <w:tab/>
        </w:r>
        <w:r>
          <w:rPr>
            <w:noProof/>
            <w:webHidden/>
          </w:rPr>
          <w:fldChar w:fldCharType="begin"/>
        </w:r>
        <w:r>
          <w:rPr>
            <w:noProof/>
            <w:webHidden/>
          </w:rPr>
          <w:instrText xml:space="preserve"> PAGEREF _Toc80170114 \h </w:instrText>
        </w:r>
        <w:r>
          <w:rPr>
            <w:noProof/>
            <w:webHidden/>
          </w:rPr>
        </w:r>
        <w:r>
          <w:rPr>
            <w:noProof/>
            <w:webHidden/>
          </w:rPr>
          <w:fldChar w:fldCharType="separate"/>
        </w:r>
        <w:r>
          <w:rPr>
            <w:noProof/>
            <w:webHidden/>
          </w:rPr>
          <w:t>128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5" w:history="1">
        <w:r w:rsidRPr="00325E4C">
          <w:rPr>
            <w:rStyle w:val="ac"/>
            <w:noProof/>
          </w:rPr>
          <w:t>6.5</w:t>
        </w:r>
        <w:r>
          <w:rPr>
            <w:rFonts w:asciiTheme="minorHAnsi" w:eastAsiaTheme="minorEastAsia" w:hAnsiTheme="minorHAnsi" w:cstheme="minorBidi"/>
            <w:noProof/>
            <w:sz w:val="21"/>
            <w:szCs w:val="22"/>
          </w:rPr>
          <w:tab/>
        </w:r>
        <w:r w:rsidRPr="00325E4C">
          <w:rPr>
            <w:rStyle w:val="ac"/>
            <w:rFonts w:hint="eastAsia"/>
            <w:noProof/>
          </w:rPr>
          <w:t>地下水环境影响分析</w:t>
        </w:r>
        <w:r>
          <w:rPr>
            <w:noProof/>
            <w:webHidden/>
          </w:rPr>
          <w:tab/>
        </w:r>
        <w:r>
          <w:rPr>
            <w:noProof/>
            <w:webHidden/>
          </w:rPr>
          <w:fldChar w:fldCharType="begin"/>
        </w:r>
        <w:r>
          <w:rPr>
            <w:noProof/>
            <w:webHidden/>
          </w:rPr>
          <w:instrText xml:space="preserve"> PAGEREF _Toc80170115 \h </w:instrText>
        </w:r>
        <w:r>
          <w:rPr>
            <w:noProof/>
            <w:webHidden/>
          </w:rPr>
        </w:r>
        <w:r>
          <w:rPr>
            <w:noProof/>
            <w:webHidden/>
          </w:rPr>
          <w:fldChar w:fldCharType="separate"/>
        </w:r>
        <w:r>
          <w:rPr>
            <w:noProof/>
            <w:webHidden/>
          </w:rPr>
          <w:t>141</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6" w:history="1">
        <w:r w:rsidRPr="00325E4C">
          <w:rPr>
            <w:rStyle w:val="ac"/>
            <w:noProof/>
          </w:rPr>
          <w:t>6.6</w:t>
        </w:r>
        <w:r>
          <w:rPr>
            <w:rFonts w:asciiTheme="minorHAnsi" w:eastAsiaTheme="minorEastAsia" w:hAnsiTheme="minorHAnsi" w:cstheme="minorBidi"/>
            <w:noProof/>
            <w:sz w:val="21"/>
            <w:szCs w:val="22"/>
          </w:rPr>
          <w:tab/>
        </w:r>
        <w:r w:rsidRPr="00325E4C">
          <w:rPr>
            <w:rStyle w:val="ac"/>
            <w:rFonts w:hint="eastAsia"/>
            <w:noProof/>
          </w:rPr>
          <w:t>声环境影响分析</w:t>
        </w:r>
        <w:r>
          <w:rPr>
            <w:noProof/>
            <w:webHidden/>
          </w:rPr>
          <w:tab/>
        </w:r>
        <w:r>
          <w:rPr>
            <w:noProof/>
            <w:webHidden/>
          </w:rPr>
          <w:fldChar w:fldCharType="begin"/>
        </w:r>
        <w:r>
          <w:rPr>
            <w:noProof/>
            <w:webHidden/>
          </w:rPr>
          <w:instrText xml:space="preserve"> PAGEREF _Toc80170116 \h </w:instrText>
        </w:r>
        <w:r>
          <w:rPr>
            <w:noProof/>
            <w:webHidden/>
          </w:rPr>
        </w:r>
        <w:r>
          <w:rPr>
            <w:noProof/>
            <w:webHidden/>
          </w:rPr>
          <w:fldChar w:fldCharType="separate"/>
        </w:r>
        <w:r>
          <w:rPr>
            <w:noProof/>
            <w:webHidden/>
          </w:rPr>
          <w:t>142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7" w:history="1">
        <w:r w:rsidRPr="00325E4C">
          <w:rPr>
            <w:rStyle w:val="ac"/>
            <w:noProof/>
          </w:rPr>
          <w:t>6.7</w:t>
        </w:r>
        <w:r>
          <w:rPr>
            <w:rFonts w:asciiTheme="minorHAnsi" w:eastAsiaTheme="minorEastAsia" w:hAnsiTheme="minorHAnsi" w:cstheme="minorBidi"/>
            <w:noProof/>
            <w:sz w:val="21"/>
            <w:szCs w:val="22"/>
          </w:rPr>
          <w:tab/>
        </w:r>
        <w:r w:rsidRPr="00325E4C">
          <w:rPr>
            <w:rStyle w:val="ac"/>
            <w:rFonts w:hint="eastAsia"/>
            <w:noProof/>
          </w:rPr>
          <w:t>固体废弃物影响分析</w:t>
        </w:r>
        <w:r>
          <w:rPr>
            <w:noProof/>
            <w:webHidden/>
          </w:rPr>
          <w:tab/>
        </w:r>
        <w:r>
          <w:rPr>
            <w:noProof/>
            <w:webHidden/>
          </w:rPr>
          <w:fldChar w:fldCharType="begin"/>
        </w:r>
        <w:r>
          <w:rPr>
            <w:noProof/>
            <w:webHidden/>
          </w:rPr>
          <w:instrText xml:space="preserve"> PAGEREF _Toc80170117 \h </w:instrText>
        </w:r>
        <w:r>
          <w:rPr>
            <w:noProof/>
            <w:webHidden/>
          </w:rPr>
        </w:r>
        <w:r>
          <w:rPr>
            <w:noProof/>
            <w:webHidden/>
          </w:rPr>
          <w:fldChar w:fldCharType="separate"/>
        </w:r>
        <w:r>
          <w:rPr>
            <w:noProof/>
            <w:webHidden/>
          </w:rPr>
          <w:t>144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8" w:history="1">
        <w:r w:rsidRPr="00325E4C">
          <w:rPr>
            <w:rStyle w:val="ac"/>
            <w:noProof/>
          </w:rPr>
          <w:t>6.8</w:t>
        </w:r>
        <w:r>
          <w:rPr>
            <w:rFonts w:asciiTheme="minorHAnsi" w:eastAsiaTheme="minorEastAsia" w:hAnsiTheme="minorHAnsi" w:cstheme="minorBidi"/>
            <w:noProof/>
            <w:sz w:val="21"/>
            <w:szCs w:val="22"/>
          </w:rPr>
          <w:tab/>
        </w:r>
        <w:r w:rsidRPr="00325E4C">
          <w:rPr>
            <w:rStyle w:val="ac"/>
            <w:rFonts w:hint="eastAsia"/>
            <w:noProof/>
          </w:rPr>
          <w:t>土壤影响分析</w:t>
        </w:r>
        <w:r>
          <w:rPr>
            <w:noProof/>
            <w:webHidden/>
          </w:rPr>
          <w:tab/>
        </w:r>
        <w:r>
          <w:rPr>
            <w:noProof/>
            <w:webHidden/>
          </w:rPr>
          <w:fldChar w:fldCharType="begin"/>
        </w:r>
        <w:r>
          <w:rPr>
            <w:noProof/>
            <w:webHidden/>
          </w:rPr>
          <w:instrText xml:space="preserve"> PAGEREF _Toc80170118 \h </w:instrText>
        </w:r>
        <w:r>
          <w:rPr>
            <w:noProof/>
            <w:webHidden/>
          </w:rPr>
        </w:r>
        <w:r>
          <w:rPr>
            <w:noProof/>
            <w:webHidden/>
          </w:rPr>
          <w:fldChar w:fldCharType="separate"/>
        </w:r>
        <w:r>
          <w:rPr>
            <w:noProof/>
            <w:webHidden/>
          </w:rPr>
          <w:t>145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19" w:history="1">
        <w:r w:rsidRPr="00325E4C">
          <w:rPr>
            <w:rStyle w:val="ac"/>
            <w:noProof/>
          </w:rPr>
          <w:t>6.9</w:t>
        </w:r>
        <w:r>
          <w:rPr>
            <w:rFonts w:asciiTheme="minorHAnsi" w:eastAsiaTheme="minorEastAsia" w:hAnsiTheme="minorHAnsi" w:cstheme="minorBidi"/>
            <w:noProof/>
            <w:sz w:val="21"/>
            <w:szCs w:val="22"/>
          </w:rPr>
          <w:tab/>
        </w:r>
        <w:r w:rsidRPr="00325E4C">
          <w:rPr>
            <w:rStyle w:val="ac"/>
            <w:rFonts w:hint="eastAsia"/>
            <w:noProof/>
          </w:rPr>
          <w:t>引水管线环境影响分析</w:t>
        </w:r>
        <w:r>
          <w:rPr>
            <w:noProof/>
            <w:webHidden/>
          </w:rPr>
          <w:tab/>
        </w:r>
        <w:r>
          <w:rPr>
            <w:noProof/>
            <w:webHidden/>
          </w:rPr>
          <w:fldChar w:fldCharType="begin"/>
        </w:r>
        <w:r>
          <w:rPr>
            <w:noProof/>
            <w:webHidden/>
          </w:rPr>
          <w:instrText xml:space="preserve"> PAGEREF _Toc80170119 \h </w:instrText>
        </w:r>
        <w:r>
          <w:rPr>
            <w:noProof/>
            <w:webHidden/>
          </w:rPr>
        </w:r>
        <w:r>
          <w:rPr>
            <w:noProof/>
            <w:webHidden/>
          </w:rPr>
          <w:fldChar w:fldCharType="separate"/>
        </w:r>
        <w:r>
          <w:rPr>
            <w:noProof/>
            <w:webHidden/>
          </w:rPr>
          <w:t>145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0" w:history="1">
        <w:r w:rsidRPr="00325E4C">
          <w:rPr>
            <w:rStyle w:val="ac"/>
            <w:noProof/>
          </w:rPr>
          <w:t>6.10</w:t>
        </w:r>
        <w:r>
          <w:rPr>
            <w:rFonts w:asciiTheme="minorHAnsi" w:eastAsiaTheme="minorEastAsia" w:hAnsiTheme="minorHAnsi" w:cstheme="minorBidi"/>
            <w:noProof/>
            <w:sz w:val="21"/>
            <w:szCs w:val="22"/>
          </w:rPr>
          <w:tab/>
        </w:r>
        <w:r w:rsidRPr="00325E4C">
          <w:rPr>
            <w:rStyle w:val="ac"/>
            <w:rFonts w:hint="eastAsia"/>
            <w:noProof/>
          </w:rPr>
          <w:t>环境地质影响分析</w:t>
        </w:r>
        <w:r>
          <w:rPr>
            <w:noProof/>
            <w:webHidden/>
          </w:rPr>
          <w:tab/>
        </w:r>
        <w:r>
          <w:rPr>
            <w:noProof/>
            <w:webHidden/>
          </w:rPr>
          <w:fldChar w:fldCharType="begin"/>
        </w:r>
        <w:r>
          <w:rPr>
            <w:noProof/>
            <w:webHidden/>
          </w:rPr>
          <w:instrText xml:space="preserve"> PAGEREF _Toc80170120 \h </w:instrText>
        </w:r>
        <w:r>
          <w:rPr>
            <w:noProof/>
            <w:webHidden/>
          </w:rPr>
        </w:r>
        <w:r>
          <w:rPr>
            <w:noProof/>
            <w:webHidden/>
          </w:rPr>
          <w:fldChar w:fldCharType="separate"/>
        </w:r>
        <w:r>
          <w:rPr>
            <w:noProof/>
            <w:webHidden/>
          </w:rPr>
          <w:t>146</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1" w:history="1">
        <w:r w:rsidRPr="00325E4C">
          <w:rPr>
            <w:rStyle w:val="ac"/>
            <w:noProof/>
          </w:rPr>
          <w:t>6.11</w:t>
        </w:r>
        <w:r>
          <w:rPr>
            <w:rFonts w:asciiTheme="minorHAnsi" w:eastAsiaTheme="minorEastAsia" w:hAnsiTheme="minorHAnsi" w:cstheme="minorBidi"/>
            <w:noProof/>
            <w:sz w:val="21"/>
            <w:szCs w:val="22"/>
          </w:rPr>
          <w:tab/>
        </w:r>
        <w:r w:rsidRPr="00325E4C">
          <w:rPr>
            <w:rStyle w:val="ac"/>
            <w:rFonts w:hint="eastAsia"/>
            <w:noProof/>
          </w:rPr>
          <w:t>社会影响分析</w:t>
        </w:r>
        <w:r>
          <w:rPr>
            <w:noProof/>
            <w:webHidden/>
          </w:rPr>
          <w:tab/>
        </w:r>
        <w:r>
          <w:rPr>
            <w:noProof/>
            <w:webHidden/>
          </w:rPr>
          <w:fldChar w:fldCharType="begin"/>
        </w:r>
        <w:r>
          <w:rPr>
            <w:noProof/>
            <w:webHidden/>
          </w:rPr>
          <w:instrText xml:space="preserve"> PAGEREF _Toc80170121 \h </w:instrText>
        </w:r>
        <w:r>
          <w:rPr>
            <w:noProof/>
            <w:webHidden/>
          </w:rPr>
        </w:r>
        <w:r>
          <w:rPr>
            <w:noProof/>
            <w:webHidden/>
          </w:rPr>
          <w:fldChar w:fldCharType="separate"/>
        </w:r>
        <w:r>
          <w:rPr>
            <w:noProof/>
            <w:webHidden/>
          </w:rPr>
          <w:t>148</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22" w:history="1">
        <w:r w:rsidRPr="00325E4C">
          <w:rPr>
            <w:rStyle w:val="ac"/>
            <w:noProof/>
          </w:rPr>
          <w:t>7</w:t>
        </w:r>
        <w:r>
          <w:rPr>
            <w:rFonts w:asciiTheme="minorHAnsi" w:eastAsiaTheme="minorEastAsia" w:hAnsiTheme="minorHAnsi" w:cstheme="minorBidi"/>
            <w:noProof/>
            <w:sz w:val="21"/>
            <w:szCs w:val="22"/>
          </w:rPr>
          <w:tab/>
        </w:r>
        <w:r w:rsidRPr="00325E4C">
          <w:rPr>
            <w:rStyle w:val="ac"/>
            <w:rFonts w:hint="eastAsia"/>
            <w:noProof/>
          </w:rPr>
          <w:t>环境风险分析</w:t>
        </w:r>
        <w:r>
          <w:rPr>
            <w:noProof/>
            <w:webHidden/>
          </w:rPr>
          <w:tab/>
        </w:r>
        <w:r>
          <w:rPr>
            <w:noProof/>
            <w:webHidden/>
          </w:rPr>
          <w:fldChar w:fldCharType="begin"/>
        </w:r>
        <w:r>
          <w:rPr>
            <w:noProof/>
            <w:webHidden/>
          </w:rPr>
          <w:instrText xml:space="preserve"> PAGEREF _Toc80170122 \h </w:instrText>
        </w:r>
        <w:r>
          <w:rPr>
            <w:noProof/>
            <w:webHidden/>
          </w:rPr>
        </w:r>
        <w:r>
          <w:rPr>
            <w:noProof/>
            <w:webHidden/>
          </w:rPr>
          <w:fldChar w:fldCharType="separate"/>
        </w:r>
        <w:r>
          <w:rPr>
            <w:noProof/>
            <w:webHidden/>
          </w:rPr>
          <w:t>152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3" w:history="1">
        <w:r w:rsidRPr="00325E4C">
          <w:rPr>
            <w:rStyle w:val="ac"/>
            <w:noProof/>
          </w:rPr>
          <w:t>7.1</w:t>
        </w:r>
        <w:r>
          <w:rPr>
            <w:rFonts w:asciiTheme="minorHAnsi" w:eastAsiaTheme="minorEastAsia" w:hAnsiTheme="minorHAnsi" w:cstheme="minorBidi"/>
            <w:noProof/>
            <w:sz w:val="21"/>
            <w:szCs w:val="22"/>
          </w:rPr>
          <w:tab/>
        </w:r>
        <w:r w:rsidRPr="00325E4C">
          <w:rPr>
            <w:rStyle w:val="ac"/>
            <w:rFonts w:hint="eastAsia"/>
            <w:noProof/>
          </w:rPr>
          <w:t>风险调查</w:t>
        </w:r>
        <w:r>
          <w:rPr>
            <w:noProof/>
            <w:webHidden/>
          </w:rPr>
          <w:tab/>
        </w:r>
        <w:r>
          <w:rPr>
            <w:noProof/>
            <w:webHidden/>
          </w:rPr>
          <w:fldChar w:fldCharType="begin"/>
        </w:r>
        <w:r>
          <w:rPr>
            <w:noProof/>
            <w:webHidden/>
          </w:rPr>
          <w:instrText xml:space="preserve"> PAGEREF _Toc80170123 \h </w:instrText>
        </w:r>
        <w:r>
          <w:rPr>
            <w:noProof/>
            <w:webHidden/>
          </w:rPr>
        </w:r>
        <w:r>
          <w:rPr>
            <w:noProof/>
            <w:webHidden/>
          </w:rPr>
          <w:fldChar w:fldCharType="separate"/>
        </w:r>
        <w:r>
          <w:rPr>
            <w:noProof/>
            <w:webHidden/>
          </w:rPr>
          <w:t>152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4" w:history="1">
        <w:r w:rsidRPr="00325E4C">
          <w:rPr>
            <w:rStyle w:val="ac"/>
            <w:noProof/>
          </w:rPr>
          <w:t>7.2</w:t>
        </w:r>
        <w:r>
          <w:rPr>
            <w:rFonts w:asciiTheme="minorHAnsi" w:eastAsiaTheme="minorEastAsia" w:hAnsiTheme="minorHAnsi" w:cstheme="minorBidi"/>
            <w:noProof/>
            <w:sz w:val="21"/>
            <w:szCs w:val="22"/>
          </w:rPr>
          <w:tab/>
        </w:r>
        <w:r w:rsidRPr="00325E4C">
          <w:rPr>
            <w:rStyle w:val="ac"/>
            <w:rFonts w:hint="eastAsia"/>
            <w:noProof/>
          </w:rPr>
          <w:t>环境风险潜势初判</w:t>
        </w:r>
        <w:r>
          <w:rPr>
            <w:noProof/>
            <w:webHidden/>
          </w:rPr>
          <w:tab/>
        </w:r>
        <w:r>
          <w:rPr>
            <w:noProof/>
            <w:webHidden/>
          </w:rPr>
          <w:fldChar w:fldCharType="begin"/>
        </w:r>
        <w:r>
          <w:rPr>
            <w:noProof/>
            <w:webHidden/>
          </w:rPr>
          <w:instrText xml:space="preserve"> PAGEREF _Toc80170124 \h </w:instrText>
        </w:r>
        <w:r>
          <w:rPr>
            <w:noProof/>
            <w:webHidden/>
          </w:rPr>
        </w:r>
        <w:r>
          <w:rPr>
            <w:noProof/>
            <w:webHidden/>
          </w:rPr>
          <w:fldChar w:fldCharType="separate"/>
        </w:r>
        <w:r>
          <w:rPr>
            <w:noProof/>
            <w:webHidden/>
          </w:rPr>
          <w:t>157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5" w:history="1">
        <w:r w:rsidRPr="00325E4C">
          <w:rPr>
            <w:rStyle w:val="ac"/>
            <w:noProof/>
          </w:rPr>
          <w:t>7.3</w:t>
        </w:r>
        <w:r>
          <w:rPr>
            <w:rFonts w:asciiTheme="minorHAnsi" w:eastAsiaTheme="minorEastAsia" w:hAnsiTheme="minorHAnsi" w:cstheme="minorBidi"/>
            <w:noProof/>
            <w:sz w:val="21"/>
            <w:szCs w:val="22"/>
          </w:rPr>
          <w:tab/>
        </w:r>
        <w:r w:rsidRPr="00325E4C">
          <w:rPr>
            <w:rStyle w:val="ac"/>
            <w:rFonts w:hint="eastAsia"/>
            <w:noProof/>
          </w:rPr>
          <w:t>环境风险识别</w:t>
        </w:r>
        <w:r>
          <w:rPr>
            <w:noProof/>
            <w:webHidden/>
          </w:rPr>
          <w:tab/>
        </w:r>
        <w:r>
          <w:rPr>
            <w:noProof/>
            <w:webHidden/>
          </w:rPr>
          <w:fldChar w:fldCharType="begin"/>
        </w:r>
        <w:r>
          <w:rPr>
            <w:noProof/>
            <w:webHidden/>
          </w:rPr>
          <w:instrText xml:space="preserve"> PAGEREF _Toc80170125 \h </w:instrText>
        </w:r>
        <w:r>
          <w:rPr>
            <w:noProof/>
            <w:webHidden/>
          </w:rPr>
        </w:r>
        <w:r>
          <w:rPr>
            <w:noProof/>
            <w:webHidden/>
          </w:rPr>
          <w:fldChar w:fldCharType="separate"/>
        </w:r>
        <w:r>
          <w:rPr>
            <w:noProof/>
            <w:webHidden/>
          </w:rPr>
          <w:t>158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6" w:history="1">
        <w:r w:rsidRPr="00325E4C">
          <w:rPr>
            <w:rStyle w:val="ac"/>
            <w:noProof/>
          </w:rPr>
          <w:t>7.4</w:t>
        </w:r>
        <w:r>
          <w:rPr>
            <w:rFonts w:asciiTheme="minorHAnsi" w:eastAsiaTheme="minorEastAsia" w:hAnsiTheme="minorHAnsi" w:cstheme="minorBidi"/>
            <w:noProof/>
            <w:sz w:val="21"/>
            <w:szCs w:val="22"/>
          </w:rPr>
          <w:tab/>
        </w:r>
        <w:r w:rsidRPr="00325E4C">
          <w:rPr>
            <w:rStyle w:val="ac"/>
            <w:rFonts w:hint="eastAsia"/>
            <w:noProof/>
          </w:rPr>
          <w:t>风险事故情形分析</w:t>
        </w:r>
        <w:r>
          <w:rPr>
            <w:noProof/>
            <w:webHidden/>
          </w:rPr>
          <w:tab/>
        </w:r>
        <w:r>
          <w:rPr>
            <w:noProof/>
            <w:webHidden/>
          </w:rPr>
          <w:fldChar w:fldCharType="begin"/>
        </w:r>
        <w:r>
          <w:rPr>
            <w:noProof/>
            <w:webHidden/>
          </w:rPr>
          <w:instrText xml:space="preserve"> PAGEREF _Toc80170126 \h </w:instrText>
        </w:r>
        <w:r>
          <w:rPr>
            <w:noProof/>
            <w:webHidden/>
          </w:rPr>
        </w:r>
        <w:r>
          <w:rPr>
            <w:noProof/>
            <w:webHidden/>
          </w:rPr>
          <w:fldChar w:fldCharType="separate"/>
        </w:r>
        <w:r>
          <w:rPr>
            <w:noProof/>
            <w:webHidden/>
          </w:rPr>
          <w:t>158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7" w:history="1">
        <w:r w:rsidRPr="00325E4C">
          <w:rPr>
            <w:rStyle w:val="ac"/>
            <w:noProof/>
          </w:rPr>
          <w:t>7.5</w:t>
        </w:r>
        <w:r>
          <w:rPr>
            <w:rFonts w:asciiTheme="minorHAnsi" w:eastAsiaTheme="minorEastAsia" w:hAnsiTheme="minorHAnsi" w:cstheme="minorBidi"/>
            <w:noProof/>
            <w:sz w:val="21"/>
            <w:szCs w:val="22"/>
          </w:rPr>
          <w:tab/>
        </w:r>
        <w:r w:rsidRPr="00325E4C">
          <w:rPr>
            <w:rStyle w:val="ac"/>
            <w:rFonts w:hint="eastAsia"/>
            <w:noProof/>
          </w:rPr>
          <w:t>施工期环境风险分析</w:t>
        </w:r>
        <w:r>
          <w:rPr>
            <w:noProof/>
            <w:webHidden/>
          </w:rPr>
          <w:tab/>
        </w:r>
        <w:r>
          <w:rPr>
            <w:noProof/>
            <w:webHidden/>
          </w:rPr>
          <w:fldChar w:fldCharType="begin"/>
        </w:r>
        <w:r>
          <w:rPr>
            <w:noProof/>
            <w:webHidden/>
          </w:rPr>
          <w:instrText xml:space="preserve"> PAGEREF _Toc80170127 \h </w:instrText>
        </w:r>
        <w:r>
          <w:rPr>
            <w:noProof/>
            <w:webHidden/>
          </w:rPr>
        </w:r>
        <w:r>
          <w:rPr>
            <w:noProof/>
            <w:webHidden/>
          </w:rPr>
          <w:fldChar w:fldCharType="separate"/>
        </w:r>
        <w:r>
          <w:rPr>
            <w:noProof/>
            <w:webHidden/>
          </w:rPr>
          <w:t>159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8" w:history="1">
        <w:r w:rsidRPr="00325E4C">
          <w:rPr>
            <w:rStyle w:val="ac"/>
            <w:noProof/>
          </w:rPr>
          <w:t>7.6</w:t>
        </w:r>
        <w:r>
          <w:rPr>
            <w:rFonts w:asciiTheme="minorHAnsi" w:eastAsiaTheme="minorEastAsia" w:hAnsiTheme="minorHAnsi" w:cstheme="minorBidi"/>
            <w:noProof/>
            <w:sz w:val="21"/>
            <w:szCs w:val="22"/>
          </w:rPr>
          <w:tab/>
        </w:r>
        <w:r w:rsidRPr="00325E4C">
          <w:rPr>
            <w:rStyle w:val="ac"/>
            <w:rFonts w:hint="eastAsia"/>
            <w:noProof/>
          </w:rPr>
          <w:t>运行期风险分析</w:t>
        </w:r>
        <w:r>
          <w:rPr>
            <w:noProof/>
            <w:webHidden/>
          </w:rPr>
          <w:tab/>
        </w:r>
        <w:r>
          <w:rPr>
            <w:noProof/>
            <w:webHidden/>
          </w:rPr>
          <w:fldChar w:fldCharType="begin"/>
        </w:r>
        <w:r>
          <w:rPr>
            <w:noProof/>
            <w:webHidden/>
          </w:rPr>
          <w:instrText xml:space="preserve"> PAGEREF _Toc80170128 \h </w:instrText>
        </w:r>
        <w:r>
          <w:rPr>
            <w:noProof/>
            <w:webHidden/>
          </w:rPr>
        </w:r>
        <w:r>
          <w:rPr>
            <w:noProof/>
            <w:webHidden/>
          </w:rPr>
          <w:fldChar w:fldCharType="separate"/>
        </w:r>
        <w:r>
          <w:rPr>
            <w:noProof/>
            <w:webHidden/>
          </w:rPr>
          <w:t>163</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29" w:history="1">
        <w:r w:rsidRPr="00325E4C">
          <w:rPr>
            <w:rStyle w:val="ac"/>
            <w:noProof/>
          </w:rPr>
          <w:t>7.7</w:t>
        </w:r>
        <w:r>
          <w:rPr>
            <w:rFonts w:asciiTheme="minorHAnsi" w:eastAsiaTheme="minorEastAsia" w:hAnsiTheme="minorHAnsi" w:cstheme="minorBidi"/>
            <w:noProof/>
            <w:sz w:val="21"/>
            <w:szCs w:val="22"/>
          </w:rPr>
          <w:tab/>
        </w:r>
        <w:r w:rsidRPr="00325E4C">
          <w:rPr>
            <w:rStyle w:val="ac"/>
            <w:rFonts w:hint="eastAsia"/>
            <w:noProof/>
          </w:rPr>
          <w:t>风险防范措施</w:t>
        </w:r>
        <w:r>
          <w:rPr>
            <w:noProof/>
            <w:webHidden/>
          </w:rPr>
          <w:tab/>
        </w:r>
        <w:r>
          <w:rPr>
            <w:noProof/>
            <w:webHidden/>
          </w:rPr>
          <w:fldChar w:fldCharType="begin"/>
        </w:r>
        <w:r>
          <w:rPr>
            <w:noProof/>
            <w:webHidden/>
          </w:rPr>
          <w:instrText xml:space="preserve"> PAGEREF _Toc80170129 \h </w:instrText>
        </w:r>
        <w:r>
          <w:rPr>
            <w:noProof/>
            <w:webHidden/>
          </w:rPr>
        </w:r>
        <w:r>
          <w:rPr>
            <w:noProof/>
            <w:webHidden/>
          </w:rPr>
          <w:fldChar w:fldCharType="separate"/>
        </w:r>
        <w:r>
          <w:rPr>
            <w:noProof/>
            <w:webHidden/>
          </w:rPr>
          <w:t>165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0" w:history="1">
        <w:r w:rsidRPr="00325E4C">
          <w:rPr>
            <w:rStyle w:val="ac"/>
            <w:noProof/>
          </w:rPr>
          <w:t>7.8</w:t>
        </w:r>
        <w:r>
          <w:rPr>
            <w:rFonts w:asciiTheme="minorHAnsi" w:eastAsiaTheme="minorEastAsia" w:hAnsiTheme="minorHAnsi" w:cstheme="minorBidi"/>
            <w:noProof/>
            <w:sz w:val="21"/>
            <w:szCs w:val="22"/>
          </w:rPr>
          <w:tab/>
        </w:r>
        <w:r w:rsidRPr="00325E4C">
          <w:rPr>
            <w:rStyle w:val="ac"/>
            <w:rFonts w:hint="eastAsia"/>
            <w:noProof/>
          </w:rPr>
          <w:t>应急预案</w:t>
        </w:r>
        <w:r>
          <w:rPr>
            <w:noProof/>
            <w:webHidden/>
          </w:rPr>
          <w:tab/>
        </w:r>
        <w:r>
          <w:rPr>
            <w:noProof/>
            <w:webHidden/>
          </w:rPr>
          <w:fldChar w:fldCharType="begin"/>
        </w:r>
        <w:r>
          <w:rPr>
            <w:noProof/>
            <w:webHidden/>
          </w:rPr>
          <w:instrText xml:space="preserve"> PAGEREF _Toc80170130 \h </w:instrText>
        </w:r>
        <w:r>
          <w:rPr>
            <w:noProof/>
            <w:webHidden/>
          </w:rPr>
        </w:r>
        <w:r>
          <w:rPr>
            <w:noProof/>
            <w:webHidden/>
          </w:rPr>
          <w:fldChar w:fldCharType="separate"/>
        </w:r>
        <w:r>
          <w:rPr>
            <w:noProof/>
            <w:webHidden/>
          </w:rPr>
          <w:t>169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1" w:history="1">
        <w:r w:rsidRPr="00325E4C">
          <w:rPr>
            <w:rStyle w:val="ac"/>
            <w:noProof/>
          </w:rPr>
          <w:t>7.9</w:t>
        </w:r>
        <w:r>
          <w:rPr>
            <w:rFonts w:asciiTheme="minorHAnsi" w:eastAsiaTheme="minorEastAsia" w:hAnsiTheme="minorHAnsi" w:cstheme="minorBidi"/>
            <w:noProof/>
            <w:sz w:val="21"/>
            <w:szCs w:val="22"/>
          </w:rPr>
          <w:tab/>
        </w:r>
        <w:r w:rsidRPr="00325E4C">
          <w:rPr>
            <w:rStyle w:val="ac"/>
            <w:rFonts w:hint="eastAsia"/>
            <w:noProof/>
          </w:rPr>
          <w:t>环境风险评价结论</w:t>
        </w:r>
        <w:r>
          <w:rPr>
            <w:noProof/>
            <w:webHidden/>
          </w:rPr>
          <w:tab/>
        </w:r>
        <w:r>
          <w:rPr>
            <w:noProof/>
            <w:webHidden/>
          </w:rPr>
          <w:fldChar w:fldCharType="begin"/>
        </w:r>
        <w:r>
          <w:rPr>
            <w:noProof/>
            <w:webHidden/>
          </w:rPr>
          <w:instrText xml:space="preserve"> PAGEREF _Toc80170131 \h </w:instrText>
        </w:r>
        <w:r>
          <w:rPr>
            <w:noProof/>
            <w:webHidden/>
          </w:rPr>
        </w:r>
        <w:r>
          <w:rPr>
            <w:noProof/>
            <w:webHidden/>
          </w:rPr>
          <w:fldChar w:fldCharType="separate"/>
        </w:r>
        <w:r>
          <w:rPr>
            <w:noProof/>
            <w:webHidden/>
          </w:rPr>
          <w:t>171</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32" w:history="1">
        <w:r w:rsidRPr="00325E4C">
          <w:rPr>
            <w:rStyle w:val="ac"/>
            <w:noProof/>
          </w:rPr>
          <w:t>8</w:t>
        </w:r>
        <w:r>
          <w:rPr>
            <w:rFonts w:asciiTheme="minorHAnsi" w:eastAsiaTheme="minorEastAsia" w:hAnsiTheme="minorHAnsi" w:cstheme="minorBidi"/>
            <w:noProof/>
            <w:sz w:val="21"/>
            <w:szCs w:val="22"/>
          </w:rPr>
          <w:tab/>
        </w:r>
        <w:r w:rsidRPr="00325E4C">
          <w:rPr>
            <w:rStyle w:val="ac"/>
            <w:rFonts w:hint="eastAsia"/>
            <w:noProof/>
          </w:rPr>
          <w:t>环境保护措施</w:t>
        </w:r>
        <w:r>
          <w:rPr>
            <w:noProof/>
            <w:webHidden/>
          </w:rPr>
          <w:tab/>
        </w:r>
        <w:r>
          <w:rPr>
            <w:noProof/>
            <w:webHidden/>
          </w:rPr>
          <w:fldChar w:fldCharType="begin"/>
        </w:r>
        <w:r>
          <w:rPr>
            <w:noProof/>
            <w:webHidden/>
          </w:rPr>
          <w:instrText xml:space="preserve"> PAGEREF _Toc80170132 \h </w:instrText>
        </w:r>
        <w:r>
          <w:rPr>
            <w:noProof/>
            <w:webHidden/>
          </w:rPr>
        </w:r>
        <w:r>
          <w:rPr>
            <w:noProof/>
            <w:webHidden/>
          </w:rPr>
          <w:fldChar w:fldCharType="separate"/>
        </w:r>
        <w:r>
          <w:rPr>
            <w:noProof/>
            <w:webHidden/>
          </w:rPr>
          <w:t>172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3" w:history="1">
        <w:r w:rsidRPr="00325E4C">
          <w:rPr>
            <w:rStyle w:val="ac"/>
            <w:noProof/>
          </w:rPr>
          <w:t>8.1</w:t>
        </w:r>
        <w:r>
          <w:rPr>
            <w:rFonts w:asciiTheme="minorHAnsi" w:eastAsiaTheme="minorEastAsia" w:hAnsiTheme="minorHAnsi" w:cstheme="minorBidi"/>
            <w:noProof/>
            <w:sz w:val="21"/>
            <w:szCs w:val="22"/>
          </w:rPr>
          <w:tab/>
        </w:r>
        <w:r w:rsidRPr="00325E4C">
          <w:rPr>
            <w:rStyle w:val="ac"/>
            <w:rFonts w:hint="eastAsia"/>
            <w:noProof/>
          </w:rPr>
          <w:t>生态保护与恢复措施</w:t>
        </w:r>
        <w:r>
          <w:rPr>
            <w:noProof/>
            <w:webHidden/>
          </w:rPr>
          <w:tab/>
        </w:r>
        <w:r>
          <w:rPr>
            <w:noProof/>
            <w:webHidden/>
          </w:rPr>
          <w:fldChar w:fldCharType="begin"/>
        </w:r>
        <w:r>
          <w:rPr>
            <w:noProof/>
            <w:webHidden/>
          </w:rPr>
          <w:instrText xml:space="preserve"> PAGEREF _Toc80170133 \h </w:instrText>
        </w:r>
        <w:r>
          <w:rPr>
            <w:noProof/>
            <w:webHidden/>
          </w:rPr>
        </w:r>
        <w:r>
          <w:rPr>
            <w:noProof/>
            <w:webHidden/>
          </w:rPr>
          <w:fldChar w:fldCharType="separate"/>
        </w:r>
        <w:r>
          <w:rPr>
            <w:noProof/>
            <w:webHidden/>
          </w:rPr>
          <w:t>172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4" w:history="1">
        <w:r w:rsidRPr="00325E4C">
          <w:rPr>
            <w:rStyle w:val="ac"/>
            <w:noProof/>
          </w:rPr>
          <w:t>8.2</w:t>
        </w:r>
        <w:r>
          <w:rPr>
            <w:rFonts w:asciiTheme="minorHAnsi" w:eastAsiaTheme="minorEastAsia" w:hAnsiTheme="minorHAnsi" w:cstheme="minorBidi"/>
            <w:noProof/>
            <w:sz w:val="21"/>
            <w:szCs w:val="22"/>
          </w:rPr>
          <w:tab/>
        </w:r>
        <w:r w:rsidRPr="00325E4C">
          <w:rPr>
            <w:rStyle w:val="ac"/>
            <w:rFonts w:hint="eastAsia"/>
            <w:noProof/>
          </w:rPr>
          <w:t>地表水环境保护措施</w:t>
        </w:r>
        <w:r>
          <w:rPr>
            <w:noProof/>
            <w:webHidden/>
          </w:rPr>
          <w:tab/>
        </w:r>
        <w:r>
          <w:rPr>
            <w:noProof/>
            <w:webHidden/>
          </w:rPr>
          <w:fldChar w:fldCharType="begin"/>
        </w:r>
        <w:r>
          <w:rPr>
            <w:noProof/>
            <w:webHidden/>
          </w:rPr>
          <w:instrText xml:space="preserve"> PAGEREF _Toc80170134 \h </w:instrText>
        </w:r>
        <w:r>
          <w:rPr>
            <w:noProof/>
            <w:webHidden/>
          </w:rPr>
        </w:r>
        <w:r>
          <w:rPr>
            <w:noProof/>
            <w:webHidden/>
          </w:rPr>
          <w:fldChar w:fldCharType="separate"/>
        </w:r>
        <w:r>
          <w:rPr>
            <w:noProof/>
            <w:webHidden/>
          </w:rPr>
          <w:t>178</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5" w:history="1">
        <w:r w:rsidRPr="00325E4C">
          <w:rPr>
            <w:rStyle w:val="ac"/>
            <w:noProof/>
          </w:rPr>
          <w:t>8.3</w:t>
        </w:r>
        <w:r>
          <w:rPr>
            <w:rFonts w:asciiTheme="minorHAnsi" w:eastAsiaTheme="minorEastAsia" w:hAnsiTheme="minorHAnsi" w:cstheme="minorBidi"/>
            <w:noProof/>
            <w:sz w:val="21"/>
            <w:szCs w:val="22"/>
          </w:rPr>
          <w:tab/>
        </w:r>
        <w:r w:rsidRPr="00325E4C">
          <w:rPr>
            <w:rStyle w:val="ac"/>
            <w:rFonts w:hint="eastAsia"/>
            <w:noProof/>
          </w:rPr>
          <w:t>地下水污染防治措施</w:t>
        </w:r>
        <w:r>
          <w:rPr>
            <w:noProof/>
            <w:webHidden/>
          </w:rPr>
          <w:tab/>
        </w:r>
        <w:r>
          <w:rPr>
            <w:noProof/>
            <w:webHidden/>
          </w:rPr>
          <w:fldChar w:fldCharType="begin"/>
        </w:r>
        <w:r>
          <w:rPr>
            <w:noProof/>
            <w:webHidden/>
          </w:rPr>
          <w:instrText xml:space="preserve"> PAGEREF _Toc80170135 \h </w:instrText>
        </w:r>
        <w:r>
          <w:rPr>
            <w:noProof/>
            <w:webHidden/>
          </w:rPr>
        </w:r>
        <w:r>
          <w:rPr>
            <w:noProof/>
            <w:webHidden/>
          </w:rPr>
          <w:fldChar w:fldCharType="separate"/>
        </w:r>
        <w:r>
          <w:rPr>
            <w:noProof/>
            <w:webHidden/>
          </w:rPr>
          <w:t>184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6" w:history="1">
        <w:r w:rsidRPr="00325E4C">
          <w:rPr>
            <w:rStyle w:val="ac"/>
            <w:noProof/>
          </w:rPr>
          <w:t>8.4</w:t>
        </w:r>
        <w:r>
          <w:rPr>
            <w:rFonts w:asciiTheme="minorHAnsi" w:eastAsiaTheme="minorEastAsia" w:hAnsiTheme="minorHAnsi" w:cstheme="minorBidi"/>
            <w:noProof/>
            <w:sz w:val="21"/>
            <w:szCs w:val="22"/>
          </w:rPr>
          <w:tab/>
        </w:r>
        <w:r w:rsidRPr="00325E4C">
          <w:rPr>
            <w:rStyle w:val="ac"/>
            <w:rFonts w:hint="eastAsia"/>
            <w:noProof/>
          </w:rPr>
          <w:t>大气污染防治措施</w:t>
        </w:r>
        <w:r>
          <w:rPr>
            <w:noProof/>
            <w:webHidden/>
          </w:rPr>
          <w:tab/>
        </w:r>
        <w:r>
          <w:rPr>
            <w:noProof/>
            <w:webHidden/>
          </w:rPr>
          <w:fldChar w:fldCharType="begin"/>
        </w:r>
        <w:r>
          <w:rPr>
            <w:noProof/>
            <w:webHidden/>
          </w:rPr>
          <w:instrText xml:space="preserve"> PAGEREF _Toc80170136 \h </w:instrText>
        </w:r>
        <w:r>
          <w:rPr>
            <w:noProof/>
            <w:webHidden/>
          </w:rPr>
        </w:r>
        <w:r>
          <w:rPr>
            <w:noProof/>
            <w:webHidden/>
          </w:rPr>
          <w:fldChar w:fldCharType="separate"/>
        </w:r>
        <w:r>
          <w:rPr>
            <w:noProof/>
            <w:webHidden/>
          </w:rPr>
          <w:t>185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7" w:history="1">
        <w:r w:rsidRPr="00325E4C">
          <w:rPr>
            <w:rStyle w:val="ac"/>
            <w:noProof/>
          </w:rPr>
          <w:t>8.5</w:t>
        </w:r>
        <w:r>
          <w:rPr>
            <w:rFonts w:asciiTheme="minorHAnsi" w:eastAsiaTheme="minorEastAsia" w:hAnsiTheme="minorHAnsi" w:cstheme="minorBidi"/>
            <w:noProof/>
            <w:sz w:val="21"/>
            <w:szCs w:val="22"/>
          </w:rPr>
          <w:tab/>
        </w:r>
        <w:r w:rsidRPr="00325E4C">
          <w:rPr>
            <w:rStyle w:val="ac"/>
            <w:rFonts w:hint="eastAsia"/>
            <w:noProof/>
          </w:rPr>
          <w:t>噪声污染控制措施</w:t>
        </w:r>
        <w:r>
          <w:rPr>
            <w:noProof/>
            <w:webHidden/>
          </w:rPr>
          <w:tab/>
        </w:r>
        <w:r>
          <w:rPr>
            <w:noProof/>
            <w:webHidden/>
          </w:rPr>
          <w:fldChar w:fldCharType="begin"/>
        </w:r>
        <w:r>
          <w:rPr>
            <w:noProof/>
            <w:webHidden/>
          </w:rPr>
          <w:instrText xml:space="preserve"> PAGEREF _Toc80170137 \h </w:instrText>
        </w:r>
        <w:r>
          <w:rPr>
            <w:noProof/>
            <w:webHidden/>
          </w:rPr>
        </w:r>
        <w:r>
          <w:rPr>
            <w:noProof/>
            <w:webHidden/>
          </w:rPr>
          <w:fldChar w:fldCharType="separate"/>
        </w:r>
        <w:r>
          <w:rPr>
            <w:noProof/>
            <w:webHidden/>
          </w:rPr>
          <w:t>189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8" w:history="1">
        <w:r w:rsidRPr="00325E4C">
          <w:rPr>
            <w:rStyle w:val="ac"/>
            <w:noProof/>
          </w:rPr>
          <w:t>8.6</w:t>
        </w:r>
        <w:r>
          <w:rPr>
            <w:rFonts w:asciiTheme="minorHAnsi" w:eastAsiaTheme="minorEastAsia" w:hAnsiTheme="minorHAnsi" w:cstheme="minorBidi"/>
            <w:noProof/>
            <w:sz w:val="21"/>
            <w:szCs w:val="22"/>
          </w:rPr>
          <w:tab/>
        </w:r>
        <w:r w:rsidRPr="00325E4C">
          <w:rPr>
            <w:rStyle w:val="ac"/>
            <w:rFonts w:hint="eastAsia"/>
            <w:noProof/>
          </w:rPr>
          <w:t>固体废物处理与处置措施</w:t>
        </w:r>
        <w:r>
          <w:rPr>
            <w:noProof/>
            <w:webHidden/>
          </w:rPr>
          <w:tab/>
        </w:r>
        <w:r>
          <w:rPr>
            <w:noProof/>
            <w:webHidden/>
          </w:rPr>
          <w:fldChar w:fldCharType="begin"/>
        </w:r>
        <w:r>
          <w:rPr>
            <w:noProof/>
            <w:webHidden/>
          </w:rPr>
          <w:instrText xml:space="preserve"> PAGEREF _Toc80170138 \h </w:instrText>
        </w:r>
        <w:r>
          <w:rPr>
            <w:noProof/>
            <w:webHidden/>
          </w:rPr>
        </w:r>
        <w:r>
          <w:rPr>
            <w:noProof/>
            <w:webHidden/>
          </w:rPr>
          <w:fldChar w:fldCharType="separate"/>
        </w:r>
        <w:r>
          <w:rPr>
            <w:noProof/>
            <w:webHidden/>
          </w:rPr>
          <w:t>191</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39" w:history="1">
        <w:r w:rsidRPr="00325E4C">
          <w:rPr>
            <w:rStyle w:val="ac"/>
            <w:noProof/>
          </w:rPr>
          <w:t>8.7</w:t>
        </w:r>
        <w:r>
          <w:rPr>
            <w:rFonts w:asciiTheme="minorHAnsi" w:eastAsiaTheme="minorEastAsia" w:hAnsiTheme="minorHAnsi" w:cstheme="minorBidi"/>
            <w:noProof/>
            <w:sz w:val="21"/>
            <w:szCs w:val="22"/>
          </w:rPr>
          <w:tab/>
        </w:r>
        <w:r w:rsidRPr="00325E4C">
          <w:rPr>
            <w:rStyle w:val="ac"/>
            <w:rFonts w:hint="eastAsia"/>
            <w:noProof/>
          </w:rPr>
          <w:t>土壤环境保护措施</w:t>
        </w:r>
        <w:r>
          <w:rPr>
            <w:noProof/>
            <w:webHidden/>
          </w:rPr>
          <w:tab/>
        </w:r>
        <w:r>
          <w:rPr>
            <w:noProof/>
            <w:webHidden/>
          </w:rPr>
          <w:fldChar w:fldCharType="begin"/>
        </w:r>
        <w:r>
          <w:rPr>
            <w:noProof/>
            <w:webHidden/>
          </w:rPr>
          <w:instrText xml:space="preserve"> PAGEREF _Toc80170139 \h </w:instrText>
        </w:r>
        <w:r>
          <w:rPr>
            <w:noProof/>
            <w:webHidden/>
          </w:rPr>
        </w:r>
        <w:r>
          <w:rPr>
            <w:noProof/>
            <w:webHidden/>
          </w:rPr>
          <w:fldChar w:fldCharType="separate"/>
        </w:r>
        <w:r>
          <w:rPr>
            <w:noProof/>
            <w:webHidden/>
          </w:rPr>
          <w:t>192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0" w:history="1">
        <w:r w:rsidRPr="00325E4C">
          <w:rPr>
            <w:rStyle w:val="ac"/>
            <w:noProof/>
          </w:rPr>
          <w:t>8.8</w:t>
        </w:r>
        <w:r>
          <w:rPr>
            <w:rFonts w:asciiTheme="minorHAnsi" w:eastAsiaTheme="minorEastAsia" w:hAnsiTheme="minorHAnsi" w:cstheme="minorBidi"/>
            <w:noProof/>
            <w:sz w:val="21"/>
            <w:szCs w:val="22"/>
          </w:rPr>
          <w:tab/>
        </w:r>
        <w:r w:rsidRPr="00325E4C">
          <w:rPr>
            <w:rStyle w:val="ac"/>
            <w:rFonts w:hint="eastAsia"/>
            <w:noProof/>
          </w:rPr>
          <w:t>人群健康保护措施</w:t>
        </w:r>
        <w:r>
          <w:rPr>
            <w:noProof/>
            <w:webHidden/>
          </w:rPr>
          <w:tab/>
        </w:r>
        <w:r>
          <w:rPr>
            <w:noProof/>
            <w:webHidden/>
          </w:rPr>
          <w:fldChar w:fldCharType="begin"/>
        </w:r>
        <w:r>
          <w:rPr>
            <w:noProof/>
            <w:webHidden/>
          </w:rPr>
          <w:instrText xml:space="preserve"> PAGEREF _Toc80170140 \h </w:instrText>
        </w:r>
        <w:r>
          <w:rPr>
            <w:noProof/>
            <w:webHidden/>
          </w:rPr>
        </w:r>
        <w:r>
          <w:rPr>
            <w:noProof/>
            <w:webHidden/>
          </w:rPr>
          <w:fldChar w:fldCharType="separate"/>
        </w:r>
        <w:r>
          <w:rPr>
            <w:noProof/>
            <w:webHidden/>
          </w:rPr>
          <w:t>192</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1" w:history="1">
        <w:r w:rsidRPr="00325E4C">
          <w:rPr>
            <w:rStyle w:val="ac"/>
            <w:noProof/>
          </w:rPr>
          <w:t>8.9</w:t>
        </w:r>
        <w:r>
          <w:rPr>
            <w:rFonts w:asciiTheme="minorHAnsi" w:eastAsiaTheme="minorEastAsia" w:hAnsiTheme="minorHAnsi" w:cstheme="minorBidi"/>
            <w:noProof/>
            <w:sz w:val="21"/>
            <w:szCs w:val="22"/>
          </w:rPr>
          <w:tab/>
        </w:r>
        <w:r w:rsidRPr="00325E4C">
          <w:rPr>
            <w:rStyle w:val="ac"/>
            <w:rFonts w:hint="eastAsia"/>
            <w:noProof/>
          </w:rPr>
          <w:t>移民安置环境保护措施</w:t>
        </w:r>
        <w:r>
          <w:rPr>
            <w:noProof/>
            <w:webHidden/>
          </w:rPr>
          <w:tab/>
        </w:r>
        <w:r>
          <w:rPr>
            <w:noProof/>
            <w:webHidden/>
          </w:rPr>
          <w:fldChar w:fldCharType="begin"/>
        </w:r>
        <w:r>
          <w:rPr>
            <w:noProof/>
            <w:webHidden/>
          </w:rPr>
          <w:instrText xml:space="preserve"> PAGEREF _Toc80170141 \h </w:instrText>
        </w:r>
        <w:r>
          <w:rPr>
            <w:noProof/>
            <w:webHidden/>
          </w:rPr>
        </w:r>
        <w:r>
          <w:rPr>
            <w:noProof/>
            <w:webHidden/>
          </w:rPr>
          <w:fldChar w:fldCharType="separate"/>
        </w:r>
        <w:r>
          <w:rPr>
            <w:noProof/>
            <w:webHidden/>
          </w:rPr>
          <w:t>194</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42" w:history="1">
        <w:r w:rsidRPr="00325E4C">
          <w:rPr>
            <w:rStyle w:val="ac"/>
            <w:noProof/>
          </w:rPr>
          <w:t>9</w:t>
        </w:r>
        <w:r>
          <w:rPr>
            <w:rFonts w:asciiTheme="minorHAnsi" w:eastAsiaTheme="minorEastAsia" w:hAnsiTheme="minorHAnsi" w:cstheme="minorBidi"/>
            <w:noProof/>
            <w:sz w:val="21"/>
            <w:szCs w:val="22"/>
          </w:rPr>
          <w:tab/>
        </w:r>
        <w:r w:rsidRPr="00325E4C">
          <w:rPr>
            <w:rStyle w:val="ac"/>
            <w:rFonts w:hint="eastAsia"/>
            <w:noProof/>
          </w:rPr>
          <w:t>环境监测与管理</w:t>
        </w:r>
        <w:r>
          <w:rPr>
            <w:noProof/>
            <w:webHidden/>
          </w:rPr>
          <w:tab/>
        </w:r>
        <w:r>
          <w:rPr>
            <w:noProof/>
            <w:webHidden/>
          </w:rPr>
          <w:fldChar w:fldCharType="begin"/>
        </w:r>
        <w:r>
          <w:rPr>
            <w:noProof/>
            <w:webHidden/>
          </w:rPr>
          <w:instrText xml:space="preserve"> PAGEREF _Toc80170142 \h </w:instrText>
        </w:r>
        <w:r>
          <w:rPr>
            <w:noProof/>
            <w:webHidden/>
          </w:rPr>
        </w:r>
        <w:r>
          <w:rPr>
            <w:noProof/>
            <w:webHidden/>
          </w:rPr>
          <w:fldChar w:fldCharType="separate"/>
        </w:r>
        <w:r>
          <w:rPr>
            <w:noProof/>
            <w:webHidden/>
          </w:rPr>
          <w:t>195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3" w:history="1">
        <w:r w:rsidRPr="00325E4C">
          <w:rPr>
            <w:rStyle w:val="ac"/>
            <w:noProof/>
          </w:rPr>
          <w:t>9.1</w:t>
        </w:r>
        <w:r>
          <w:rPr>
            <w:rFonts w:asciiTheme="minorHAnsi" w:eastAsiaTheme="minorEastAsia" w:hAnsiTheme="minorHAnsi" w:cstheme="minorBidi"/>
            <w:noProof/>
            <w:sz w:val="21"/>
            <w:szCs w:val="22"/>
          </w:rPr>
          <w:tab/>
        </w:r>
        <w:r w:rsidRPr="00325E4C">
          <w:rPr>
            <w:rStyle w:val="ac"/>
            <w:rFonts w:hint="eastAsia"/>
            <w:noProof/>
          </w:rPr>
          <w:t>环境管理</w:t>
        </w:r>
        <w:r>
          <w:rPr>
            <w:noProof/>
            <w:webHidden/>
          </w:rPr>
          <w:tab/>
        </w:r>
        <w:r>
          <w:rPr>
            <w:noProof/>
            <w:webHidden/>
          </w:rPr>
          <w:fldChar w:fldCharType="begin"/>
        </w:r>
        <w:r>
          <w:rPr>
            <w:noProof/>
            <w:webHidden/>
          </w:rPr>
          <w:instrText xml:space="preserve"> PAGEREF _Toc80170143 \h </w:instrText>
        </w:r>
        <w:r>
          <w:rPr>
            <w:noProof/>
            <w:webHidden/>
          </w:rPr>
        </w:r>
        <w:r>
          <w:rPr>
            <w:noProof/>
            <w:webHidden/>
          </w:rPr>
          <w:fldChar w:fldCharType="separate"/>
        </w:r>
        <w:r>
          <w:rPr>
            <w:noProof/>
            <w:webHidden/>
          </w:rPr>
          <w:t>195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4" w:history="1">
        <w:r w:rsidRPr="00325E4C">
          <w:rPr>
            <w:rStyle w:val="ac"/>
            <w:noProof/>
          </w:rPr>
          <w:t>9.2</w:t>
        </w:r>
        <w:r>
          <w:rPr>
            <w:rFonts w:asciiTheme="minorHAnsi" w:eastAsiaTheme="minorEastAsia" w:hAnsiTheme="minorHAnsi" w:cstheme="minorBidi"/>
            <w:noProof/>
            <w:sz w:val="21"/>
            <w:szCs w:val="22"/>
          </w:rPr>
          <w:tab/>
        </w:r>
        <w:r w:rsidRPr="00325E4C">
          <w:rPr>
            <w:rStyle w:val="ac"/>
            <w:rFonts w:hint="eastAsia"/>
            <w:noProof/>
          </w:rPr>
          <w:t>环境监理</w:t>
        </w:r>
        <w:r>
          <w:rPr>
            <w:noProof/>
            <w:webHidden/>
          </w:rPr>
          <w:tab/>
        </w:r>
        <w:r>
          <w:rPr>
            <w:noProof/>
            <w:webHidden/>
          </w:rPr>
          <w:fldChar w:fldCharType="begin"/>
        </w:r>
        <w:r>
          <w:rPr>
            <w:noProof/>
            <w:webHidden/>
          </w:rPr>
          <w:instrText xml:space="preserve"> PAGEREF _Toc80170144 \h </w:instrText>
        </w:r>
        <w:r>
          <w:rPr>
            <w:noProof/>
            <w:webHidden/>
          </w:rPr>
        </w:r>
        <w:r>
          <w:rPr>
            <w:noProof/>
            <w:webHidden/>
          </w:rPr>
          <w:fldChar w:fldCharType="separate"/>
        </w:r>
        <w:r>
          <w:rPr>
            <w:noProof/>
            <w:webHidden/>
          </w:rPr>
          <w:t>197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5" w:history="1">
        <w:r w:rsidRPr="00325E4C">
          <w:rPr>
            <w:rStyle w:val="ac"/>
            <w:noProof/>
          </w:rPr>
          <w:t>9.3</w:t>
        </w:r>
        <w:r>
          <w:rPr>
            <w:rFonts w:asciiTheme="minorHAnsi" w:eastAsiaTheme="minorEastAsia" w:hAnsiTheme="minorHAnsi" w:cstheme="minorBidi"/>
            <w:noProof/>
            <w:sz w:val="21"/>
            <w:szCs w:val="22"/>
          </w:rPr>
          <w:tab/>
        </w:r>
        <w:r w:rsidRPr="00325E4C">
          <w:rPr>
            <w:rStyle w:val="ac"/>
            <w:rFonts w:hint="eastAsia"/>
            <w:noProof/>
          </w:rPr>
          <w:t>环境监测</w:t>
        </w:r>
        <w:r>
          <w:rPr>
            <w:noProof/>
            <w:webHidden/>
          </w:rPr>
          <w:tab/>
        </w:r>
        <w:r>
          <w:rPr>
            <w:noProof/>
            <w:webHidden/>
          </w:rPr>
          <w:fldChar w:fldCharType="begin"/>
        </w:r>
        <w:r>
          <w:rPr>
            <w:noProof/>
            <w:webHidden/>
          </w:rPr>
          <w:instrText xml:space="preserve"> PAGEREF _Toc80170145 \h </w:instrText>
        </w:r>
        <w:r>
          <w:rPr>
            <w:noProof/>
            <w:webHidden/>
          </w:rPr>
        </w:r>
        <w:r>
          <w:rPr>
            <w:noProof/>
            <w:webHidden/>
          </w:rPr>
          <w:fldChar w:fldCharType="separate"/>
        </w:r>
        <w:r>
          <w:rPr>
            <w:noProof/>
            <w:webHidden/>
          </w:rPr>
          <w:t>199</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6" w:history="1">
        <w:r w:rsidRPr="00325E4C">
          <w:rPr>
            <w:rStyle w:val="ac"/>
            <w:noProof/>
          </w:rPr>
          <w:t>9.4</w:t>
        </w:r>
        <w:r>
          <w:rPr>
            <w:rFonts w:asciiTheme="minorHAnsi" w:eastAsiaTheme="minorEastAsia" w:hAnsiTheme="minorHAnsi" w:cstheme="minorBidi"/>
            <w:noProof/>
            <w:sz w:val="21"/>
            <w:szCs w:val="22"/>
          </w:rPr>
          <w:tab/>
        </w:r>
        <w:r w:rsidRPr="00325E4C">
          <w:rPr>
            <w:rStyle w:val="ac"/>
            <w:rFonts w:hint="eastAsia"/>
            <w:noProof/>
          </w:rPr>
          <w:t>环保竣工验收</w:t>
        </w:r>
        <w:r>
          <w:rPr>
            <w:noProof/>
            <w:webHidden/>
          </w:rPr>
          <w:tab/>
        </w:r>
        <w:r>
          <w:rPr>
            <w:noProof/>
            <w:webHidden/>
          </w:rPr>
          <w:fldChar w:fldCharType="begin"/>
        </w:r>
        <w:r>
          <w:rPr>
            <w:noProof/>
            <w:webHidden/>
          </w:rPr>
          <w:instrText xml:space="preserve"> PAGEREF _Toc80170146 \h </w:instrText>
        </w:r>
        <w:r>
          <w:rPr>
            <w:noProof/>
            <w:webHidden/>
          </w:rPr>
        </w:r>
        <w:r>
          <w:rPr>
            <w:noProof/>
            <w:webHidden/>
          </w:rPr>
          <w:fldChar w:fldCharType="separate"/>
        </w:r>
        <w:r>
          <w:rPr>
            <w:noProof/>
            <w:webHidden/>
          </w:rPr>
          <w:t>203</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47" w:history="1">
        <w:r w:rsidRPr="00325E4C">
          <w:rPr>
            <w:rStyle w:val="ac"/>
            <w:noProof/>
          </w:rPr>
          <w:t>10</w:t>
        </w:r>
        <w:r>
          <w:rPr>
            <w:rFonts w:asciiTheme="minorHAnsi" w:eastAsiaTheme="minorEastAsia" w:hAnsiTheme="minorHAnsi" w:cstheme="minorBidi"/>
            <w:noProof/>
            <w:sz w:val="21"/>
            <w:szCs w:val="22"/>
          </w:rPr>
          <w:tab/>
        </w:r>
        <w:r w:rsidRPr="00325E4C">
          <w:rPr>
            <w:rStyle w:val="ac"/>
            <w:rFonts w:hint="eastAsia"/>
            <w:noProof/>
          </w:rPr>
          <w:t>环保投资估算与环境经济损益分析</w:t>
        </w:r>
        <w:r>
          <w:rPr>
            <w:noProof/>
            <w:webHidden/>
          </w:rPr>
          <w:tab/>
        </w:r>
        <w:r>
          <w:rPr>
            <w:noProof/>
            <w:webHidden/>
          </w:rPr>
          <w:fldChar w:fldCharType="begin"/>
        </w:r>
        <w:r>
          <w:rPr>
            <w:noProof/>
            <w:webHidden/>
          </w:rPr>
          <w:instrText xml:space="preserve"> PAGEREF _Toc80170147 \h </w:instrText>
        </w:r>
        <w:r>
          <w:rPr>
            <w:noProof/>
            <w:webHidden/>
          </w:rPr>
        </w:r>
        <w:r>
          <w:rPr>
            <w:noProof/>
            <w:webHidden/>
          </w:rPr>
          <w:fldChar w:fldCharType="separate"/>
        </w:r>
        <w:r>
          <w:rPr>
            <w:noProof/>
            <w:webHidden/>
          </w:rPr>
          <w:t>207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8" w:history="1">
        <w:r w:rsidRPr="00325E4C">
          <w:rPr>
            <w:rStyle w:val="ac"/>
            <w:noProof/>
          </w:rPr>
          <w:t>10.1</w:t>
        </w:r>
        <w:r>
          <w:rPr>
            <w:rFonts w:asciiTheme="minorHAnsi" w:eastAsiaTheme="minorEastAsia" w:hAnsiTheme="minorHAnsi" w:cstheme="minorBidi"/>
            <w:noProof/>
            <w:sz w:val="21"/>
            <w:szCs w:val="22"/>
          </w:rPr>
          <w:tab/>
        </w:r>
        <w:r w:rsidRPr="00325E4C">
          <w:rPr>
            <w:rStyle w:val="ac"/>
            <w:rFonts w:hint="eastAsia"/>
            <w:noProof/>
          </w:rPr>
          <w:t>环境保护投资估算</w:t>
        </w:r>
        <w:r>
          <w:rPr>
            <w:noProof/>
            <w:webHidden/>
          </w:rPr>
          <w:tab/>
        </w:r>
        <w:r>
          <w:rPr>
            <w:noProof/>
            <w:webHidden/>
          </w:rPr>
          <w:fldChar w:fldCharType="begin"/>
        </w:r>
        <w:r>
          <w:rPr>
            <w:noProof/>
            <w:webHidden/>
          </w:rPr>
          <w:instrText xml:space="preserve"> PAGEREF _Toc80170148 \h </w:instrText>
        </w:r>
        <w:r>
          <w:rPr>
            <w:noProof/>
            <w:webHidden/>
          </w:rPr>
        </w:r>
        <w:r>
          <w:rPr>
            <w:noProof/>
            <w:webHidden/>
          </w:rPr>
          <w:fldChar w:fldCharType="separate"/>
        </w:r>
        <w:r>
          <w:rPr>
            <w:noProof/>
            <w:webHidden/>
          </w:rPr>
          <w:t>207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49" w:history="1">
        <w:r w:rsidRPr="00325E4C">
          <w:rPr>
            <w:rStyle w:val="ac"/>
            <w:noProof/>
          </w:rPr>
          <w:t>10.2</w:t>
        </w:r>
        <w:r>
          <w:rPr>
            <w:rFonts w:asciiTheme="minorHAnsi" w:eastAsiaTheme="minorEastAsia" w:hAnsiTheme="minorHAnsi" w:cstheme="minorBidi"/>
            <w:noProof/>
            <w:sz w:val="21"/>
            <w:szCs w:val="22"/>
          </w:rPr>
          <w:tab/>
        </w:r>
        <w:r w:rsidRPr="00325E4C">
          <w:rPr>
            <w:rStyle w:val="ac"/>
            <w:rFonts w:hint="eastAsia"/>
            <w:noProof/>
          </w:rPr>
          <w:t>环境影响经济损益简要分析</w:t>
        </w:r>
        <w:r>
          <w:rPr>
            <w:noProof/>
            <w:webHidden/>
          </w:rPr>
          <w:tab/>
        </w:r>
        <w:r>
          <w:rPr>
            <w:noProof/>
            <w:webHidden/>
          </w:rPr>
          <w:fldChar w:fldCharType="begin"/>
        </w:r>
        <w:r>
          <w:rPr>
            <w:noProof/>
            <w:webHidden/>
          </w:rPr>
          <w:instrText xml:space="preserve"> PAGEREF _Toc80170149 \h </w:instrText>
        </w:r>
        <w:r>
          <w:rPr>
            <w:noProof/>
            <w:webHidden/>
          </w:rPr>
        </w:r>
        <w:r>
          <w:rPr>
            <w:noProof/>
            <w:webHidden/>
          </w:rPr>
          <w:fldChar w:fldCharType="separate"/>
        </w:r>
        <w:r>
          <w:rPr>
            <w:noProof/>
            <w:webHidden/>
          </w:rPr>
          <w:t>211</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0" w:history="1">
        <w:r w:rsidRPr="00325E4C">
          <w:rPr>
            <w:rStyle w:val="ac"/>
            <w:noProof/>
          </w:rPr>
          <w:t>10.3</w:t>
        </w:r>
        <w:r>
          <w:rPr>
            <w:rFonts w:asciiTheme="minorHAnsi" w:eastAsiaTheme="minorEastAsia" w:hAnsiTheme="minorHAnsi" w:cstheme="minorBidi"/>
            <w:noProof/>
            <w:sz w:val="21"/>
            <w:szCs w:val="22"/>
          </w:rPr>
          <w:tab/>
        </w:r>
        <w:r w:rsidRPr="00325E4C">
          <w:rPr>
            <w:rStyle w:val="ac"/>
            <w:rFonts w:hint="eastAsia"/>
            <w:noProof/>
          </w:rPr>
          <w:t>结论</w:t>
        </w:r>
        <w:r>
          <w:rPr>
            <w:noProof/>
            <w:webHidden/>
          </w:rPr>
          <w:tab/>
        </w:r>
        <w:r>
          <w:rPr>
            <w:noProof/>
            <w:webHidden/>
          </w:rPr>
          <w:fldChar w:fldCharType="begin"/>
        </w:r>
        <w:r>
          <w:rPr>
            <w:noProof/>
            <w:webHidden/>
          </w:rPr>
          <w:instrText xml:space="preserve"> PAGEREF _Toc80170150 \h </w:instrText>
        </w:r>
        <w:r>
          <w:rPr>
            <w:noProof/>
            <w:webHidden/>
          </w:rPr>
        </w:r>
        <w:r>
          <w:rPr>
            <w:noProof/>
            <w:webHidden/>
          </w:rPr>
          <w:fldChar w:fldCharType="separate"/>
        </w:r>
        <w:r>
          <w:rPr>
            <w:noProof/>
            <w:webHidden/>
          </w:rPr>
          <w:t>212</w:t>
        </w:r>
        <w:r>
          <w:rPr>
            <w:noProof/>
            <w:webHidden/>
          </w:rPr>
          <w:fldChar w:fldCharType="end"/>
        </w:r>
      </w:hyperlink>
    </w:p>
    <w:p w:rsidR="00E97427" w:rsidRDefault="00E97427" w:rsidP="00325E4C">
      <w:pPr>
        <w:pStyle w:val="10"/>
        <w:tabs>
          <w:tab w:val="left" w:pos="1050"/>
          <w:tab w:val="right" w:leader="dot" w:pos="8296"/>
        </w:tabs>
        <w:ind w:firstLine="480"/>
        <w:rPr>
          <w:rFonts w:asciiTheme="minorHAnsi" w:eastAsiaTheme="minorEastAsia" w:hAnsiTheme="minorHAnsi" w:cstheme="minorBidi"/>
          <w:noProof/>
          <w:sz w:val="21"/>
          <w:szCs w:val="22"/>
        </w:rPr>
      </w:pPr>
      <w:hyperlink w:anchor="_Toc80170151" w:history="1">
        <w:r w:rsidRPr="00325E4C">
          <w:rPr>
            <w:rStyle w:val="ac"/>
            <w:noProof/>
          </w:rPr>
          <w:t>11</w:t>
        </w:r>
        <w:r>
          <w:rPr>
            <w:rFonts w:asciiTheme="minorHAnsi" w:eastAsiaTheme="minorEastAsia" w:hAnsiTheme="minorHAnsi" w:cstheme="minorBidi"/>
            <w:noProof/>
            <w:sz w:val="21"/>
            <w:szCs w:val="22"/>
          </w:rPr>
          <w:tab/>
        </w:r>
        <w:r w:rsidRPr="00325E4C">
          <w:rPr>
            <w:rStyle w:val="ac"/>
            <w:rFonts w:hint="eastAsia"/>
            <w:noProof/>
          </w:rPr>
          <w:t>环境影响评价结论</w:t>
        </w:r>
        <w:r>
          <w:rPr>
            <w:noProof/>
            <w:webHidden/>
          </w:rPr>
          <w:tab/>
        </w:r>
        <w:r>
          <w:rPr>
            <w:noProof/>
            <w:webHidden/>
          </w:rPr>
          <w:fldChar w:fldCharType="begin"/>
        </w:r>
        <w:r>
          <w:rPr>
            <w:noProof/>
            <w:webHidden/>
          </w:rPr>
          <w:instrText xml:space="preserve"> PAGEREF _Toc80170151 \h </w:instrText>
        </w:r>
        <w:r>
          <w:rPr>
            <w:noProof/>
            <w:webHidden/>
          </w:rPr>
        </w:r>
        <w:r>
          <w:rPr>
            <w:noProof/>
            <w:webHidden/>
          </w:rPr>
          <w:fldChar w:fldCharType="separate"/>
        </w:r>
        <w:r>
          <w:rPr>
            <w:noProof/>
            <w:webHidden/>
          </w:rPr>
          <w:t>213</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2" w:history="1">
        <w:r w:rsidRPr="00325E4C">
          <w:rPr>
            <w:rStyle w:val="ac"/>
            <w:noProof/>
          </w:rPr>
          <w:t>11.1</w:t>
        </w:r>
        <w:r>
          <w:rPr>
            <w:rFonts w:asciiTheme="minorHAnsi" w:eastAsiaTheme="minorEastAsia" w:hAnsiTheme="minorHAnsi" w:cstheme="minorBidi"/>
            <w:noProof/>
            <w:sz w:val="21"/>
            <w:szCs w:val="22"/>
          </w:rPr>
          <w:tab/>
        </w:r>
        <w:r w:rsidRPr="00325E4C">
          <w:rPr>
            <w:rStyle w:val="ac"/>
            <w:rFonts w:hint="eastAsia"/>
            <w:noProof/>
          </w:rPr>
          <w:t>项目概况</w:t>
        </w:r>
        <w:r>
          <w:rPr>
            <w:noProof/>
            <w:webHidden/>
          </w:rPr>
          <w:tab/>
        </w:r>
        <w:r>
          <w:rPr>
            <w:noProof/>
            <w:webHidden/>
          </w:rPr>
          <w:fldChar w:fldCharType="begin"/>
        </w:r>
        <w:r>
          <w:rPr>
            <w:noProof/>
            <w:webHidden/>
          </w:rPr>
          <w:instrText xml:space="preserve"> PAGEREF _Toc80170152 \h </w:instrText>
        </w:r>
        <w:r>
          <w:rPr>
            <w:noProof/>
            <w:webHidden/>
          </w:rPr>
        </w:r>
        <w:r>
          <w:rPr>
            <w:noProof/>
            <w:webHidden/>
          </w:rPr>
          <w:fldChar w:fldCharType="separate"/>
        </w:r>
        <w:r>
          <w:rPr>
            <w:noProof/>
            <w:webHidden/>
          </w:rPr>
          <w:t>213</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3" w:history="1">
        <w:r w:rsidRPr="00325E4C">
          <w:rPr>
            <w:rStyle w:val="ac"/>
            <w:noProof/>
          </w:rPr>
          <w:t>11.2</w:t>
        </w:r>
        <w:r>
          <w:rPr>
            <w:rFonts w:asciiTheme="minorHAnsi" w:eastAsiaTheme="minorEastAsia" w:hAnsiTheme="minorHAnsi" w:cstheme="minorBidi"/>
            <w:noProof/>
            <w:sz w:val="21"/>
            <w:szCs w:val="22"/>
          </w:rPr>
          <w:tab/>
        </w:r>
        <w:r w:rsidRPr="00325E4C">
          <w:rPr>
            <w:rStyle w:val="ac"/>
            <w:rFonts w:hint="eastAsia"/>
            <w:noProof/>
          </w:rPr>
          <w:t>工程建设必要性及相关产业政策、规划符合性</w:t>
        </w:r>
        <w:r>
          <w:rPr>
            <w:noProof/>
            <w:webHidden/>
          </w:rPr>
          <w:tab/>
        </w:r>
        <w:r>
          <w:rPr>
            <w:noProof/>
            <w:webHidden/>
          </w:rPr>
          <w:fldChar w:fldCharType="begin"/>
        </w:r>
        <w:r>
          <w:rPr>
            <w:noProof/>
            <w:webHidden/>
          </w:rPr>
          <w:instrText xml:space="preserve"> PAGEREF _Toc80170153 \h </w:instrText>
        </w:r>
        <w:r>
          <w:rPr>
            <w:noProof/>
            <w:webHidden/>
          </w:rPr>
        </w:r>
        <w:r>
          <w:rPr>
            <w:noProof/>
            <w:webHidden/>
          </w:rPr>
          <w:fldChar w:fldCharType="separate"/>
        </w:r>
        <w:r>
          <w:rPr>
            <w:noProof/>
            <w:webHidden/>
          </w:rPr>
          <w:t>213</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4" w:history="1">
        <w:r w:rsidRPr="00325E4C">
          <w:rPr>
            <w:rStyle w:val="ac"/>
            <w:noProof/>
          </w:rPr>
          <w:t>11.3</w:t>
        </w:r>
        <w:r>
          <w:rPr>
            <w:rFonts w:asciiTheme="minorHAnsi" w:eastAsiaTheme="minorEastAsia" w:hAnsiTheme="minorHAnsi" w:cstheme="minorBidi"/>
            <w:noProof/>
            <w:sz w:val="21"/>
            <w:szCs w:val="22"/>
          </w:rPr>
          <w:tab/>
        </w:r>
        <w:r w:rsidRPr="00325E4C">
          <w:rPr>
            <w:rStyle w:val="ac"/>
            <w:rFonts w:hint="eastAsia"/>
            <w:noProof/>
          </w:rPr>
          <w:t>环境质量现状及保护目标</w:t>
        </w:r>
        <w:r>
          <w:rPr>
            <w:noProof/>
            <w:webHidden/>
          </w:rPr>
          <w:tab/>
        </w:r>
        <w:r>
          <w:rPr>
            <w:noProof/>
            <w:webHidden/>
          </w:rPr>
          <w:fldChar w:fldCharType="begin"/>
        </w:r>
        <w:r>
          <w:rPr>
            <w:noProof/>
            <w:webHidden/>
          </w:rPr>
          <w:instrText xml:space="preserve"> PAGEREF _Toc80170154 \h </w:instrText>
        </w:r>
        <w:r>
          <w:rPr>
            <w:noProof/>
            <w:webHidden/>
          </w:rPr>
        </w:r>
        <w:r>
          <w:rPr>
            <w:noProof/>
            <w:webHidden/>
          </w:rPr>
          <w:fldChar w:fldCharType="separate"/>
        </w:r>
        <w:r>
          <w:rPr>
            <w:noProof/>
            <w:webHidden/>
          </w:rPr>
          <w:t>214</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5" w:history="1">
        <w:r w:rsidRPr="00325E4C">
          <w:rPr>
            <w:rStyle w:val="ac"/>
            <w:noProof/>
          </w:rPr>
          <w:t>11.4</w:t>
        </w:r>
        <w:r>
          <w:rPr>
            <w:rFonts w:asciiTheme="minorHAnsi" w:eastAsiaTheme="minorEastAsia" w:hAnsiTheme="minorHAnsi" w:cstheme="minorBidi"/>
            <w:noProof/>
            <w:sz w:val="21"/>
            <w:szCs w:val="22"/>
          </w:rPr>
          <w:tab/>
        </w:r>
        <w:r w:rsidRPr="00325E4C">
          <w:rPr>
            <w:rStyle w:val="ac"/>
            <w:rFonts w:hint="eastAsia"/>
            <w:noProof/>
          </w:rPr>
          <w:t>环境保护措施及主要环境影响分析</w:t>
        </w:r>
        <w:r>
          <w:rPr>
            <w:noProof/>
            <w:webHidden/>
          </w:rPr>
          <w:tab/>
        </w:r>
        <w:r>
          <w:rPr>
            <w:noProof/>
            <w:webHidden/>
          </w:rPr>
          <w:fldChar w:fldCharType="begin"/>
        </w:r>
        <w:r>
          <w:rPr>
            <w:noProof/>
            <w:webHidden/>
          </w:rPr>
          <w:instrText xml:space="preserve"> PAGEREF _Toc80170155 \h </w:instrText>
        </w:r>
        <w:r>
          <w:rPr>
            <w:noProof/>
            <w:webHidden/>
          </w:rPr>
        </w:r>
        <w:r>
          <w:rPr>
            <w:noProof/>
            <w:webHidden/>
          </w:rPr>
          <w:fldChar w:fldCharType="separate"/>
        </w:r>
        <w:r>
          <w:rPr>
            <w:noProof/>
            <w:webHidden/>
          </w:rPr>
          <w:t>215</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6" w:history="1">
        <w:r w:rsidRPr="00325E4C">
          <w:rPr>
            <w:rStyle w:val="ac"/>
            <w:noProof/>
          </w:rPr>
          <w:t>11.5</w:t>
        </w:r>
        <w:r>
          <w:rPr>
            <w:rFonts w:asciiTheme="minorHAnsi" w:eastAsiaTheme="minorEastAsia" w:hAnsiTheme="minorHAnsi" w:cstheme="minorBidi"/>
            <w:noProof/>
            <w:sz w:val="21"/>
            <w:szCs w:val="22"/>
          </w:rPr>
          <w:tab/>
        </w:r>
        <w:r w:rsidRPr="00325E4C">
          <w:rPr>
            <w:rStyle w:val="ac"/>
            <w:rFonts w:hint="eastAsia"/>
            <w:noProof/>
          </w:rPr>
          <w:t>环境风险分析结论</w:t>
        </w:r>
        <w:r>
          <w:rPr>
            <w:noProof/>
            <w:webHidden/>
          </w:rPr>
          <w:tab/>
        </w:r>
        <w:r>
          <w:rPr>
            <w:noProof/>
            <w:webHidden/>
          </w:rPr>
          <w:fldChar w:fldCharType="begin"/>
        </w:r>
        <w:r>
          <w:rPr>
            <w:noProof/>
            <w:webHidden/>
          </w:rPr>
          <w:instrText xml:space="preserve"> PAGEREF _Toc80170156 \h </w:instrText>
        </w:r>
        <w:r>
          <w:rPr>
            <w:noProof/>
            <w:webHidden/>
          </w:rPr>
        </w:r>
        <w:r>
          <w:rPr>
            <w:noProof/>
            <w:webHidden/>
          </w:rPr>
          <w:fldChar w:fldCharType="separate"/>
        </w:r>
        <w:r>
          <w:rPr>
            <w:noProof/>
            <w:webHidden/>
          </w:rPr>
          <w:t>217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7" w:history="1">
        <w:r w:rsidRPr="00325E4C">
          <w:rPr>
            <w:rStyle w:val="ac"/>
            <w:noProof/>
          </w:rPr>
          <w:t>11.6</w:t>
        </w:r>
        <w:r>
          <w:rPr>
            <w:rFonts w:asciiTheme="minorHAnsi" w:eastAsiaTheme="minorEastAsia" w:hAnsiTheme="minorHAnsi" w:cstheme="minorBidi"/>
            <w:noProof/>
            <w:sz w:val="21"/>
            <w:szCs w:val="22"/>
          </w:rPr>
          <w:tab/>
        </w:r>
        <w:r w:rsidRPr="00325E4C">
          <w:rPr>
            <w:rStyle w:val="ac"/>
            <w:rFonts w:hint="eastAsia"/>
            <w:noProof/>
          </w:rPr>
          <w:t>环境监测与管理</w:t>
        </w:r>
        <w:r>
          <w:rPr>
            <w:noProof/>
            <w:webHidden/>
          </w:rPr>
          <w:tab/>
        </w:r>
        <w:r>
          <w:rPr>
            <w:noProof/>
            <w:webHidden/>
          </w:rPr>
          <w:fldChar w:fldCharType="begin"/>
        </w:r>
        <w:r>
          <w:rPr>
            <w:noProof/>
            <w:webHidden/>
          </w:rPr>
          <w:instrText xml:space="preserve"> PAGEREF _Toc80170157 \h </w:instrText>
        </w:r>
        <w:r>
          <w:rPr>
            <w:noProof/>
            <w:webHidden/>
          </w:rPr>
        </w:r>
        <w:r>
          <w:rPr>
            <w:noProof/>
            <w:webHidden/>
          </w:rPr>
          <w:fldChar w:fldCharType="separate"/>
        </w:r>
        <w:r>
          <w:rPr>
            <w:noProof/>
            <w:webHidden/>
          </w:rPr>
          <w:t>217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8" w:history="1">
        <w:r w:rsidRPr="00325E4C">
          <w:rPr>
            <w:rStyle w:val="ac"/>
            <w:noProof/>
          </w:rPr>
          <w:t>11.7</w:t>
        </w:r>
        <w:r>
          <w:rPr>
            <w:rFonts w:asciiTheme="minorHAnsi" w:eastAsiaTheme="minorEastAsia" w:hAnsiTheme="minorHAnsi" w:cstheme="minorBidi"/>
            <w:noProof/>
            <w:sz w:val="21"/>
            <w:szCs w:val="22"/>
          </w:rPr>
          <w:tab/>
        </w:r>
        <w:r w:rsidRPr="00325E4C">
          <w:rPr>
            <w:rStyle w:val="ac"/>
            <w:rFonts w:hint="eastAsia"/>
            <w:noProof/>
          </w:rPr>
          <w:t>环境影响经济损益分析</w:t>
        </w:r>
        <w:r>
          <w:rPr>
            <w:noProof/>
            <w:webHidden/>
          </w:rPr>
          <w:tab/>
        </w:r>
        <w:r>
          <w:rPr>
            <w:noProof/>
            <w:webHidden/>
          </w:rPr>
          <w:fldChar w:fldCharType="begin"/>
        </w:r>
        <w:r>
          <w:rPr>
            <w:noProof/>
            <w:webHidden/>
          </w:rPr>
          <w:instrText xml:space="preserve"> PAGEREF _Toc80170158 \h </w:instrText>
        </w:r>
        <w:r>
          <w:rPr>
            <w:noProof/>
            <w:webHidden/>
          </w:rPr>
        </w:r>
        <w:r>
          <w:rPr>
            <w:noProof/>
            <w:webHidden/>
          </w:rPr>
          <w:fldChar w:fldCharType="separate"/>
        </w:r>
        <w:r>
          <w:rPr>
            <w:noProof/>
            <w:webHidden/>
          </w:rPr>
          <w:t>217</w:t>
        </w:r>
        <w:r>
          <w:rPr>
            <w:noProof/>
            <w:webHidden/>
          </w:rPr>
          <w:fldChar w:fldCharType="end"/>
        </w:r>
      </w:hyperlink>
    </w:p>
    <w:p w:rsidR="00E97427" w:rsidRDefault="00E97427" w:rsidP="00E97427">
      <w:pPr>
        <w:pStyle w:val="20"/>
        <w:tabs>
          <w:tab w:val="left" w:pos="1680"/>
          <w:tab w:val="right" w:leader="dot" w:pos="8296"/>
        </w:tabs>
        <w:ind w:left="480" w:firstLine="480"/>
        <w:rPr>
          <w:rFonts w:asciiTheme="minorHAnsi" w:eastAsiaTheme="minorEastAsia" w:hAnsiTheme="minorHAnsi" w:cstheme="minorBidi"/>
          <w:noProof/>
          <w:sz w:val="21"/>
          <w:szCs w:val="22"/>
        </w:rPr>
      </w:pPr>
      <w:hyperlink w:anchor="_Toc80170159" w:history="1">
        <w:r w:rsidRPr="00325E4C">
          <w:rPr>
            <w:rStyle w:val="ac"/>
            <w:noProof/>
          </w:rPr>
          <w:t>11.8</w:t>
        </w:r>
        <w:r>
          <w:rPr>
            <w:rFonts w:asciiTheme="minorHAnsi" w:eastAsiaTheme="minorEastAsia" w:hAnsiTheme="minorHAnsi" w:cstheme="minorBidi"/>
            <w:noProof/>
            <w:sz w:val="21"/>
            <w:szCs w:val="22"/>
          </w:rPr>
          <w:tab/>
        </w:r>
        <w:r w:rsidRPr="00325E4C">
          <w:rPr>
            <w:rStyle w:val="ac"/>
            <w:rFonts w:hint="eastAsia"/>
            <w:noProof/>
          </w:rPr>
          <w:t>综合评价结论与建议</w:t>
        </w:r>
        <w:r>
          <w:rPr>
            <w:noProof/>
            <w:webHidden/>
          </w:rPr>
          <w:tab/>
        </w:r>
        <w:r>
          <w:rPr>
            <w:noProof/>
            <w:webHidden/>
          </w:rPr>
          <w:fldChar w:fldCharType="begin"/>
        </w:r>
        <w:r>
          <w:rPr>
            <w:noProof/>
            <w:webHidden/>
          </w:rPr>
          <w:instrText xml:space="preserve"> PAGEREF _Toc80170159 \h </w:instrText>
        </w:r>
        <w:r>
          <w:rPr>
            <w:noProof/>
            <w:webHidden/>
          </w:rPr>
        </w:r>
        <w:r>
          <w:rPr>
            <w:noProof/>
            <w:webHidden/>
          </w:rPr>
          <w:fldChar w:fldCharType="separate"/>
        </w:r>
        <w:r>
          <w:rPr>
            <w:noProof/>
            <w:webHidden/>
          </w:rPr>
          <w:t>217</w:t>
        </w:r>
        <w:r>
          <w:rPr>
            <w:noProof/>
            <w:webHidden/>
          </w:rPr>
          <w:fldChar w:fldCharType="end"/>
        </w:r>
      </w:hyperlink>
    </w:p>
    <w:p w:rsidR="006175A6" w:rsidRDefault="009B4BA7">
      <w:pPr>
        <w:ind w:firstLine="480"/>
        <w:sectPr w:rsidR="006175A6">
          <w:headerReference w:type="default" r:id="rId16"/>
          <w:footnotePr>
            <w:numFmt w:val="decimalEnclosedCircleChinese"/>
            <w:numRestart w:val="eachPage"/>
          </w:footnotePr>
          <w:pgSz w:w="11906" w:h="16838"/>
          <w:pgMar w:top="1440" w:right="1800" w:bottom="1440" w:left="1800" w:header="851" w:footer="992" w:gutter="0"/>
          <w:cols w:space="425"/>
          <w:docGrid w:type="lines" w:linePitch="326"/>
        </w:sectPr>
      </w:pPr>
      <w:r>
        <w:fldChar w:fldCharType="end"/>
      </w:r>
    </w:p>
    <w:p w:rsidR="006175A6" w:rsidRDefault="009B4BA7">
      <w:pPr>
        <w:pStyle w:val="1"/>
      </w:pPr>
      <w:bookmarkStart w:id="0" w:name="_Toc67902043"/>
      <w:bookmarkStart w:id="1" w:name="_Toc80170075"/>
      <w:r>
        <w:rPr>
          <w:rFonts w:hint="eastAsia"/>
        </w:rPr>
        <w:lastRenderedPageBreak/>
        <w:t>概述</w:t>
      </w:r>
      <w:bookmarkEnd w:id="0"/>
      <w:bookmarkEnd w:id="1"/>
    </w:p>
    <w:p w:rsidR="006175A6" w:rsidRDefault="009B4BA7">
      <w:pPr>
        <w:pStyle w:val="2"/>
      </w:pPr>
      <w:bookmarkStart w:id="2" w:name="_Toc67902044"/>
      <w:bookmarkStart w:id="3" w:name="_Toc80170076"/>
      <w:r>
        <w:rPr>
          <w:rFonts w:hint="eastAsia"/>
        </w:rPr>
        <w:t>项目背景</w:t>
      </w:r>
      <w:bookmarkEnd w:id="2"/>
      <w:bookmarkEnd w:id="3"/>
    </w:p>
    <w:p w:rsidR="006175A6" w:rsidRDefault="009B4BA7">
      <w:pPr>
        <w:ind w:firstLine="480"/>
      </w:pPr>
      <w:r>
        <w:rPr>
          <w:rFonts w:hint="eastAsia"/>
        </w:rPr>
        <w:t>湖北省宜昌市兴山县地处鄂西山区，经济发展相对滞后，县委、政府经过多次产业结构调整，经济取得一定发展。随着兴山县的社会经济日益发展，推进城市化和农村现代化进程的加速，在实现“农业富县、工业兴县、旅游强县的发展战略的征程中”，水资源短缺与社会发展对水资源“质”与“量”的要求之间的矛盾日益突出。“水”成了制约工农业生产和社会经济发展的重要因素之一。</w:t>
      </w:r>
    </w:p>
    <w:p w:rsidR="006175A6" w:rsidRDefault="009B4BA7">
      <w:pPr>
        <w:ind w:firstLine="480"/>
      </w:pPr>
      <w:r>
        <w:rPr>
          <w:rFonts w:hint="eastAsia"/>
        </w:rPr>
        <w:t>两河口水库建成后，将从根本上解决受水区“水荒”的现象，将有效的改善水质，全面带动区域经济的发展，为全面建设小康社会创造条件。因此，该工程建设是社会发展的必然要求；是解决受水区水资源短缺的必由之路；是生态工业园建设、受水区社会发展进步、人民的生活水平和生活质量提高的有利保障。因此，新建该项目工程已迫在眉睫。</w:t>
      </w:r>
    </w:p>
    <w:p w:rsidR="006175A6" w:rsidRDefault="009B4BA7">
      <w:pPr>
        <w:ind w:firstLine="480"/>
      </w:pPr>
      <w:r>
        <w:rPr>
          <w:rFonts w:hint="eastAsia"/>
        </w:rPr>
        <w:t>2008</w:t>
      </w:r>
      <w:r>
        <w:rPr>
          <w:rFonts w:hint="eastAsia"/>
        </w:rPr>
        <w:t>年宜昌市水利水电勘察设计院编制完成了《湖北省兴山县水能开发规划修编报告》，</w:t>
      </w:r>
      <w:r>
        <w:rPr>
          <w:rFonts w:hint="eastAsia"/>
        </w:rPr>
        <w:t>2008</w:t>
      </w:r>
      <w:r>
        <w:rPr>
          <w:rFonts w:hint="eastAsia"/>
        </w:rPr>
        <w:t>年</w:t>
      </w:r>
      <w:r>
        <w:rPr>
          <w:rFonts w:hint="eastAsia"/>
        </w:rPr>
        <w:t>3</w:t>
      </w:r>
      <w:r>
        <w:rPr>
          <w:rFonts w:hint="eastAsia"/>
        </w:rPr>
        <w:t>月，兴山县人民政府以“兴政函</w:t>
      </w:r>
      <w:r>
        <w:rPr>
          <w:rFonts w:hint="eastAsia"/>
        </w:rPr>
        <w:t>[2008]11</w:t>
      </w:r>
      <w:r>
        <w:rPr>
          <w:rFonts w:hint="eastAsia"/>
        </w:rPr>
        <w:t>号”予以批复。报告对已建水电站进行了资料汇总整理，同时对未开发水电站进行了规划。规划中的门坎石水库，即为本次设计的两河口水库。</w:t>
      </w:r>
      <w:r>
        <w:rPr>
          <w:rFonts w:hint="eastAsia"/>
        </w:rPr>
        <w:t>2013</w:t>
      </w:r>
      <w:r>
        <w:rPr>
          <w:rFonts w:hint="eastAsia"/>
        </w:rPr>
        <w:t>年，国家发改委和水利部以“发改农经</w:t>
      </w:r>
      <w:r>
        <w:rPr>
          <w:rFonts w:hint="eastAsia"/>
        </w:rPr>
        <w:t>[2013]2411</w:t>
      </w:r>
      <w:r>
        <w:rPr>
          <w:rFonts w:hint="eastAsia"/>
        </w:rPr>
        <w:t>号文”联合下发了《全国中型水库总体安排意见</w:t>
      </w:r>
      <w:r>
        <w:rPr>
          <w:rFonts w:hint="eastAsia"/>
        </w:rPr>
        <w:t>(2013~2017</w:t>
      </w:r>
      <w:r>
        <w:rPr>
          <w:rFonts w:hint="eastAsia"/>
        </w:rPr>
        <w:t>年的通知</w:t>
      </w:r>
      <w:r w:rsidR="00E97427">
        <w:rPr>
          <w:rFonts w:hint="eastAsia"/>
        </w:rPr>
        <w:t>）</w:t>
      </w:r>
      <w:r>
        <w:rPr>
          <w:rFonts w:hint="eastAsia"/>
        </w:rPr>
        <w:t>》，通知要求：“对两河口水库等进行深入论证，进一步完善项目前期工作”。基于此，</w:t>
      </w:r>
      <w:r>
        <w:rPr>
          <w:rFonts w:hint="eastAsia"/>
        </w:rPr>
        <w:t>2015</w:t>
      </w:r>
      <w:r>
        <w:rPr>
          <w:rFonts w:hint="eastAsia"/>
        </w:rPr>
        <w:t>年</w:t>
      </w:r>
      <w:r>
        <w:rPr>
          <w:rFonts w:hint="eastAsia"/>
        </w:rPr>
        <w:t>7</w:t>
      </w:r>
      <w:r>
        <w:rPr>
          <w:rFonts w:hint="eastAsia"/>
        </w:rPr>
        <w:t>月兴山县水利局委托中环国评</w:t>
      </w:r>
      <w:r>
        <w:rPr>
          <w:rFonts w:hint="eastAsia"/>
        </w:rPr>
        <w:t>(</w:t>
      </w:r>
      <w:r>
        <w:rPr>
          <w:rFonts w:hint="eastAsia"/>
        </w:rPr>
        <w:t>北京</w:t>
      </w:r>
      <w:r w:rsidR="00E97427">
        <w:rPr>
          <w:rFonts w:hint="eastAsia"/>
        </w:rPr>
        <w:t>）</w:t>
      </w:r>
      <w:r>
        <w:rPr>
          <w:rFonts w:hint="eastAsia"/>
        </w:rPr>
        <w:t>科技有限公司承担兴山县两河口水库工程的环境影响评价工作，湖北省环保厅于</w:t>
      </w:r>
      <w:r>
        <w:rPr>
          <w:rFonts w:hint="eastAsia"/>
        </w:rPr>
        <w:t>2015</w:t>
      </w:r>
      <w:r>
        <w:rPr>
          <w:rFonts w:hint="eastAsia"/>
        </w:rPr>
        <w:t>年</w:t>
      </w:r>
      <w:r>
        <w:rPr>
          <w:rFonts w:hint="eastAsia"/>
        </w:rPr>
        <w:t>8</w:t>
      </w:r>
      <w:r>
        <w:rPr>
          <w:rFonts w:hint="eastAsia"/>
        </w:rPr>
        <w:t>月</w:t>
      </w:r>
      <w:r>
        <w:rPr>
          <w:rFonts w:hint="eastAsia"/>
        </w:rPr>
        <w:t>26</w:t>
      </w:r>
      <w:r>
        <w:rPr>
          <w:rFonts w:hint="eastAsia"/>
        </w:rPr>
        <w:t>日在武汉市主持召开了《湖北兴山县两河口水库工程环境影响报告书》技术评估会，项目于</w:t>
      </w:r>
      <w:r>
        <w:rPr>
          <w:rFonts w:hint="eastAsia"/>
        </w:rPr>
        <w:t>2016</w:t>
      </w:r>
      <w:r>
        <w:rPr>
          <w:rFonts w:hint="eastAsia"/>
        </w:rPr>
        <w:t>年</w:t>
      </w:r>
      <w:r>
        <w:rPr>
          <w:rFonts w:hint="eastAsia"/>
        </w:rPr>
        <w:t>1</w:t>
      </w:r>
      <w:r>
        <w:rPr>
          <w:rFonts w:hint="eastAsia"/>
        </w:rPr>
        <w:t>月取得环评批复（鄂环审</w:t>
      </w:r>
      <w:r>
        <w:rPr>
          <w:rFonts w:hint="eastAsia"/>
        </w:rPr>
        <w:t>[2016]21</w:t>
      </w:r>
      <w:r>
        <w:rPr>
          <w:rFonts w:hint="eastAsia"/>
        </w:rPr>
        <w:t>号）。</w:t>
      </w:r>
    </w:p>
    <w:p w:rsidR="006175A6" w:rsidRDefault="009B4BA7">
      <w:pPr>
        <w:ind w:firstLine="480"/>
      </w:pPr>
      <w:r>
        <w:rPr>
          <w:rFonts w:hint="eastAsia"/>
        </w:rPr>
        <w:t>湖北兴山县两河口水库工程项目自</w:t>
      </w:r>
      <w:r>
        <w:rPr>
          <w:rFonts w:hint="eastAsia"/>
        </w:rPr>
        <w:t>2016</w:t>
      </w:r>
      <w:r>
        <w:rPr>
          <w:rFonts w:hint="eastAsia"/>
        </w:rPr>
        <w:t>年</w:t>
      </w:r>
      <w:r>
        <w:rPr>
          <w:rFonts w:hint="eastAsia"/>
        </w:rPr>
        <w:t>1</w:t>
      </w:r>
      <w:r>
        <w:rPr>
          <w:rFonts w:hint="eastAsia"/>
        </w:rPr>
        <w:t>月取得环评批复后，由于资金筹措等问题，一直未开工建设，根据《中华人民共和国环境影响评价法》，“建设项目的环境影响评价文件自批准之日起超过五年，方决定该项目开工建设的，其环境影响评价文件应当报原审批部门重新审核”，本项目从初次报批环评文件至今，已经超过</w:t>
      </w:r>
      <w:r>
        <w:rPr>
          <w:rFonts w:hint="eastAsia"/>
        </w:rPr>
        <w:t>5</w:t>
      </w:r>
      <w:r>
        <w:rPr>
          <w:rFonts w:hint="eastAsia"/>
        </w:rPr>
        <w:t>年期限，因此，兴山县水利局于</w:t>
      </w:r>
      <w:r>
        <w:rPr>
          <w:rFonts w:hint="eastAsia"/>
        </w:rPr>
        <w:t>2021</w:t>
      </w:r>
      <w:r>
        <w:rPr>
          <w:rFonts w:hint="eastAsia"/>
        </w:rPr>
        <w:t>年</w:t>
      </w:r>
      <w:r>
        <w:rPr>
          <w:rFonts w:hint="eastAsia"/>
        </w:rPr>
        <w:t>7</w:t>
      </w:r>
      <w:r>
        <w:rPr>
          <w:rFonts w:hint="eastAsia"/>
        </w:rPr>
        <w:t>月</w:t>
      </w:r>
      <w:r>
        <w:rPr>
          <w:rFonts w:hint="eastAsia"/>
        </w:rPr>
        <w:t>5</w:t>
      </w:r>
      <w:r>
        <w:rPr>
          <w:rFonts w:hint="eastAsia"/>
        </w:rPr>
        <w:t>日委托我公司（湖北汇森生态科技开发有限公司）对其进行环境影响评价文件编制工作。根据生态</w:t>
      </w:r>
      <w:r>
        <w:rPr>
          <w:rFonts w:hint="eastAsia"/>
        </w:rPr>
        <w:lastRenderedPageBreak/>
        <w:t>环境部部令第</w:t>
      </w:r>
      <w:r>
        <w:rPr>
          <w:rFonts w:hint="eastAsia"/>
        </w:rPr>
        <w:t>16</w:t>
      </w:r>
      <w:r>
        <w:rPr>
          <w:rFonts w:hint="eastAsia"/>
        </w:rPr>
        <w:t>号《建设项目环境影响评价分类管理名录》，本项目属于“五十一水利水库”中的“库容</w:t>
      </w:r>
      <w:r>
        <w:rPr>
          <w:rFonts w:hint="eastAsia"/>
        </w:rPr>
        <w:t>1000</w:t>
      </w:r>
      <w:r>
        <w:rPr>
          <w:rFonts w:hint="eastAsia"/>
        </w:rPr>
        <w:t>万立方米及以上”项目，应编制环境影响报告书。接受委托后，我公司立即成立了环评项目组，在现场踏勘和研读有关资料、文件的基础上，按照有关法律法规、标准、规范的要求，编制完成了《湖北兴山县两河口水库工程项目（重新审核）环境影响报告书》（送审稿）。</w:t>
      </w:r>
    </w:p>
    <w:p w:rsidR="006175A6" w:rsidRDefault="009B4BA7">
      <w:pPr>
        <w:pStyle w:val="2"/>
      </w:pPr>
      <w:bookmarkStart w:id="4" w:name="_Toc67902045"/>
      <w:bookmarkStart w:id="5" w:name="_Toc80170077"/>
      <w:r>
        <w:rPr>
          <w:rFonts w:hint="eastAsia"/>
        </w:rPr>
        <w:t>环境影响评价的工作过程</w:t>
      </w:r>
      <w:bookmarkEnd w:id="4"/>
      <w:bookmarkEnd w:id="5"/>
    </w:p>
    <w:p w:rsidR="006175A6" w:rsidRDefault="009B4BA7">
      <w:pPr>
        <w:ind w:firstLine="480"/>
      </w:pPr>
      <w:r>
        <w:rPr>
          <w:rFonts w:hint="eastAsia"/>
        </w:rPr>
        <w:t>根据《中华人民共和国环境影响评价法》、《建设项目环境保护管理条例》和《建设项目环境影响评价分类管理名录》，受兴山县水利局委托，我公司承担了该项目的环境影响评价工作。项目环境影响评价工作分三个阶段，即前期准备、调研和工作方案阶段，分析论证和预测评价阶段，环境影响评价文件编制阶段。</w:t>
      </w:r>
    </w:p>
    <w:p w:rsidR="006175A6" w:rsidRDefault="009B4BA7">
      <w:pPr>
        <w:ind w:firstLine="480"/>
      </w:pPr>
      <w:r>
        <w:t>根据《建设项目环境影响评价技术导则总纲》（</w:t>
      </w:r>
      <w:r>
        <w:t>HJ2.1-2016</w:t>
      </w:r>
      <w:r>
        <w:t>）等相关技术规范的要求，本项目环境影响评价的工作过程及程序见</w:t>
      </w:r>
      <w:r>
        <w:fldChar w:fldCharType="begin"/>
      </w:r>
      <w:r>
        <w:instrText xml:space="preserve"> REF _Ref59301372 \h  \* MERGEFORMAT </w:instrText>
      </w:r>
      <w:r>
        <w:fldChar w:fldCharType="separate"/>
      </w:r>
      <w:r w:rsidR="00E97427">
        <w:t>图</w:t>
      </w:r>
      <w:r w:rsidR="00E97427">
        <w:t>1.2</w:t>
      </w:r>
      <w:r w:rsidR="00E97427">
        <w:noBreakHyphen/>
        <w:t>1</w:t>
      </w:r>
      <w:r>
        <w:fldChar w:fldCharType="end"/>
      </w:r>
      <w:r>
        <w:t>。</w:t>
      </w:r>
    </w:p>
    <w:p w:rsidR="006175A6" w:rsidRDefault="006175A6">
      <w:pPr>
        <w:ind w:firstLine="480"/>
      </w:pPr>
    </w:p>
    <w:p w:rsidR="006175A6" w:rsidRDefault="009B4BA7">
      <w:pPr>
        <w:ind w:firstLineChars="0" w:firstLine="0"/>
        <w:jc w:val="center"/>
      </w:pPr>
      <w:r>
        <w:rPr>
          <w:noProof/>
        </w:rPr>
        <w:lastRenderedPageBreak/>
        <w:drawing>
          <wp:inline distT="0" distB="0" distL="0" distR="0" wp14:anchorId="299A4A9B" wp14:editId="1F2CDA0D">
            <wp:extent cx="5048885" cy="4832985"/>
            <wp:effectExtent l="0" t="0" r="0" b="5715"/>
            <wp:docPr id="2" name="图片 2" descr="C:\Users\zz\AppData\Local\Temp\ksohtml187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z\AppData\Local\Temp\ksohtml18796\wps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8908" cy="4833153"/>
                    </a:xfrm>
                    <a:prstGeom prst="rect">
                      <a:avLst/>
                    </a:prstGeom>
                    <a:noFill/>
                    <a:ln>
                      <a:noFill/>
                    </a:ln>
                  </pic:spPr>
                </pic:pic>
              </a:graphicData>
            </a:graphic>
          </wp:inline>
        </w:drawing>
      </w:r>
    </w:p>
    <w:p w:rsidR="006175A6" w:rsidRDefault="009B4BA7">
      <w:pPr>
        <w:pStyle w:val="a3"/>
      </w:pPr>
      <w:bookmarkStart w:id="6" w:name="_Ref59301372"/>
      <w:r>
        <w:t>图</w:t>
      </w:r>
      <w:r w:rsidR="009D20DC">
        <w:fldChar w:fldCharType="begin"/>
      </w:r>
      <w:r w:rsidR="009D20DC">
        <w:instrText xml:space="preserve"> STYLEREF 2 \s </w:instrText>
      </w:r>
      <w:r w:rsidR="009D20DC">
        <w:fldChar w:fldCharType="separate"/>
      </w:r>
      <w:r w:rsidR="00E97427">
        <w:rPr>
          <w:noProof/>
        </w:rPr>
        <w:t>1.2</w:t>
      </w:r>
      <w:r w:rsidR="009D20DC">
        <w:rPr>
          <w:noProof/>
        </w:rPr>
        <w:fldChar w:fldCharType="end"/>
      </w:r>
      <w:r w:rsidR="00AC2588">
        <w:noBreakHyphen/>
      </w:r>
      <w:r w:rsidR="00AC2588">
        <w:fldChar w:fldCharType="begin"/>
      </w:r>
      <w:r w:rsidR="00AC2588">
        <w:instrText xml:space="preserve"> SEQ </w:instrText>
      </w:r>
      <w:r w:rsidR="00AC2588">
        <w:instrText>图</w:instrText>
      </w:r>
      <w:r w:rsidR="00AC2588">
        <w:instrText xml:space="preserve"> \* ARABIC \s 2 </w:instrText>
      </w:r>
      <w:r w:rsidR="00AC2588">
        <w:fldChar w:fldCharType="separate"/>
      </w:r>
      <w:r w:rsidR="00E97427">
        <w:rPr>
          <w:noProof/>
        </w:rPr>
        <w:t>1</w:t>
      </w:r>
      <w:r w:rsidR="00AC2588">
        <w:fldChar w:fldCharType="end"/>
      </w:r>
      <w:bookmarkEnd w:id="6"/>
      <w:r>
        <w:t>本项目环境影响评价的工作过程及程序</w:t>
      </w:r>
    </w:p>
    <w:p w:rsidR="006175A6" w:rsidRDefault="009B4BA7">
      <w:pPr>
        <w:pStyle w:val="2"/>
      </w:pPr>
      <w:bookmarkStart w:id="7" w:name="_Toc67902046"/>
      <w:bookmarkStart w:id="8" w:name="_Toc80170078"/>
      <w:r>
        <w:rPr>
          <w:rFonts w:hint="eastAsia"/>
        </w:rPr>
        <w:t>建设项目特点</w:t>
      </w:r>
      <w:bookmarkEnd w:id="7"/>
      <w:bookmarkEnd w:id="8"/>
    </w:p>
    <w:p w:rsidR="006175A6" w:rsidRDefault="009B4BA7">
      <w:pPr>
        <w:ind w:firstLine="480"/>
      </w:pPr>
      <w:r>
        <w:rPr>
          <w:rFonts w:hint="eastAsia"/>
        </w:rPr>
        <w:t>兴山县两河口水库工程坝址位于榛子乡石柱村境内，坝址位于榛子乡石柱村高岚河上游的门家河流域上游，地理位置：北纬</w:t>
      </w:r>
      <w:r>
        <w:rPr>
          <w:rFonts w:hint="eastAsia"/>
        </w:rPr>
        <w:t>31</w:t>
      </w:r>
      <w:r>
        <w:rPr>
          <w:rFonts w:hint="eastAsia"/>
        </w:rPr>
        <w:t>°</w:t>
      </w:r>
      <w:r>
        <w:rPr>
          <w:rFonts w:hint="eastAsia"/>
        </w:rPr>
        <w:t>24</w:t>
      </w:r>
      <w:r>
        <w:rPr>
          <w:rFonts w:hint="eastAsia"/>
        </w:rPr>
        <w:t>´，东径</w:t>
      </w:r>
      <w:r>
        <w:rPr>
          <w:rFonts w:hint="eastAsia"/>
        </w:rPr>
        <w:t>111</w:t>
      </w:r>
      <w:r>
        <w:rPr>
          <w:rFonts w:hint="eastAsia"/>
        </w:rPr>
        <w:t>°</w:t>
      </w:r>
      <w:r>
        <w:rPr>
          <w:rFonts w:hint="eastAsia"/>
        </w:rPr>
        <w:t>01</w:t>
      </w:r>
      <w:r>
        <w:rPr>
          <w:rFonts w:hint="eastAsia"/>
        </w:rPr>
        <w:t>´。两河口水库的输水工程，跨榛子乡和黄粮镇，终点位于黄粮镇金家坝村龙洞湾</w:t>
      </w:r>
      <w:r w:rsidRPr="00FA1F46">
        <w:rPr>
          <w:rFonts w:hint="eastAsia"/>
        </w:rPr>
        <w:t>。工程由混凝土拱坝、导流隧洞、输水隧洞、过沟建筑物及其相关附属设施等组成。</w:t>
      </w:r>
      <w:r>
        <w:rPr>
          <w:rFonts w:hint="eastAsia"/>
        </w:rPr>
        <w:t>两河口水库坝址选在河道高程</w:t>
      </w:r>
      <w:r>
        <w:rPr>
          <w:rFonts w:hint="eastAsia"/>
        </w:rPr>
        <w:t>985.0m</w:t>
      </w:r>
      <w:r>
        <w:rPr>
          <w:rFonts w:hint="eastAsia"/>
        </w:rPr>
        <w:t>处，坝型为碾压混凝土拱坝，最大坝高</w:t>
      </w:r>
      <w:r>
        <w:rPr>
          <w:rFonts w:hint="eastAsia"/>
        </w:rPr>
        <w:t>86m</w:t>
      </w:r>
      <w:r>
        <w:rPr>
          <w:rFonts w:hint="eastAsia"/>
        </w:rPr>
        <w:t>，水库设计死水位</w:t>
      </w:r>
      <w:r>
        <w:rPr>
          <w:rFonts w:hint="eastAsia"/>
        </w:rPr>
        <w:t>1013.0m</w:t>
      </w:r>
      <w:r>
        <w:rPr>
          <w:rFonts w:hint="eastAsia"/>
        </w:rPr>
        <w:t>，对应库容</w:t>
      </w:r>
      <w:r>
        <w:rPr>
          <w:rFonts w:hint="eastAsia"/>
        </w:rPr>
        <w:t>91</w:t>
      </w:r>
      <w:r>
        <w:rPr>
          <w:rFonts w:hint="eastAsia"/>
        </w:rPr>
        <w:t>万</w:t>
      </w:r>
      <w:r>
        <w:rPr>
          <w:rFonts w:hint="eastAsia"/>
        </w:rPr>
        <w:t>m</w:t>
      </w:r>
      <w:r>
        <w:rPr>
          <w:rFonts w:hint="eastAsia"/>
        </w:rPr>
        <w:t>³；正常蓄水位</w:t>
      </w:r>
      <w:r>
        <w:rPr>
          <w:rFonts w:hint="eastAsia"/>
        </w:rPr>
        <w:t>1058.00m</w:t>
      </w:r>
      <w:r>
        <w:rPr>
          <w:rFonts w:hint="eastAsia"/>
        </w:rPr>
        <w:t>，对应库容</w:t>
      </w:r>
      <w:r>
        <w:rPr>
          <w:rFonts w:hint="eastAsia"/>
        </w:rPr>
        <w:t>1001</w:t>
      </w:r>
      <w:r>
        <w:rPr>
          <w:rFonts w:hint="eastAsia"/>
        </w:rPr>
        <w:t>万</w:t>
      </w:r>
      <w:r>
        <w:rPr>
          <w:rFonts w:hint="eastAsia"/>
        </w:rPr>
        <w:t>m</w:t>
      </w:r>
      <w:r>
        <w:rPr>
          <w:rFonts w:hint="eastAsia"/>
        </w:rPr>
        <w:t>³，则兴利库容为</w:t>
      </w:r>
      <w:r>
        <w:rPr>
          <w:rFonts w:hint="eastAsia"/>
        </w:rPr>
        <w:t>910</w:t>
      </w:r>
      <w:r>
        <w:rPr>
          <w:rFonts w:hint="eastAsia"/>
        </w:rPr>
        <w:t>万</w:t>
      </w:r>
      <w:r>
        <w:rPr>
          <w:rFonts w:hint="eastAsia"/>
        </w:rPr>
        <w:t>m</w:t>
      </w:r>
      <w:r>
        <w:rPr>
          <w:rFonts w:hint="eastAsia"/>
        </w:rPr>
        <w:t>³，</w:t>
      </w:r>
      <w:r>
        <w:rPr>
          <w:rFonts w:hint="eastAsia"/>
        </w:rPr>
        <w:t>50</w:t>
      </w:r>
      <w:r>
        <w:rPr>
          <w:rFonts w:hint="eastAsia"/>
        </w:rPr>
        <w:t>年一遇设计洪水</w:t>
      </w:r>
      <w:r>
        <w:rPr>
          <w:rFonts w:hint="eastAsia"/>
        </w:rPr>
        <w:t>816m</w:t>
      </w:r>
      <w:r>
        <w:rPr>
          <w:rFonts w:hint="eastAsia"/>
        </w:rPr>
        <w:t>³</w:t>
      </w:r>
      <w:r>
        <w:rPr>
          <w:rFonts w:hint="eastAsia"/>
        </w:rPr>
        <w:t>/s</w:t>
      </w:r>
      <w:r>
        <w:rPr>
          <w:rFonts w:hint="eastAsia"/>
        </w:rPr>
        <w:t>，设计洪水位</w:t>
      </w:r>
      <w:r>
        <w:rPr>
          <w:rFonts w:hint="eastAsia"/>
        </w:rPr>
        <w:t>1058.0m</w:t>
      </w:r>
      <w:r>
        <w:rPr>
          <w:rFonts w:hint="eastAsia"/>
        </w:rPr>
        <w:t>，下泄流量</w:t>
      </w:r>
      <w:r>
        <w:rPr>
          <w:rFonts w:hint="eastAsia"/>
        </w:rPr>
        <w:t>816m</w:t>
      </w:r>
      <w:r>
        <w:rPr>
          <w:rFonts w:hint="eastAsia"/>
        </w:rPr>
        <w:t>³</w:t>
      </w:r>
      <w:r>
        <w:rPr>
          <w:rFonts w:hint="eastAsia"/>
        </w:rPr>
        <w:t>/s</w:t>
      </w:r>
      <w:r>
        <w:rPr>
          <w:rFonts w:hint="eastAsia"/>
        </w:rPr>
        <w:t>；</w:t>
      </w:r>
      <w:r>
        <w:rPr>
          <w:rFonts w:hint="eastAsia"/>
        </w:rPr>
        <w:t>500</w:t>
      </w:r>
      <w:r>
        <w:rPr>
          <w:rFonts w:hint="eastAsia"/>
        </w:rPr>
        <w:t>年一遇校核洪水</w:t>
      </w:r>
      <w:r>
        <w:rPr>
          <w:rFonts w:hint="eastAsia"/>
        </w:rPr>
        <w:t>1386m</w:t>
      </w:r>
      <w:r>
        <w:rPr>
          <w:rFonts w:hint="eastAsia"/>
        </w:rPr>
        <w:t>³</w:t>
      </w:r>
      <w:r>
        <w:rPr>
          <w:rFonts w:hint="eastAsia"/>
        </w:rPr>
        <w:t>/s</w:t>
      </w:r>
      <w:r>
        <w:rPr>
          <w:rFonts w:hint="eastAsia"/>
        </w:rPr>
        <w:t>，校核洪水位</w:t>
      </w:r>
      <w:r>
        <w:rPr>
          <w:rFonts w:hint="eastAsia"/>
        </w:rPr>
        <w:t>1060.00m</w:t>
      </w:r>
      <w:r>
        <w:rPr>
          <w:rFonts w:hint="eastAsia"/>
        </w:rPr>
        <w:t>，下泄流量</w:t>
      </w:r>
      <w:r>
        <w:rPr>
          <w:rFonts w:hint="eastAsia"/>
        </w:rPr>
        <w:t>1177m</w:t>
      </w:r>
      <w:r>
        <w:rPr>
          <w:rFonts w:hint="eastAsia"/>
        </w:rPr>
        <w:t>³</w:t>
      </w:r>
      <w:r>
        <w:rPr>
          <w:rFonts w:hint="eastAsia"/>
        </w:rPr>
        <w:t>/s</w:t>
      </w:r>
      <w:r>
        <w:rPr>
          <w:rFonts w:hint="eastAsia"/>
        </w:rPr>
        <w:t>，对应库容</w:t>
      </w:r>
      <w:r>
        <w:rPr>
          <w:rFonts w:hint="eastAsia"/>
        </w:rPr>
        <w:t>1075</w:t>
      </w:r>
      <w:r>
        <w:rPr>
          <w:rFonts w:hint="eastAsia"/>
        </w:rPr>
        <w:t>万</w:t>
      </w:r>
      <w:r>
        <w:rPr>
          <w:rFonts w:hint="eastAsia"/>
        </w:rPr>
        <w:t>m</w:t>
      </w:r>
      <w:r>
        <w:rPr>
          <w:rFonts w:hint="eastAsia"/>
        </w:rPr>
        <w:t>³。由于坝址控制承雨面积多年平均径流量为</w:t>
      </w:r>
      <w:r>
        <w:rPr>
          <w:rFonts w:hint="eastAsia"/>
        </w:rPr>
        <w:t>4950</w:t>
      </w:r>
      <w:r>
        <w:rPr>
          <w:rFonts w:hint="eastAsia"/>
        </w:rPr>
        <w:t>万</w:t>
      </w:r>
      <w:r>
        <w:rPr>
          <w:rFonts w:hint="eastAsia"/>
        </w:rPr>
        <w:t>m</w:t>
      </w:r>
      <w:r>
        <w:rPr>
          <w:rFonts w:hint="eastAsia"/>
        </w:rPr>
        <w:t>³，则调节系数为β</w:t>
      </w:r>
      <w:r>
        <w:rPr>
          <w:rFonts w:hint="eastAsia"/>
        </w:rPr>
        <w:t>=18.4%</w:t>
      </w:r>
      <w:r>
        <w:rPr>
          <w:rFonts w:hint="eastAsia"/>
        </w:rPr>
        <w:t>，为不完全年调节水库。</w:t>
      </w:r>
      <w:r>
        <w:rPr>
          <w:rFonts w:hint="eastAsia"/>
        </w:rPr>
        <w:lastRenderedPageBreak/>
        <w:t>多年平均供水总量为</w:t>
      </w:r>
      <w:r>
        <w:rPr>
          <w:rFonts w:hint="eastAsia"/>
        </w:rPr>
        <w:t>3310</w:t>
      </w:r>
      <w:r>
        <w:rPr>
          <w:rFonts w:hint="eastAsia"/>
        </w:rPr>
        <w:t>万</w:t>
      </w:r>
      <w:r>
        <w:rPr>
          <w:rFonts w:hint="eastAsia"/>
        </w:rPr>
        <w:t>m</w:t>
      </w:r>
      <w:r>
        <w:rPr>
          <w:rFonts w:hint="eastAsia"/>
        </w:rPr>
        <w:t>³，坝址年径流总量为</w:t>
      </w:r>
      <w:r>
        <w:rPr>
          <w:rFonts w:hint="eastAsia"/>
        </w:rPr>
        <w:t>4950</w:t>
      </w:r>
      <w:r>
        <w:rPr>
          <w:rFonts w:hint="eastAsia"/>
        </w:rPr>
        <w:t>万</w:t>
      </w:r>
      <w:r>
        <w:rPr>
          <w:rFonts w:hint="eastAsia"/>
        </w:rPr>
        <w:t>m</w:t>
      </w:r>
      <w:r>
        <w:rPr>
          <w:rFonts w:hint="eastAsia"/>
        </w:rPr>
        <w:t>³，水量利用系数为</w:t>
      </w:r>
      <w:r>
        <w:rPr>
          <w:rFonts w:hint="eastAsia"/>
        </w:rPr>
        <w:t>67.0%</w:t>
      </w:r>
      <w:r>
        <w:rPr>
          <w:rFonts w:hint="eastAsia"/>
        </w:rPr>
        <w:t>。</w:t>
      </w:r>
    </w:p>
    <w:p w:rsidR="006175A6" w:rsidRDefault="009B4BA7">
      <w:pPr>
        <w:ind w:firstLine="440"/>
      </w:pPr>
      <w:r>
        <w:rPr>
          <w:spacing w:val="-10"/>
        </w:rPr>
        <w:t>两河口水库工程为水源工程，包括水库工程和配套输水工程；工程的主要任务，</w:t>
      </w:r>
      <w:r>
        <w:rPr>
          <w:spacing w:val="-4"/>
        </w:rPr>
        <w:t>是将两河口水库的原水，引至黄粮等乡镇受水区，以满足黄粮、峡口、昭君及古夫</w:t>
      </w:r>
      <w:r>
        <w:rPr>
          <w:spacing w:val="-25"/>
        </w:rPr>
        <w:t>共</w:t>
      </w:r>
      <w:r>
        <w:rPr>
          <w:rFonts w:eastAsia="Times New Roman"/>
        </w:rPr>
        <w:t>4</w:t>
      </w:r>
      <w:r>
        <w:rPr>
          <w:spacing w:val="-15"/>
        </w:rPr>
        <w:t>个镇</w:t>
      </w:r>
      <w:r>
        <w:rPr>
          <w:rFonts w:eastAsia="Times New Roman"/>
        </w:rPr>
        <w:t>13</w:t>
      </w:r>
      <w:r>
        <w:rPr>
          <w:spacing w:val="-7"/>
        </w:rPr>
        <w:t>个村，高程在</w:t>
      </w:r>
      <w:r>
        <w:rPr>
          <w:rFonts w:eastAsia="Times New Roman"/>
        </w:rPr>
        <w:t>1000.0m</w:t>
      </w:r>
      <w:r>
        <w:t>以下范围的农田灌溉及综合用水需求。设计灌</w:t>
      </w:r>
      <w:r>
        <w:rPr>
          <w:spacing w:val="-15"/>
        </w:rPr>
        <w:t>溉面积</w:t>
      </w:r>
      <w:r>
        <w:rPr>
          <w:rFonts w:eastAsia="Times New Roman"/>
        </w:rPr>
        <w:t>2.8</w:t>
      </w:r>
      <w:r>
        <w:rPr>
          <w:spacing w:val="-11"/>
        </w:rPr>
        <w:t>万亩，年均灌溉用水总量</w:t>
      </w:r>
      <w:r>
        <w:rPr>
          <w:rFonts w:eastAsia="Times New Roman"/>
        </w:rPr>
        <w:t>1346</w:t>
      </w:r>
      <w:r>
        <w:rPr>
          <w:spacing w:val="-30"/>
        </w:rPr>
        <w:t>万</w:t>
      </w:r>
      <w:r>
        <w:rPr>
          <w:rFonts w:eastAsia="Times New Roman"/>
          <w:spacing w:val="-12"/>
        </w:rPr>
        <w:t>m³</w:t>
      </w:r>
      <w:r>
        <w:rPr>
          <w:spacing w:val="-12"/>
        </w:rPr>
        <w:t>；供水总人口</w:t>
      </w:r>
      <w:r>
        <w:rPr>
          <w:rFonts w:eastAsia="Times New Roman"/>
        </w:rPr>
        <w:t>3.1</w:t>
      </w:r>
      <w:r>
        <w:rPr>
          <w:spacing w:val="-6"/>
        </w:rPr>
        <w:t>万人，年平均供水</w:t>
      </w:r>
      <w:r>
        <w:rPr>
          <w:spacing w:val="-25"/>
        </w:rPr>
        <w:t>总量</w:t>
      </w:r>
      <w:r>
        <w:rPr>
          <w:rFonts w:eastAsia="Times New Roman"/>
        </w:rPr>
        <w:t>821</w:t>
      </w:r>
      <w:r>
        <w:rPr>
          <w:spacing w:val="-30"/>
        </w:rPr>
        <w:t>万</w:t>
      </w:r>
      <w:r>
        <w:rPr>
          <w:rFonts w:eastAsia="Times New Roman"/>
        </w:rPr>
        <w:t>m³</w:t>
      </w:r>
      <w:r>
        <w:rPr>
          <w:spacing w:val="-7"/>
        </w:rPr>
        <w:t>；涉及国土总面积</w:t>
      </w:r>
      <w:r>
        <w:rPr>
          <w:rFonts w:eastAsia="Times New Roman"/>
        </w:rPr>
        <w:t>55.8km²</w:t>
      </w:r>
      <w:r>
        <w:t>。</w:t>
      </w:r>
    </w:p>
    <w:p w:rsidR="006175A6" w:rsidRDefault="009B4BA7">
      <w:pPr>
        <w:pStyle w:val="2"/>
      </w:pPr>
      <w:bookmarkStart w:id="9" w:name="_Toc67902047"/>
      <w:bookmarkStart w:id="10" w:name="_Toc80170079"/>
      <w:r>
        <w:rPr>
          <w:rFonts w:hint="eastAsia"/>
        </w:rPr>
        <w:t>相关情况分析判定</w:t>
      </w:r>
      <w:bookmarkEnd w:id="9"/>
      <w:bookmarkEnd w:id="10"/>
    </w:p>
    <w:p w:rsidR="006175A6" w:rsidRDefault="009B4BA7">
      <w:pPr>
        <w:ind w:firstLine="480"/>
      </w:pPr>
      <w:r>
        <w:rPr>
          <w:rFonts w:hint="eastAsia"/>
        </w:rPr>
        <w:t>本项目属于《国民经济行业分类》（</w:t>
      </w:r>
      <w:r>
        <w:rPr>
          <w:rFonts w:hint="eastAsia"/>
        </w:rPr>
        <w:t>GB/T4754-2017</w:t>
      </w:r>
      <w:r>
        <w:rPr>
          <w:rFonts w:hint="eastAsia"/>
        </w:rPr>
        <w:t>）中的“</w:t>
      </w:r>
      <w:r>
        <w:rPr>
          <w:rFonts w:hint="eastAsia"/>
        </w:rPr>
        <w:t>N7630</w:t>
      </w:r>
      <w:r>
        <w:rPr>
          <w:rFonts w:hint="eastAsia"/>
        </w:rPr>
        <w:t>危天然水收集与分配”行业；</w:t>
      </w:r>
      <w:r>
        <w:t>根据《产业结构调整指导目录》（</w:t>
      </w:r>
      <w:r>
        <w:t>2019</w:t>
      </w:r>
      <w:r>
        <w:t>年本），本项目属于</w:t>
      </w:r>
      <w:r>
        <w:t>“</w:t>
      </w:r>
      <w:r>
        <w:rPr>
          <w:rFonts w:hint="eastAsia"/>
        </w:rPr>
        <w:t>二</w:t>
      </w:r>
      <w:r>
        <w:t>、</w:t>
      </w:r>
      <w:r>
        <w:rPr>
          <w:rFonts w:hint="eastAsia"/>
        </w:rPr>
        <w:t>水利</w:t>
      </w:r>
      <w:r>
        <w:t>”</w:t>
      </w:r>
      <w:r>
        <w:t>类别中</w:t>
      </w:r>
      <w:r>
        <w:t>“</w:t>
      </w:r>
      <w:r>
        <w:rPr>
          <w:rFonts w:hint="eastAsia"/>
        </w:rPr>
        <w:t>、城乡供水水源工程</w:t>
      </w:r>
      <w:r>
        <w:t>”</w:t>
      </w:r>
      <w:r>
        <w:t>类别，属于鼓励类建设项目，项目建设符合国家产业政策。</w:t>
      </w:r>
      <w:bookmarkStart w:id="11" w:name="_GoBack"/>
      <w:bookmarkEnd w:id="11"/>
    </w:p>
    <w:p w:rsidR="006175A6" w:rsidRDefault="009B4BA7">
      <w:pPr>
        <w:ind w:firstLine="480"/>
      </w:pPr>
      <w:r>
        <w:rPr>
          <w:rFonts w:hint="eastAsia"/>
        </w:rPr>
        <w:t>本项目设计总库容为</w:t>
      </w:r>
      <w:r>
        <w:rPr>
          <w:rFonts w:hint="eastAsia"/>
        </w:rPr>
        <w:t>1075</w:t>
      </w:r>
      <w:r>
        <w:rPr>
          <w:rFonts w:hint="eastAsia"/>
        </w:rPr>
        <w:t>万</w:t>
      </w:r>
      <w:r>
        <w:rPr>
          <w:rFonts w:hint="eastAsia"/>
        </w:rPr>
        <w:t>m</w:t>
      </w:r>
      <w:r>
        <w:rPr>
          <w:rFonts w:hint="eastAsia"/>
        </w:rPr>
        <w:t>³，根据《中华人民共和国环境影响评价法》、《建设项目环境保护管理条例》、《建设项目环境影响评价分类管理名录（</w:t>
      </w:r>
      <w:r>
        <w:rPr>
          <w:rFonts w:hint="eastAsia"/>
        </w:rPr>
        <w:t>2021</w:t>
      </w:r>
      <w:r>
        <w:rPr>
          <w:rFonts w:hint="eastAsia"/>
        </w:rPr>
        <w:t>年版）》（部令第</w:t>
      </w:r>
      <w:r>
        <w:rPr>
          <w:rFonts w:hint="eastAsia"/>
        </w:rPr>
        <w:t>16</w:t>
      </w:r>
      <w:r>
        <w:rPr>
          <w:rFonts w:hint="eastAsia"/>
        </w:rPr>
        <w:t>号），本项目属于“五十一、水利水库：库容</w:t>
      </w:r>
      <w:r>
        <w:rPr>
          <w:rFonts w:hint="eastAsia"/>
        </w:rPr>
        <w:t>1000</w:t>
      </w:r>
      <w:r>
        <w:rPr>
          <w:rFonts w:hint="eastAsia"/>
        </w:rPr>
        <w:t>万立方米及以上”项目类别，应编制环境影响报告书。</w:t>
      </w:r>
    </w:p>
    <w:p w:rsidR="00D77EA2" w:rsidRDefault="00D77EA2" w:rsidP="00D77EA2">
      <w:pPr>
        <w:pStyle w:val="3"/>
      </w:pPr>
      <w:r>
        <w:rPr>
          <w:rFonts w:hint="eastAsia"/>
        </w:rPr>
        <w:t>与相关规划符合性分析</w:t>
      </w:r>
    </w:p>
    <w:p w:rsidR="00D77EA2" w:rsidRDefault="00D77EA2" w:rsidP="00D77EA2">
      <w:pPr>
        <w:pStyle w:val="4"/>
      </w:pPr>
      <w:r>
        <w:rPr>
          <w:rFonts w:hint="eastAsia"/>
        </w:rPr>
        <w:t>与《水利改革发展“十三五”规划》符合性分析</w:t>
      </w:r>
    </w:p>
    <w:p w:rsidR="00D77EA2" w:rsidRDefault="00D77EA2" w:rsidP="00D77EA2">
      <w:pPr>
        <w:ind w:firstLine="480"/>
      </w:pPr>
      <w:r>
        <w:rPr>
          <w:rFonts w:hint="eastAsia"/>
        </w:rPr>
        <w:t>根据国家发展改革委、水利部、住房城乡建设部联合印发的《水利改革发展“十三五”规划》，以三峡建成后长江中下游河势控制、洞庭湖鄱阳湖综合整治、蓄滞洪区建设为重点，加强防洪薄弱环节建设，优化调整长江中下游分蓄洪区；以滇中引水、鄂北水资源配置等工程为重点，完善流域水资源调配格局；把保护水生态环境放在更加突出的位置，加强流域生态系统修复和综合治理，强化长江水生生物多样性保护，构建绿色生态廊道；统筹防洪、供水、灌溉、生态、航运、发电等调度需求，协调水库群蓄泄时机与方式，实施长江三峡及上中游干支流控制性水库群联合调度；强化南水北调等重点水源地保护，确保水源地水质安全。</w:t>
      </w:r>
    </w:p>
    <w:p w:rsidR="00D77EA2" w:rsidRDefault="00D77EA2" w:rsidP="00D77EA2">
      <w:pPr>
        <w:ind w:firstLine="480"/>
      </w:pPr>
      <w:r>
        <w:rPr>
          <w:rFonts w:hint="eastAsia"/>
        </w:rPr>
        <w:t>本工程位于长江流域，工程以解决农业灌溉用水为主，并兼顾黄粮镇及周边乡镇村镇居民供水需求，符合《水利改革发展“十三五”规划》。</w:t>
      </w:r>
    </w:p>
    <w:p w:rsidR="00D77EA2" w:rsidRDefault="00D77EA2" w:rsidP="00D77EA2">
      <w:pPr>
        <w:pStyle w:val="4"/>
      </w:pPr>
      <w:r>
        <w:rPr>
          <w:rFonts w:hint="eastAsia"/>
        </w:rPr>
        <w:lastRenderedPageBreak/>
        <w:t>与《全国中型水库建设总体安排意见</w:t>
      </w:r>
      <w:r>
        <w:rPr>
          <w:rFonts w:hint="eastAsia"/>
        </w:rPr>
        <w:t>(2013~2017</w:t>
      </w:r>
      <w:r>
        <w:rPr>
          <w:rFonts w:hint="eastAsia"/>
        </w:rPr>
        <w:t>年</w:t>
      </w:r>
      <w:r w:rsidR="00E97427">
        <w:rPr>
          <w:rFonts w:hint="eastAsia"/>
        </w:rPr>
        <w:t>）</w:t>
      </w:r>
      <w:r>
        <w:rPr>
          <w:rFonts w:hint="eastAsia"/>
        </w:rPr>
        <w:t>》协调性分析</w:t>
      </w:r>
    </w:p>
    <w:p w:rsidR="00D77EA2" w:rsidRDefault="00D77EA2" w:rsidP="00D77EA2">
      <w:pPr>
        <w:ind w:firstLine="480"/>
      </w:pPr>
      <w:r>
        <w:rPr>
          <w:rFonts w:hint="eastAsia"/>
        </w:rPr>
        <w:t>国家发展改革委水利部印发的《全国中型水库建设总体安排意见</w:t>
      </w:r>
      <w:r>
        <w:rPr>
          <w:rFonts w:hint="eastAsia"/>
        </w:rPr>
        <w:t>(2013~2017</w:t>
      </w:r>
      <w:r>
        <w:rPr>
          <w:rFonts w:hint="eastAsia"/>
        </w:rPr>
        <w:t>年</w:t>
      </w:r>
      <w:r w:rsidR="00E97427">
        <w:rPr>
          <w:rFonts w:hint="eastAsia"/>
        </w:rPr>
        <w:t>）</w:t>
      </w:r>
      <w:r>
        <w:rPr>
          <w:rFonts w:hint="eastAsia"/>
        </w:rPr>
        <w:t>》发改农经</w:t>
      </w:r>
      <w:r>
        <w:rPr>
          <w:rFonts w:hint="eastAsia"/>
        </w:rPr>
        <w:t>[2013]2411</w:t>
      </w:r>
      <w:r>
        <w:rPr>
          <w:rFonts w:hint="eastAsia"/>
        </w:rPr>
        <w:t>号文中明确指出“《意见》是全国中型水库投资决策的重要依据，对《意见》内实行核准制的中型水库项目，除国际河流和跨省</w:t>
      </w:r>
      <w:r>
        <w:rPr>
          <w:rFonts w:hint="eastAsia"/>
        </w:rPr>
        <w:t>(</w:t>
      </w:r>
      <w:r>
        <w:rPr>
          <w:rFonts w:hint="eastAsia"/>
        </w:rPr>
        <w:t>区、市</w:t>
      </w:r>
      <w:r w:rsidR="00E97427">
        <w:rPr>
          <w:rFonts w:hint="eastAsia"/>
        </w:rPr>
        <w:t>）</w:t>
      </w:r>
      <w:r>
        <w:rPr>
          <w:rFonts w:hint="eastAsia"/>
        </w:rPr>
        <w:t>河</w:t>
      </w:r>
      <w:r>
        <w:rPr>
          <w:rFonts w:hint="eastAsia"/>
        </w:rPr>
        <w:t xml:space="preserve"> </w:t>
      </w:r>
      <w:r>
        <w:rPr>
          <w:rFonts w:hint="eastAsia"/>
        </w:rPr>
        <w:t>流上的水库项目外，由地方发展改革部门按规定核准。要依法加强对工程建设是否</w:t>
      </w:r>
      <w:r>
        <w:rPr>
          <w:rFonts w:hint="eastAsia"/>
        </w:rPr>
        <w:t xml:space="preserve"> </w:t>
      </w:r>
      <w:r>
        <w:rPr>
          <w:rFonts w:hint="eastAsia"/>
        </w:rPr>
        <w:t>符合流域综合规划、防洪规划、满足水资源配置要求、保护和改善生态环境等重要</w:t>
      </w:r>
      <w:r>
        <w:rPr>
          <w:rFonts w:hint="eastAsia"/>
        </w:rPr>
        <w:t xml:space="preserve"> </w:t>
      </w:r>
      <w:r>
        <w:rPr>
          <w:rFonts w:hint="eastAsia"/>
        </w:rPr>
        <w:t>事项的审核和监督，确保工程建设布局合理、方案科学。”兴山县两河口水库的建设被列入《意见》中。</w:t>
      </w:r>
    </w:p>
    <w:p w:rsidR="00D77EA2" w:rsidRDefault="00D77EA2" w:rsidP="00D77EA2">
      <w:pPr>
        <w:pStyle w:val="4"/>
      </w:pPr>
      <w:r>
        <w:rPr>
          <w:rFonts w:hint="eastAsia"/>
        </w:rPr>
        <w:t>与湖北省兴山县水能开发规划修编报告相符性分析</w:t>
      </w:r>
    </w:p>
    <w:p w:rsidR="00D77EA2" w:rsidRDefault="00D77EA2" w:rsidP="00D77EA2">
      <w:pPr>
        <w:ind w:firstLine="480"/>
      </w:pPr>
      <w:r>
        <w:rPr>
          <w:rFonts w:hint="eastAsia"/>
        </w:rPr>
        <w:t>2008</w:t>
      </w:r>
      <w:r>
        <w:rPr>
          <w:rFonts w:hint="eastAsia"/>
        </w:rPr>
        <w:t>年编制完成的《湖北省兴山县水能开发规划修编报告》对该流域提出了水能开发的一个规划，</w:t>
      </w:r>
      <w:r>
        <w:rPr>
          <w:rFonts w:hint="eastAsia"/>
        </w:rPr>
        <w:t>2008</w:t>
      </w:r>
      <w:r>
        <w:rPr>
          <w:rFonts w:hint="eastAsia"/>
        </w:rPr>
        <w:t>年</w:t>
      </w:r>
      <w:r>
        <w:rPr>
          <w:rFonts w:hint="eastAsia"/>
        </w:rPr>
        <w:t>3</w:t>
      </w:r>
      <w:r>
        <w:rPr>
          <w:rFonts w:hint="eastAsia"/>
        </w:rPr>
        <w:t>月，兴山县人民政府以“兴政函</w:t>
      </w:r>
      <w:r>
        <w:rPr>
          <w:rFonts w:hint="eastAsia"/>
        </w:rPr>
        <w:t>[2008]11</w:t>
      </w:r>
      <w:r>
        <w:rPr>
          <w:rFonts w:hint="eastAsia"/>
        </w:rPr>
        <w:t>号”予以批复。该规划于门家河上游兴建门坎石电站，电站坝址位于流域上游，该规划电站坝址与本工程坝址地理位置几乎一样。</w:t>
      </w:r>
      <w:r>
        <w:rPr>
          <w:rFonts w:hint="eastAsia"/>
        </w:rPr>
        <w:t>2008</w:t>
      </w:r>
      <w:r>
        <w:rPr>
          <w:rFonts w:hint="eastAsia"/>
        </w:rPr>
        <w:t>年至今，兴山县黄粮镇的缺水情况日益突出，新建水库对黄粮集镇进行供水尤为必要。为此，兴山县水利局积极争取上级主管部门意见，本工程最终纳入了国家全国中型水库建设的总体安排。</w:t>
      </w:r>
    </w:p>
    <w:p w:rsidR="00D77EA2" w:rsidRDefault="00D77EA2" w:rsidP="00D77EA2">
      <w:pPr>
        <w:pStyle w:val="4"/>
      </w:pPr>
      <w:r>
        <w:rPr>
          <w:rFonts w:hint="eastAsia"/>
        </w:rPr>
        <w:t>与《长江经济带生态环境保护规划》符合性分析</w:t>
      </w:r>
    </w:p>
    <w:p w:rsidR="00D77EA2" w:rsidRDefault="00D77EA2" w:rsidP="00D77EA2">
      <w:pPr>
        <w:ind w:firstLine="480"/>
      </w:pPr>
      <w:r>
        <w:rPr>
          <w:rFonts w:hint="eastAsia"/>
        </w:rPr>
        <w:t>2017</w:t>
      </w:r>
      <w:r>
        <w:rPr>
          <w:rFonts w:hint="eastAsia"/>
        </w:rPr>
        <w:t>年</w:t>
      </w:r>
      <w:r>
        <w:rPr>
          <w:rFonts w:hint="eastAsia"/>
        </w:rPr>
        <w:t>7</w:t>
      </w:r>
      <w:r>
        <w:rPr>
          <w:rFonts w:hint="eastAsia"/>
        </w:rPr>
        <w:t>月，原环境保护部、国家发改委、水利部联合印发了《长江经济带生态环境保护规划》，规划中主要目标要求生态环境明显改善，生态系统稳定性全面提升，河湖、湿地生态系统功能基本恢复，生态环境保护体制机制进一步完善。</w:t>
      </w:r>
    </w:p>
    <w:p w:rsidR="00D77EA2" w:rsidRDefault="00D77EA2" w:rsidP="00D77EA2">
      <w:pPr>
        <w:ind w:firstLine="480"/>
      </w:pPr>
      <w:r>
        <w:rPr>
          <w:rFonts w:hint="eastAsia"/>
        </w:rPr>
        <w:t>中游区包括江西、湖北、湖南等省，区域湖泊、湿地生态功能退化，江湖关系复杂，</w:t>
      </w:r>
      <w:r>
        <w:rPr>
          <w:rFonts w:hint="eastAsia"/>
        </w:rPr>
        <w:t xml:space="preserve"> </w:t>
      </w:r>
      <w:r>
        <w:rPr>
          <w:rFonts w:hint="eastAsia"/>
        </w:rPr>
        <w:t>沿江重化工高密度布局，污染重、风险隐患大，部分地区总磷、重金属污染较重。要加强丹江口库区及上游地区、湘资沅中游、赣江中上游等区域的水土流失治理与生态修复，</w:t>
      </w:r>
      <w:r>
        <w:rPr>
          <w:rFonts w:hint="eastAsia"/>
        </w:rPr>
        <w:t xml:space="preserve"> </w:t>
      </w:r>
      <w:r>
        <w:rPr>
          <w:rFonts w:hint="eastAsia"/>
        </w:rPr>
        <w:t>重点协调江湖关系，保护水生生态系统，维护生物多样性，恢复沿江沿岸湿地，确保水质安全，优化和规范沿江产业发展，管控土壤环境风险，引导湖北磷矿、湖南有色金属、江西稀土等资源合理开发。</w:t>
      </w:r>
    </w:p>
    <w:p w:rsidR="00D77EA2" w:rsidRDefault="00D77EA2" w:rsidP="00D77EA2">
      <w:pPr>
        <w:ind w:firstLine="480"/>
      </w:pPr>
      <w:r>
        <w:rPr>
          <w:rFonts w:hint="eastAsia"/>
        </w:rPr>
        <w:t>此外对统筹流域水资源开发利用中水利基础设施建设要与生态环境保护相协调，落实生态环境保护措施，加快水资源配置工程建设，解决部分地区工程型</w:t>
      </w:r>
      <w:r>
        <w:rPr>
          <w:rFonts w:hint="eastAsia"/>
        </w:rPr>
        <w:lastRenderedPageBreak/>
        <w:t>缺水问题，提升城乡供水保障。优化水资源配置，优先保障生活用水，切实保障基本生态用水需求，合理配置生产用水。</w:t>
      </w:r>
    </w:p>
    <w:p w:rsidR="00D77EA2" w:rsidRDefault="00D77EA2" w:rsidP="00D77EA2">
      <w:pPr>
        <w:pStyle w:val="3"/>
      </w:pPr>
      <w:r>
        <w:rPr>
          <w:rFonts w:hint="eastAsia"/>
        </w:rPr>
        <w:t>与“三线一单”符合性分析</w:t>
      </w:r>
    </w:p>
    <w:p w:rsidR="00D77EA2" w:rsidRDefault="00D77EA2" w:rsidP="00D77EA2">
      <w:pPr>
        <w:ind w:firstLine="480"/>
      </w:pPr>
      <w:r>
        <w:rPr>
          <w:rFonts w:hint="eastAsia"/>
        </w:rPr>
        <w:t>根据宜昌市人民政府颁布的《市人民政府关于印发“三线一单”生态环境分区管控实施方案的通知》（宜府发【</w:t>
      </w:r>
      <w:r>
        <w:rPr>
          <w:rFonts w:hint="eastAsia"/>
        </w:rPr>
        <w:t>2021</w:t>
      </w:r>
      <w:r>
        <w:rPr>
          <w:rFonts w:hint="eastAsia"/>
        </w:rPr>
        <w:t>】</w:t>
      </w:r>
      <w:r>
        <w:rPr>
          <w:rFonts w:hint="eastAsia"/>
        </w:rPr>
        <w:t>5</w:t>
      </w:r>
      <w:r>
        <w:rPr>
          <w:rFonts w:hint="eastAsia"/>
        </w:rPr>
        <w:t>号）要求，现就落实生态保护红线、环境质量底线、资源利用上线，制定生态环境准入清单（简称“三线一单”），实施生态环境分区管控，提出如下实施意见：</w:t>
      </w:r>
    </w:p>
    <w:p w:rsidR="00D77EA2" w:rsidRDefault="00D77EA2" w:rsidP="00D77EA2">
      <w:pPr>
        <w:ind w:firstLine="480"/>
      </w:pPr>
      <w:r>
        <w:rPr>
          <w:rFonts w:hint="eastAsia"/>
        </w:rPr>
        <w:t>（一）环境管控单元</w:t>
      </w:r>
    </w:p>
    <w:p w:rsidR="00D77EA2" w:rsidRDefault="00D77EA2" w:rsidP="00D77EA2">
      <w:pPr>
        <w:ind w:firstLine="480"/>
      </w:pPr>
      <w:r>
        <w:rPr>
          <w:rFonts w:hint="eastAsia"/>
        </w:rPr>
        <w:t>全市共划定环境管控单元</w:t>
      </w:r>
      <w:r>
        <w:rPr>
          <w:rFonts w:hint="eastAsia"/>
        </w:rPr>
        <w:t>109</w:t>
      </w:r>
      <w:r>
        <w:rPr>
          <w:rFonts w:hint="eastAsia"/>
        </w:rPr>
        <w:t>个，分为优先保护单元、重点管控单元和一般管控单元三类，实施分类管控。</w:t>
      </w:r>
    </w:p>
    <w:p w:rsidR="00D77EA2" w:rsidRDefault="00D77EA2" w:rsidP="00D77EA2">
      <w:pPr>
        <w:ind w:firstLine="480"/>
      </w:pPr>
      <w:r>
        <w:rPr>
          <w:rFonts w:hint="eastAsia"/>
        </w:rPr>
        <w:t>本项目选址位于兴山县榛子乡石柱村，属于优先保护单元（见附图）。优先保护单元严格按照生态保护红线、自然保护地和生态空间管控区域管理规定进行管控。依法禁止或限制大规模、高强度开发建设活动，优先开展生态功能受损区域生态保护修复活动，恢复生态系统服务功能。</w:t>
      </w:r>
    </w:p>
    <w:p w:rsidR="00D77EA2" w:rsidRDefault="00D77EA2" w:rsidP="00D77EA2">
      <w:pPr>
        <w:ind w:firstLine="480"/>
      </w:pPr>
      <w:r>
        <w:rPr>
          <w:rFonts w:hint="eastAsia"/>
        </w:rPr>
        <w:t>本项目与优先保护单元管控要求符合性分析一览表如下表：</w:t>
      </w:r>
    </w:p>
    <w:p w:rsidR="00D77EA2" w:rsidRDefault="00D77EA2" w:rsidP="00D77EA2">
      <w:pPr>
        <w:pStyle w:val="a3"/>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97427">
        <w:rPr>
          <w:noProof/>
        </w:rPr>
        <w:t>1.4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97427">
        <w:rPr>
          <w:noProof/>
        </w:rPr>
        <w:t>1</w:t>
      </w:r>
      <w:r>
        <w:fldChar w:fldCharType="end"/>
      </w:r>
      <w:r>
        <w:rPr>
          <w:rFonts w:hint="eastAsia"/>
        </w:rPr>
        <w:t xml:space="preserve">  </w:t>
      </w:r>
      <w:r>
        <w:rPr>
          <w:rFonts w:hint="eastAsia"/>
        </w:rPr>
        <w:t>本项目与优先保护单元管控要求符合性分析</w:t>
      </w:r>
    </w:p>
    <w:tbl>
      <w:tblPr>
        <w:tblW w:w="8522" w:type="dxa"/>
        <w:tblLayout w:type="fixed"/>
        <w:tblCellMar>
          <w:top w:w="15" w:type="dxa"/>
          <w:bottom w:w="15" w:type="dxa"/>
        </w:tblCellMar>
        <w:tblLook w:val="04A0" w:firstRow="1" w:lastRow="0" w:firstColumn="1" w:lastColumn="0" w:noHBand="0" w:noVBand="1"/>
      </w:tblPr>
      <w:tblGrid>
        <w:gridCol w:w="1383"/>
        <w:gridCol w:w="3970"/>
        <w:gridCol w:w="1737"/>
        <w:gridCol w:w="1432"/>
      </w:tblGrid>
      <w:tr w:rsidR="00D77EA2" w:rsidTr="00487CED">
        <w:trPr>
          <w:trHeight w:val="340"/>
        </w:trPr>
        <w:tc>
          <w:tcPr>
            <w:tcW w:w="1383"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管控类型</w:t>
            </w:r>
          </w:p>
        </w:tc>
        <w:tc>
          <w:tcPr>
            <w:tcW w:w="3970"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管控要求</w:t>
            </w:r>
          </w:p>
        </w:tc>
        <w:tc>
          <w:tcPr>
            <w:tcW w:w="1737"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本项目</w:t>
            </w:r>
          </w:p>
        </w:tc>
        <w:tc>
          <w:tcPr>
            <w:tcW w:w="1432"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符合性</w:t>
            </w:r>
          </w:p>
        </w:tc>
      </w:tr>
      <w:tr w:rsidR="00D77EA2" w:rsidTr="00487CED">
        <w:trPr>
          <w:trHeight w:val="340"/>
        </w:trPr>
        <w:tc>
          <w:tcPr>
            <w:tcW w:w="1383"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空间布局约束</w:t>
            </w:r>
          </w:p>
        </w:tc>
        <w:tc>
          <w:tcPr>
            <w:tcW w:w="3970"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left"/>
              <w:rPr>
                <w:kern w:val="0"/>
                <w:sz w:val="21"/>
              </w:rPr>
            </w:pPr>
            <w:r>
              <w:rPr>
                <w:kern w:val="0"/>
                <w:sz w:val="21"/>
              </w:rPr>
              <w:t>1</w:t>
            </w:r>
            <w:r>
              <w:rPr>
                <w:rFonts w:hint="eastAsia"/>
                <w:kern w:val="0"/>
                <w:sz w:val="21"/>
              </w:rPr>
              <w:t>.</w:t>
            </w:r>
            <w:r>
              <w:rPr>
                <w:kern w:val="0"/>
                <w:sz w:val="21"/>
              </w:rPr>
              <w:t>执行宜昌市总体准入要求中关于秦巴山生态屏障区、三峡库区的准入</w:t>
            </w:r>
            <w:r>
              <w:rPr>
                <w:rFonts w:hint="eastAsia"/>
                <w:kern w:val="0"/>
                <w:sz w:val="21"/>
              </w:rPr>
              <w:t>要求</w:t>
            </w:r>
            <w:r>
              <w:rPr>
                <w:kern w:val="0"/>
                <w:sz w:val="21"/>
              </w:rPr>
              <w:t>。</w:t>
            </w:r>
          </w:p>
          <w:p w:rsidR="00D77EA2" w:rsidRDefault="00D77EA2" w:rsidP="00487CED">
            <w:pPr>
              <w:widowControl/>
              <w:spacing w:line="240" w:lineRule="auto"/>
              <w:ind w:firstLineChars="0" w:firstLine="0"/>
              <w:jc w:val="left"/>
              <w:rPr>
                <w:kern w:val="0"/>
                <w:sz w:val="21"/>
              </w:rPr>
            </w:pPr>
            <w:r>
              <w:rPr>
                <w:kern w:val="0"/>
                <w:sz w:val="21"/>
              </w:rPr>
              <w:t>2.</w:t>
            </w:r>
            <w:r>
              <w:rPr>
                <w:kern w:val="0"/>
                <w:sz w:val="21"/>
              </w:rPr>
              <w:t>单元内林地执行湖北省总体准入要求中关于自然生态空间、森林、公益林等的空间准入要求。</w:t>
            </w:r>
          </w:p>
          <w:p w:rsidR="00D77EA2" w:rsidRDefault="00D77EA2" w:rsidP="00487CED">
            <w:pPr>
              <w:widowControl/>
              <w:spacing w:line="240" w:lineRule="auto"/>
              <w:ind w:firstLineChars="0" w:firstLine="0"/>
              <w:jc w:val="left"/>
              <w:rPr>
                <w:kern w:val="0"/>
                <w:sz w:val="21"/>
              </w:rPr>
            </w:pPr>
            <w:r>
              <w:rPr>
                <w:kern w:val="0"/>
                <w:sz w:val="21"/>
              </w:rPr>
              <w:t>3.</w:t>
            </w:r>
            <w:r>
              <w:rPr>
                <w:kern w:val="0"/>
                <w:sz w:val="21"/>
              </w:rPr>
              <w:t>单元内宜昌北部磷矿重点矿区、兴山县兴隆磷矿限制开采规划区新建、改扩建矿山应符合绿色矿山建设要求。现有矿山应根据绿山矿山建设要求进行升级改造，边开采边治理</w:t>
            </w:r>
            <w:r>
              <w:rPr>
                <w:rFonts w:hint="eastAsia"/>
                <w:kern w:val="0"/>
                <w:sz w:val="21"/>
              </w:rPr>
              <w:t>，</w:t>
            </w:r>
            <w:r>
              <w:rPr>
                <w:kern w:val="0"/>
                <w:sz w:val="21"/>
              </w:rPr>
              <w:t>矿山关闭前完成矿山环境治理与生态恢复。</w:t>
            </w:r>
          </w:p>
          <w:p w:rsidR="00D77EA2" w:rsidRDefault="00D77EA2" w:rsidP="00487CED">
            <w:pPr>
              <w:widowControl/>
              <w:spacing w:line="240" w:lineRule="auto"/>
              <w:ind w:firstLineChars="0" w:firstLine="0"/>
              <w:jc w:val="left"/>
              <w:rPr>
                <w:kern w:val="0"/>
                <w:sz w:val="21"/>
              </w:rPr>
            </w:pPr>
            <w:r>
              <w:rPr>
                <w:kern w:val="0"/>
                <w:sz w:val="21"/>
              </w:rPr>
              <w:t>4.</w:t>
            </w:r>
            <w:r>
              <w:rPr>
                <w:kern w:val="0"/>
                <w:sz w:val="21"/>
              </w:rPr>
              <w:t>现有开采规模小于</w:t>
            </w:r>
            <w:r>
              <w:rPr>
                <w:kern w:val="0"/>
                <w:sz w:val="21"/>
              </w:rPr>
              <w:t>15</w:t>
            </w:r>
            <w:r>
              <w:rPr>
                <w:kern w:val="0"/>
                <w:sz w:val="21"/>
              </w:rPr>
              <w:t>万吨年的磷矿应限期关停。现有危险尾矿库、磷石膏库或未经批准擅自回采尾矿的磷矿企业应限期关闭。</w:t>
            </w:r>
          </w:p>
          <w:p w:rsidR="00D77EA2" w:rsidRDefault="00D77EA2" w:rsidP="00487CED">
            <w:pPr>
              <w:widowControl/>
              <w:spacing w:line="240" w:lineRule="auto"/>
              <w:ind w:firstLineChars="0" w:firstLine="0"/>
              <w:jc w:val="left"/>
              <w:rPr>
                <w:kern w:val="0"/>
                <w:sz w:val="21"/>
              </w:rPr>
            </w:pPr>
            <w:r>
              <w:rPr>
                <w:kern w:val="0"/>
                <w:sz w:val="21"/>
              </w:rPr>
              <w:t>5</w:t>
            </w:r>
            <w:r>
              <w:rPr>
                <w:rFonts w:hint="eastAsia"/>
                <w:kern w:val="0"/>
                <w:sz w:val="21"/>
              </w:rPr>
              <w:t>.</w:t>
            </w:r>
            <w:r>
              <w:rPr>
                <w:kern w:val="0"/>
                <w:sz w:val="21"/>
              </w:rPr>
              <w:t>兴山经济开发区新建、改扩建项目应符合园区规划及规划环评</w:t>
            </w:r>
            <w:r>
              <w:rPr>
                <w:kern w:val="0"/>
                <w:sz w:val="21"/>
              </w:rPr>
              <w:t>(</w:t>
            </w:r>
            <w:r>
              <w:rPr>
                <w:kern w:val="0"/>
                <w:sz w:val="21"/>
              </w:rPr>
              <w:t>跟踪评价</w:t>
            </w:r>
            <w:r w:rsidR="00E97427">
              <w:rPr>
                <w:kern w:val="0"/>
                <w:sz w:val="21"/>
              </w:rPr>
              <w:t>）</w:t>
            </w:r>
            <w:r>
              <w:rPr>
                <w:kern w:val="0"/>
                <w:sz w:val="21"/>
              </w:rPr>
              <w:t>中的准入要求，禁止印染、造纸、制革、电镀、</w:t>
            </w:r>
            <w:r>
              <w:rPr>
                <w:kern w:val="0"/>
                <w:sz w:val="21"/>
              </w:rPr>
              <w:lastRenderedPageBreak/>
              <w:t>巢丝、苎麻纺织等项目。限制发展废水排放量大、污染重、环境风险高的项目。</w:t>
            </w:r>
          </w:p>
          <w:p w:rsidR="00D77EA2" w:rsidRDefault="00D77EA2" w:rsidP="00487CED">
            <w:pPr>
              <w:widowControl/>
              <w:spacing w:line="240" w:lineRule="auto"/>
              <w:ind w:firstLineChars="0" w:firstLine="0"/>
              <w:jc w:val="left"/>
              <w:rPr>
                <w:kern w:val="0"/>
                <w:sz w:val="21"/>
              </w:rPr>
            </w:pPr>
            <w:r>
              <w:rPr>
                <w:kern w:val="0"/>
                <w:sz w:val="21"/>
              </w:rPr>
              <w:t>6.</w:t>
            </w:r>
            <w:r>
              <w:rPr>
                <w:kern w:val="0"/>
                <w:sz w:val="21"/>
              </w:rPr>
              <w:t>不得在大气环境弱扩散区新建大气污染严重的企业。</w:t>
            </w:r>
          </w:p>
        </w:tc>
        <w:tc>
          <w:tcPr>
            <w:tcW w:w="1737"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rFonts w:hint="eastAsia"/>
                <w:kern w:val="0"/>
                <w:sz w:val="21"/>
              </w:rPr>
              <w:lastRenderedPageBreak/>
              <w:t>根据宜昌市生态环境总体准入要求，三峡库区禁止毁林开荒，区域）严格限制库区范围内的化工、造纸、食品、制药、机电、电镀、印染、纺织等水污染行业进入。本项目属于规划的水利工程项目，不属于禁止、限制行业类别项目，项目建设对大气环境影响较小</w:t>
            </w:r>
          </w:p>
        </w:tc>
        <w:tc>
          <w:tcPr>
            <w:tcW w:w="1432"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符合</w:t>
            </w:r>
          </w:p>
        </w:tc>
      </w:tr>
      <w:tr w:rsidR="00D77EA2" w:rsidTr="00487CED">
        <w:trPr>
          <w:trHeight w:val="340"/>
        </w:trPr>
        <w:tc>
          <w:tcPr>
            <w:tcW w:w="1383"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lastRenderedPageBreak/>
              <w:t>污染物排放管控</w:t>
            </w:r>
          </w:p>
        </w:tc>
        <w:tc>
          <w:tcPr>
            <w:tcW w:w="3970"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left"/>
              <w:rPr>
                <w:kern w:val="0"/>
                <w:sz w:val="21"/>
              </w:rPr>
            </w:pPr>
            <w:r>
              <w:rPr>
                <w:kern w:val="0"/>
                <w:sz w:val="21"/>
              </w:rPr>
              <w:t>1</w:t>
            </w:r>
            <w:r>
              <w:rPr>
                <w:rFonts w:hint="eastAsia"/>
                <w:kern w:val="0"/>
                <w:sz w:val="21"/>
              </w:rPr>
              <w:t>.</w:t>
            </w:r>
            <w:r>
              <w:rPr>
                <w:kern w:val="0"/>
                <w:sz w:val="21"/>
              </w:rPr>
              <w:t>单元内锅炉应执行大气污染物特别排放限值。</w:t>
            </w:r>
          </w:p>
          <w:p w:rsidR="00D77EA2" w:rsidRDefault="00D77EA2" w:rsidP="00487CED">
            <w:pPr>
              <w:widowControl/>
              <w:spacing w:line="240" w:lineRule="auto"/>
              <w:ind w:firstLineChars="0" w:firstLine="0"/>
              <w:jc w:val="left"/>
              <w:rPr>
                <w:kern w:val="0"/>
                <w:sz w:val="21"/>
              </w:rPr>
            </w:pPr>
            <w:r>
              <w:rPr>
                <w:kern w:val="0"/>
                <w:sz w:val="21"/>
              </w:rPr>
              <w:t>2.</w:t>
            </w:r>
            <w:r>
              <w:rPr>
                <w:kern w:val="0"/>
                <w:sz w:val="21"/>
              </w:rPr>
              <w:t>上一年度</w:t>
            </w:r>
            <w:r>
              <w:rPr>
                <w:kern w:val="0"/>
                <w:sz w:val="21"/>
              </w:rPr>
              <w:t>PM</w:t>
            </w:r>
            <w:r>
              <w:rPr>
                <w:kern w:val="0"/>
                <w:sz w:val="21"/>
                <w:vertAlign w:val="subscript"/>
              </w:rPr>
              <w:t>2.5</w:t>
            </w:r>
            <w:r>
              <w:rPr>
                <w:kern w:val="0"/>
                <w:sz w:val="21"/>
              </w:rPr>
              <w:t>年平均浓度超标，单元内建设项目实施二氧化硫、氮氧化物、烟粉尘、挥发性有机物四项污染物</w:t>
            </w:r>
            <w:r>
              <w:rPr>
                <w:kern w:val="0"/>
                <w:sz w:val="21"/>
              </w:rPr>
              <w:t>2</w:t>
            </w:r>
            <w:r>
              <w:rPr>
                <w:kern w:val="0"/>
                <w:sz w:val="21"/>
              </w:rPr>
              <w:t>倍削减替代。</w:t>
            </w:r>
          </w:p>
          <w:p w:rsidR="00D77EA2" w:rsidRDefault="00D77EA2" w:rsidP="00487CED">
            <w:pPr>
              <w:widowControl/>
              <w:spacing w:line="240" w:lineRule="auto"/>
              <w:ind w:firstLineChars="0" w:firstLine="0"/>
              <w:jc w:val="left"/>
              <w:rPr>
                <w:kern w:val="0"/>
                <w:sz w:val="21"/>
              </w:rPr>
            </w:pPr>
            <w:r>
              <w:rPr>
                <w:kern w:val="0"/>
                <w:sz w:val="21"/>
              </w:rPr>
              <w:t>3</w:t>
            </w:r>
            <w:r>
              <w:rPr>
                <w:rFonts w:hint="eastAsia"/>
                <w:kern w:val="0"/>
                <w:sz w:val="21"/>
              </w:rPr>
              <w:t>.</w:t>
            </w:r>
            <w:r>
              <w:rPr>
                <w:kern w:val="0"/>
                <w:sz w:val="21"/>
              </w:rPr>
              <w:t>单元内新建、改扩建农副食品加工、原料药制造、农药等重点行业实行主要污染物等量或减量置换。</w:t>
            </w:r>
          </w:p>
        </w:tc>
        <w:tc>
          <w:tcPr>
            <w:tcW w:w="1737"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rFonts w:hint="eastAsia"/>
                <w:kern w:val="0"/>
                <w:sz w:val="21"/>
              </w:rPr>
              <w:t>本项目属于水资源利用项目，对环境空气影响较小</w:t>
            </w:r>
          </w:p>
        </w:tc>
        <w:tc>
          <w:tcPr>
            <w:tcW w:w="1432"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符合</w:t>
            </w:r>
          </w:p>
        </w:tc>
      </w:tr>
      <w:tr w:rsidR="00D77EA2" w:rsidTr="00487CED">
        <w:trPr>
          <w:trHeight w:val="340"/>
        </w:trPr>
        <w:tc>
          <w:tcPr>
            <w:tcW w:w="1383"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环境风险防控</w:t>
            </w:r>
          </w:p>
        </w:tc>
        <w:tc>
          <w:tcPr>
            <w:tcW w:w="3970"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left"/>
              <w:rPr>
                <w:kern w:val="0"/>
                <w:sz w:val="21"/>
              </w:rPr>
            </w:pPr>
            <w:r>
              <w:rPr>
                <w:kern w:val="0"/>
                <w:sz w:val="21"/>
              </w:rPr>
              <w:t>1.</w:t>
            </w:r>
            <w:r>
              <w:rPr>
                <w:kern w:val="0"/>
                <w:sz w:val="21"/>
              </w:rPr>
              <w:t>兴山经济开发区应建立大气、水、土壤污染环境风险防控体系。</w:t>
            </w:r>
          </w:p>
          <w:p w:rsidR="00D77EA2" w:rsidRDefault="00D77EA2" w:rsidP="00487CED">
            <w:pPr>
              <w:widowControl/>
              <w:spacing w:line="240" w:lineRule="auto"/>
              <w:ind w:firstLineChars="0" w:firstLine="0"/>
              <w:jc w:val="left"/>
              <w:rPr>
                <w:kern w:val="0"/>
                <w:sz w:val="21"/>
              </w:rPr>
            </w:pPr>
            <w:r>
              <w:rPr>
                <w:kern w:val="0"/>
                <w:sz w:val="21"/>
              </w:rPr>
              <w:t>2.</w:t>
            </w:r>
            <w:r>
              <w:rPr>
                <w:kern w:val="0"/>
                <w:sz w:val="21"/>
              </w:rPr>
              <w:t>兴山经济开发区内生产、储存危险化学品及产生大量废水的医药、农副产业深加工产业等企业，应配套有效措施</w:t>
            </w:r>
            <w:r>
              <w:rPr>
                <w:kern w:val="0"/>
                <w:sz w:val="21"/>
              </w:rPr>
              <w:t>,</w:t>
            </w:r>
            <w:r>
              <w:rPr>
                <w:kern w:val="0"/>
                <w:sz w:val="21"/>
              </w:rPr>
              <w:t>防止因渗漏污染地下水、土壤</w:t>
            </w:r>
            <w:r>
              <w:rPr>
                <w:kern w:val="0"/>
                <w:sz w:val="21"/>
              </w:rPr>
              <w:t>,</w:t>
            </w:r>
            <w:r>
              <w:rPr>
                <w:kern w:val="0"/>
                <w:sz w:val="21"/>
              </w:rPr>
              <w:t>以及因事故废水直排污染地表水体。</w:t>
            </w:r>
          </w:p>
          <w:p w:rsidR="00D77EA2" w:rsidRDefault="00D77EA2" w:rsidP="00487CED">
            <w:pPr>
              <w:widowControl/>
              <w:spacing w:line="240" w:lineRule="auto"/>
              <w:ind w:firstLineChars="0" w:firstLine="0"/>
              <w:jc w:val="left"/>
              <w:rPr>
                <w:kern w:val="0"/>
                <w:sz w:val="21"/>
              </w:rPr>
            </w:pPr>
            <w:r>
              <w:rPr>
                <w:kern w:val="0"/>
                <w:sz w:val="21"/>
              </w:rPr>
              <w:t>3.</w:t>
            </w:r>
            <w:r>
              <w:rPr>
                <w:kern w:val="0"/>
                <w:sz w:val="21"/>
              </w:rPr>
              <w:t>兴山经济开发区内产生、利用或处置固体废物（含危险废物）的医药产业等企业，在贮存、转移、利用、处置固体废物</w:t>
            </w:r>
            <w:r>
              <w:rPr>
                <w:kern w:val="0"/>
                <w:sz w:val="21"/>
              </w:rPr>
              <w:t>(</w:t>
            </w:r>
            <w:r>
              <w:rPr>
                <w:kern w:val="0"/>
                <w:sz w:val="21"/>
              </w:rPr>
              <w:t>含危险度物）过程中，应配套防扬散、防流失、防渗漏及其他防止污染环境的措施。</w:t>
            </w:r>
          </w:p>
        </w:tc>
        <w:tc>
          <w:tcPr>
            <w:tcW w:w="1737"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rFonts w:hint="eastAsia"/>
                <w:kern w:val="0"/>
                <w:sz w:val="21"/>
              </w:rPr>
              <w:t>本项目不位于兴山经济开发区</w:t>
            </w:r>
          </w:p>
        </w:tc>
        <w:tc>
          <w:tcPr>
            <w:tcW w:w="1432"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符合</w:t>
            </w:r>
          </w:p>
        </w:tc>
      </w:tr>
      <w:tr w:rsidR="00D77EA2" w:rsidTr="00487CED">
        <w:trPr>
          <w:trHeight w:val="340"/>
        </w:trPr>
        <w:tc>
          <w:tcPr>
            <w:tcW w:w="1383"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资源利用效率</w:t>
            </w:r>
          </w:p>
        </w:tc>
        <w:tc>
          <w:tcPr>
            <w:tcW w:w="3970"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left"/>
              <w:rPr>
                <w:kern w:val="0"/>
                <w:sz w:val="21"/>
              </w:rPr>
            </w:pPr>
            <w:r>
              <w:rPr>
                <w:kern w:val="0"/>
                <w:sz w:val="21"/>
              </w:rPr>
              <w:t>1.</w:t>
            </w:r>
            <w:r>
              <w:rPr>
                <w:kern w:val="0"/>
                <w:sz w:val="21"/>
              </w:rPr>
              <w:t>新建磷矿矿山最低开采规模不得低于</w:t>
            </w:r>
            <w:r>
              <w:rPr>
                <w:kern w:val="0"/>
                <w:sz w:val="21"/>
              </w:rPr>
              <w:t>50</w:t>
            </w:r>
            <w:r>
              <w:rPr>
                <w:kern w:val="0"/>
                <w:sz w:val="21"/>
              </w:rPr>
              <w:t>万吨</w:t>
            </w:r>
            <w:r>
              <w:rPr>
                <w:kern w:val="0"/>
                <w:sz w:val="21"/>
              </w:rPr>
              <w:t>/</w:t>
            </w:r>
            <w:r>
              <w:rPr>
                <w:kern w:val="0"/>
                <w:sz w:val="21"/>
              </w:rPr>
              <w:t>年。大型矿山最低服务年限不小于</w:t>
            </w:r>
            <w:r>
              <w:rPr>
                <w:kern w:val="0"/>
                <w:sz w:val="21"/>
              </w:rPr>
              <w:t>20</w:t>
            </w:r>
            <w:r>
              <w:rPr>
                <w:kern w:val="0"/>
                <w:sz w:val="21"/>
              </w:rPr>
              <w:t>年</w:t>
            </w:r>
            <w:r>
              <w:rPr>
                <w:rFonts w:hint="eastAsia"/>
                <w:kern w:val="0"/>
                <w:sz w:val="21"/>
              </w:rPr>
              <w:t>，</w:t>
            </w:r>
            <w:r>
              <w:rPr>
                <w:kern w:val="0"/>
                <w:sz w:val="21"/>
              </w:rPr>
              <w:t>中型矿山不小于</w:t>
            </w:r>
            <w:r>
              <w:rPr>
                <w:kern w:val="0"/>
                <w:sz w:val="21"/>
              </w:rPr>
              <w:t>10</w:t>
            </w:r>
            <w:r>
              <w:rPr>
                <w:kern w:val="0"/>
                <w:sz w:val="21"/>
              </w:rPr>
              <w:t>年，小型矿山不小于</w:t>
            </w:r>
            <w:r>
              <w:rPr>
                <w:kern w:val="0"/>
                <w:sz w:val="21"/>
              </w:rPr>
              <w:t>5</w:t>
            </w:r>
            <w:r>
              <w:rPr>
                <w:kern w:val="0"/>
                <w:sz w:val="21"/>
              </w:rPr>
              <w:t>年。</w:t>
            </w:r>
          </w:p>
          <w:p w:rsidR="00D77EA2" w:rsidRDefault="00D77EA2" w:rsidP="00487CED">
            <w:pPr>
              <w:widowControl/>
              <w:spacing w:line="240" w:lineRule="auto"/>
              <w:ind w:firstLineChars="0" w:firstLine="0"/>
              <w:jc w:val="left"/>
              <w:rPr>
                <w:kern w:val="0"/>
                <w:sz w:val="21"/>
              </w:rPr>
            </w:pPr>
            <w:r>
              <w:rPr>
                <w:kern w:val="0"/>
                <w:sz w:val="21"/>
              </w:rPr>
              <w:t>2.</w:t>
            </w:r>
            <w:r>
              <w:rPr>
                <w:kern w:val="0"/>
                <w:sz w:val="21"/>
              </w:rPr>
              <w:t>主要矿产资源开采回采率、选矿回收率、综合利用率提高</w:t>
            </w:r>
            <w:r>
              <w:rPr>
                <w:kern w:val="0"/>
                <w:sz w:val="21"/>
              </w:rPr>
              <w:t>3~5</w:t>
            </w:r>
            <w:r>
              <w:rPr>
                <w:kern w:val="0"/>
                <w:sz w:val="21"/>
              </w:rPr>
              <w:t>个百分点</w:t>
            </w:r>
            <w:r>
              <w:rPr>
                <w:rFonts w:hint="eastAsia"/>
                <w:kern w:val="0"/>
                <w:sz w:val="21"/>
              </w:rPr>
              <w:t>，</w:t>
            </w:r>
            <w:r>
              <w:rPr>
                <w:kern w:val="0"/>
                <w:sz w:val="21"/>
              </w:rPr>
              <w:t>矿山</w:t>
            </w:r>
            <w:r>
              <w:rPr>
                <w:kern w:val="0"/>
                <w:sz w:val="21"/>
              </w:rPr>
              <w:t>“</w:t>
            </w:r>
            <w:r>
              <w:rPr>
                <w:kern w:val="0"/>
                <w:sz w:val="21"/>
              </w:rPr>
              <w:t>三率</w:t>
            </w:r>
            <w:r>
              <w:rPr>
                <w:kern w:val="0"/>
                <w:sz w:val="21"/>
              </w:rPr>
              <w:t>”</w:t>
            </w:r>
            <w:r>
              <w:rPr>
                <w:kern w:val="0"/>
                <w:sz w:val="21"/>
              </w:rPr>
              <w:t>水平达标率达到</w:t>
            </w:r>
            <w:r>
              <w:rPr>
                <w:kern w:val="0"/>
                <w:sz w:val="21"/>
              </w:rPr>
              <w:t>80%</w:t>
            </w:r>
            <w:r>
              <w:rPr>
                <w:kern w:val="0"/>
                <w:sz w:val="21"/>
              </w:rPr>
              <w:t>。</w:t>
            </w:r>
          </w:p>
          <w:p w:rsidR="00D77EA2" w:rsidRDefault="00D77EA2" w:rsidP="00487CED">
            <w:pPr>
              <w:widowControl/>
              <w:spacing w:line="240" w:lineRule="auto"/>
              <w:ind w:firstLineChars="0" w:firstLine="0"/>
              <w:jc w:val="left"/>
              <w:rPr>
                <w:kern w:val="0"/>
                <w:sz w:val="21"/>
              </w:rPr>
            </w:pPr>
            <w:r>
              <w:rPr>
                <w:kern w:val="0"/>
                <w:sz w:val="21"/>
              </w:rPr>
              <w:t>3.</w:t>
            </w:r>
            <w:r>
              <w:rPr>
                <w:kern w:val="0"/>
                <w:sz w:val="21"/>
              </w:rPr>
              <w:t>禁燃区内禁止新建、扩建燃用高污染燃料的项甲和设施</w:t>
            </w:r>
            <w:r>
              <w:rPr>
                <w:rFonts w:hint="eastAsia"/>
                <w:kern w:val="0"/>
                <w:sz w:val="21"/>
              </w:rPr>
              <w:t>，</w:t>
            </w:r>
            <w:r>
              <w:rPr>
                <w:kern w:val="0"/>
                <w:sz w:val="21"/>
              </w:rPr>
              <w:t>已建成的应逐步或依法限期改用天然气、电或者其他清洁能源</w:t>
            </w:r>
          </w:p>
        </w:tc>
        <w:tc>
          <w:tcPr>
            <w:tcW w:w="1737"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rFonts w:hint="eastAsia"/>
                <w:kern w:val="0"/>
                <w:sz w:val="21"/>
              </w:rPr>
              <w:t>本项目不属于矿产开发利用项目，不使用高污染燃料</w:t>
            </w:r>
          </w:p>
        </w:tc>
        <w:tc>
          <w:tcPr>
            <w:tcW w:w="1432" w:type="dxa"/>
            <w:tcBorders>
              <w:top w:val="single" w:sz="4" w:space="0" w:color="000000"/>
              <w:left w:val="single" w:sz="4" w:space="0" w:color="000000"/>
              <w:bottom w:val="single" w:sz="4" w:space="0" w:color="000000"/>
              <w:right w:val="single" w:sz="4" w:space="0" w:color="000000"/>
            </w:tcBorders>
            <w:vAlign w:val="center"/>
          </w:tcPr>
          <w:p w:rsidR="00D77EA2" w:rsidRDefault="00D77EA2" w:rsidP="00487CED">
            <w:pPr>
              <w:widowControl/>
              <w:spacing w:line="240" w:lineRule="auto"/>
              <w:ind w:firstLineChars="0" w:firstLine="0"/>
              <w:jc w:val="center"/>
              <w:rPr>
                <w:kern w:val="0"/>
                <w:sz w:val="21"/>
              </w:rPr>
            </w:pPr>
            <w:r>
              <w:rPr>
                <w:kern w:val="0"/>
                <w:sz w:val="21"/>
              </w:rPr>
              <w:t>符合</w:t>
            </w:r>
          </w:p>
        </w:tc>
      </w:tr>
    </w:tbl>
    <w:p w:rsidR="00D77EA2" w:rsidRDefault="00D77EA2" w:rsidP="00D77EA2">
      <w:pPr>
        <w:ind w:firstLine="480"/>
      </w:pPr>
      <w:r>
        <w:rPr>
          <w:rFonts w:hint="eastAsia"/>
        </w:rPr>
        <w:t>由上表可知，本项目与优先保护单元管控要求相符。</w:t>
      </w:r>
    </w:p>
    <w:p w:rsidR="00D77EA2" w:rsidRDefault="00D77EA2" w:rsidP="00D77EA2">
      <w:pPr>
        <w:ind w:firstLine="480"/>
      </w:pPr>
      <w:r>
        <w:rPr>
          <w:rFonts w:hint="eastAsia"/>
        </w:rPr>
        <w:t>（二）“三线一单”符合性</w:t>
      </w:r>
    </w:p>
    <w:p w:rsidR="00D77EA2" w:rsidRDefault="00D77EA2" w:rsidP="00D77EA2">
      <w:pPr>
        <w:ind w:firstLine="480"/>
      </w:pPr>
      <w:r>
        <w:rPr>
          <w:rFonts w:cs="宋体" w:hint="eastAsia"/>
        </w:rPr>
        <w:t>①</w:t>
      </w:r>
      <w:r>
        <w:rPr>
          <w:rFonts w:hint="eastAsia"/>
        </w:rPr>
        <w:t>生态环保红线</w:t>
      </w:r>
    </w:p>
    <w:p w:rsidR="00D77EA2" w:rsidRDefault="00D77EA2" w:rsidP="00D77EA2">
      <w:pPr>
        <w:ind w:firstLine="480"/>
      </w:pPr>
      <w:r>
        <w:rPr>
          <w:rFonts w:hint="eastAsia"/>
        </w:rPr>
        <w:t>2018</w:t>
      </w:r>
      <w:r>
        <w:rPr>
          <w:rFonts w:hint="eastAsia"/>
        </w:rPr>
        <w:t>年</w:t>
      </w:r>
      <w:r>
        <w:rPr>
          <w:rFonts w:hint="eastAsia"/>
        </w:rPr>
        <w:t>7</w:t>
      </w:r>
      <w:r>
        <w:rPr>
          <w:rFonts w:hint="eastAsia"/>
        </w:rPr>
        <w:t>月</w:t>
      </w:r>
      <w:r>
        <w:rPr>
          <w:rFonts w:hint="eastAsia"/>
        </w:rPr>
        <w:t>25</w:t>
      </w:r>
      <w:r>
        <w:rPr>
          <w:rFonts w:hint="eastAsia"/>
        </w:rPr>
        <w:t>日，湖北省人民政府发布了《湖北省生态保护红线划定方案》（鄂政发〔</w:t>
      </w:r>
      <w:r>
        <w:rPr>
          <w:rFonts w:hint="eastAsia"/>
        </w:rPr>
        <w:t>2018</w:t>
      </w:r>
      <w:r>
        <w:rPr>
          <w:rFonts w:hint="eastAsia"/>
        </w:rPr>
        <w:t>〕</w:t>
      </w:r>
      <w:r>
        <w:rPr>
          <w:rFonts w:hint="eastAsia"/>
        </w:rPr>
        <w:t>30</w:t>
      </w:r>
      <w:r>
        <w:rPr>
          <w:rFonts w:hint="eastAsia"/>
        </w:rPr>
        <w:t>号，以下简称《方案》），根据该《方案》，湖北省生态保护红线总面积约</w:t>
      </w:r>
      <w:r>
        <w:rPr>
          <w:rFonts w:hint="eastAsia"/>
        </w:rPr>
        <w:t>4.15</w:t>
      </w:r>
      <w:r>
        <w:rPr>
          <w:rFonts w:hint="eastAsia"/>
        </w:rPr>
        <w:t>万平方公里，约占全省国土面积的</w:t>
      </w:r>
      <w:r>
        <w:rPr>
          <w:rFonts w:hint="eastAsia"/>
        </w:rPr>
        <w:t>22.30%</w:t>
      </w:r>
      <w:r>
        <w:rPr>
          <w:rFonts w:hint="eastAsia"/>
        </w:rPr>
        <w:t>，总体呈现“四屏</w:t>
      </w:r>
      <w:r>
        <w:rPr>
          <w:rFonts w:hint="eastAsia"/>
        </w:rPr>
        <w:lastRenderedPageBreak/>
        <w:t>三江一区”生态格局。根据查询，本项目建设地点不在湖北省生态保护红线范围内，项目所在区域生态保护红线分布图见附图三。本项目建成后，将作为饮用水水源地进行保护，划为生态红线，禁止开发利用。</w:t>
      </w:r>
    </w:p>
    <w:p w:rsidR="00D77EA2" w:rsidRDefault="00D77EA2" w:rsidP="00D77EA2">
      <w:pPr>
        <w:ind w:firstLine="480"/>
      </w:pPr>
      <w:r>
        <w:rPr>
          <w:rFonts w:hint="eastAsia"/>
        </w:rPr>
        <w:t>②环境质量底线</w:t>
      </w:r>
    </w:p>
    <w:p w:rsidR="00D77EA2" w:rsidRDefault="00D77EA2" w:rsidP="00D77EA2">
      <w:pPr>
        <w:ind w:firstLine="480"/>
      </w:pPr>
      <w:r>
        <w:t>项目选址地区域环境质量目标及其现状达标情况如下</w:t>
      </w:r>
    </w:p>
    <w:p w:rsidR="00D77EA2" w:rsidRDefault="00D77EA2" w:rsidP="00D77EA2">
      <w:pPr>
        <w:pStyle w:val="a3"/>
        <w:ind w:firstLine="360"/>
        <w:rPr>
          <w:rFonts w:cs="Times New Roman"/>
        </w:rP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97427">
        <w:rPr>
          <w:noProof/>
        </w:rPr>
        <w:t>1.4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97427">
        <w:rPr>
          <w:noProof/>
        </w:rPr>
        <w:t>2</w:t>
      </w:r>
      <w:r>
        <w:fldChar w:fldCharType="end"/>
      </w:r>
      <w:r>
        <w:rPr>
          <w:rFonts w:hint="eastAsia"/>
        </w:rPr>
        <w:t xml:space="preserve">  </w:t>
      </w:r>
      <w:r>
        <w:rPr>
          <w:rFonts w:cs="Times New Roman"/>
        </w:rPr>
        <w:t>项目选址地区域环境质量目标及其现状达标情况一览表</w:t>
      </w:r>
    </w:p>
    <w:tbl>
      <w:tblPr>
        <w:tblW w:w="83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98"/>
        <w:gridCol w:w="2976"/>
        <w:gridCol w:w="2684"/>
        <w:gridCol w:w="1658"/>
      </w:tblGrid>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环境要素</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环境质量目标</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环境质量现状</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环境质量达标情况</w:t>
            </w:r>
          </w:p>
        </w:tc>
      </w:tr>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大气</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 3095-2012/</w:t>
            </w:r>
            <w:r>
              <w:rPr>
                <w:rFonts w:ascii="Times New Roman" w:hAnsi="Times New Roman" w:cs="Times New Roman"/>
                <w:sz w:val="21"/>
                <w:szCs w:val="21"/>
              </w:rPr>
              <w:t>二类</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w:t>
            </w:r>
            <w:r>
              <w:rPr>
                <w:rFonts w:ascii="Times New Roman" w:hAnsi="Times New Roman" w:cs="Times New Roman"/>
                <w:spacing w:val="-7"/>
                <w:sz w:val="21"/>
                <w:szCs w:val="21"/>
              </w:rPr>
              <w:t xml:space="preserve"> </w:t>
            </w:r>
            <w:r>
              <w:rPr>
                <w:rFonts w:ascii="Times New Roman" w:hAnsi="Times New Roman" w:cs="Times New Roman"/>
                <w:sz w:val="21"/>
                <w:szCs w:val="21"/>
              </w:rPr>
              <w:t>3095-2012/</w:t>
            </w:r>
            <w:r>
              <w:rPr>
                <w:rFonts w:ascii="Times New Roman" w:hAnsi="Times New Roman" w:cs="Times New Roman"/>
                <w:sz w:val="21"/>
                <w:szCs w:val="21"/>
              </w:rPr>
              <w:t>二类</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达标</w:t>
            </w:r>
          </w:p>
        </w:tc>
      </w:tr>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地表水</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 3838-2002/</w:t>
            </w:r>
            <w:r>
              <w:rPr>
                <w:rFonts w:hint="eastAsia"/>
                <w:sz w:val="21"/>
                <w:szCs w:val="21"/>
              </w:rPr>
              <w:t>Ⅲ</w:t>
            </w:r>
            <w:r>
              <w:rPr>
                <w:rFonts w:ascii="Times New Roman" w:hAnsi="Times New Roman" w:cs="Times New Roman"/>
                <w:sz w:val="21"/>
                <w:szCs w:val="21"/>
              </w:rPr>
              <w:t>类</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w:t>
            </w:r>
            <w:r>
              <w:rPr>
                <w:rFonts w:ascii="Times New Roman" w:hAnsi="Times New Roman" w:cs="Times New Roman"/>
                <w:spacing w:val="-4"/>
                <w:sz w:val="21"/>
                <w:szCs w:val="21"/>
              </w:rPr>
              <w:t xml:space="preserve"> </w:t>
            </w:r>
            <w:r>
              <w:rPr>
                <w:rFonts w:ascii="Times New Roman" w:hAnsi="Times New Roman" w:cs="Times New Roman"/>
                <w:sz w:val="21"/>
                <w:szCs w:val="21"/>
              </w:rPr>
              <w:t>3838-2002/</w:t>
            </w:r>
            <w:r>
              <w:rPr>
                <w:rFonts w:hint="eastAsia"/>
                <w:sz w:val="21"/>
                <w:szCs w:val="21"/>
              </w:rPr>
              <w:t>Ⅲ</w:t>
            </w:r>
            <w:r>
              <w:rPr>
                <w:rFonts w:ascii="Times New Roman" w:hAnsi="Times New Roman" w:cs="Times New Roman"/>
                <w:sz w:val="21"/>
                <w:szCs w:val="21"/>
              </w:rPr>
              <w:t>类</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达标</w:t>
            </w:r>
          </w:p>
        </w:tc>
      </w:tr>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声</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 3096-2008/</w:t>
            </w:r>
            <w:r>
              <w:rPr>
                <w:rFonts w:ascii="Times New Roman" w:hAnsi="Times New Roman" w:cs="Times New Roman" w:hint="eastAsia"/>
                <w:sz w:val="21"/>
                <w:szCs w:val="21"/>
                <w:lang w:eastAsia="zh-CN"/>
              </w:rPr>
              <w:t>1</w:t>
            </w:r>
            <w:r>
              <w:rPr>
                <w:rFonts w:ascii="Times New Roman" w:hAnsi="Times New Roman" w:cs="Times New Roman"/>
                <w:sz w:val="21"/>
                <w:szCs w:val="21"/>
              </w:rPr>
              <w:t>类</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 3096-2008/</w:t>
            </w:r>
            <w:r>
              <w:rPr>
                <w:rFonts w:ascii="Times New Roman" w:hAnsi="Times New Roman" w:cs="Times New Roman" w:hint="eastAsia"/>
                <w:sz w:val="21"/>
                <w:szCs w:val="21"/>
                <w:lang w:eastAsia="zh-CN"/>
              </w:rPr>
              <w:t>1</w:t>
            </w:r>
            <w:r>
              <w:rPr>
                <w:rFonts w:ascii="Times New Roman" w:hAnsi="Times New Roman" w:cs="Times New Roman"/>
                <w:sz w:val="21"/>
                <w:szCs w:val="21"/>
              </w:rPr>
              <w:t>类</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达标</w:t>
            </w:r>
          </w:p>
        </w:tc>
      </w:tr>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地下水</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GB/T14848-2017</w:t>
            </w:r>
            <w:r>
              <w:rPr>
                <w:rFonts w:ascii="Times New Roman" w:hAnsi="Times New Roman" w:cs="Times New Roman"/>
                <w:sz w:val="21"/>
                <w:szCs w:val="21"/>
              </w:rPr>
              <w:t>）</w:t>
            </w:r>
            <w:r>
              <w:rPr>
                <w:rFonts w:ascii="Times New Roman" w:hAnsi="Times New Roman" w:cs="Times New Roman"/>
                <w:sz w:val="21"/>
                <w:szCs w:val="21"/>
              </w:rPr>
              <w:t>/</w:t>
            </w:r>
            <w:r>
              <w:rPr>
                <w:rFonts w:hint="eastAsia"/>
                <w:sz w:val="21"/>
                <w:szCs w:val="21"/>
              </w:rPr>
              <w:t>Ⅲ</w:t>
            </w:r>
            <w:r>
              <w:rPr>
                <w:rFonts w:ascii="Times New Roman" w:hAnsi="Times New Roman" w:cs="Times New Roman"/>
                <w:sz w:val="21"/>
                <w:szCs w:val="21"/>
              </w:rPr>
              <w:t>类</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GB/T</w:t>
            </w:r>
            <w:r>
              <w:rPr>
                <w:rFonts w:ascii="Times New Roman" w:hAnsi="Times New Roman" w:cs="Times New Roman"/>
                <w:spacing w:val="-11"/>
                <w:sz w:val="21"/>
                <w:szCs w:val="21"/>
              </w:rPr>
              <w:t xml:space="preserve"> </w:t>
            </w:r>
            <w:r>
              <w:rPr>
                <w:rFonts w:ascii="Times New Roman" w:hAnsi="Times New Roman" w:cs="Times New Roman"/>
                <w:spacing w:val="-7"/>
                <w:sz w:val="21"/>
                <w:szCs w:val="21"/>
              </w:rPr>
              <w:t>14848-2017</w:t>
            </w:r>
            <w:r>
              <w:rPr>
                <w:rFonts w:ascii="Times New Roman" w:hAnsi="Times New Roman" w:cs="Times New Roman"/>
                <w:spacing w:val="-7"/>
                <w:sz w:val="21"/>
                <w:szCs w:val="21"/>
              </w:rPr>
              <w:t>）</w:t>
            </w:r>
            <w:r>
              <w:rPr>
                <w:rFonts w:ascii="Times New Roman" w:hAnsi="Times New Roman" w:cs="Times New Roman"/>
                <w:spacing w:val="-7"/>
                <w:sz w:val="21"/>
                <w:szCs w:val="21"/>
              </w:rPr>
              <w:t>/</w:t>
            </w:r>
            <w:r>
              <w:rPr>
                <w:rFonts w:hint="eastAsia"/>
                <w:spacing w:val="-7"/>
                <w:sz w:val="21"/>
                <w:szCs w:val="21"/>
              </w:rPr>
              <w:t>Ⅲ</w:t>
            </w:r>
            <w:r>
              <w:rPr>
                <w:rFonts w:ascii="Times New Roman" w:hAnsi="Times New Roman" w:cs="Times New Roman"/>
                <w:spacing w:val="-7"/>
                <w:sz w:val="21"/>
                <w:szCs w:val="21"/>
              </w:rPr>
              <w:t>类</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达标</w:t>
            </w:r>
          </w:p>
        </w:tc>
      </w:tr>
      <w:tr w:rsidR="00D77EA2" w:rsidTr="00487CED">
        <w:trPr>
          <w:trHeight w:val="340"/>
          <w:jc w:val="center"/>
        </w:trPr>
        <w:tc>
          <w:tcPr>
            <w:tcW w:w="99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土壤</w:t>
            </w:r>
          </w:p>
        </w:tc>
        <w:tc>
          <w:tcPr>
            <w:tcW w:w="2976"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(GB36600-2018</w:t>
            </w:r>
            <w:r w:rsidR="00E97427">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第二类筛选值</w:t>
            </w:r>
          </w:p>
        </w:tc>
        <w:tc>
          <w:tcPr>
            <w:tcW w:w="2684"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(GB36600-2018</w:t>
            </w:r>
            <w:r w:rsidR="00E97427">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第二类筛选值</w:t>
            </w:r>
          </w:p>
        </w:tc>
        <w:tc>
          <w:tcPr>
            <w:tcW w:w="1658" w:type="dxa"/>
            <w:vAlign w:val="center"/>
          </w:tcPr>
          <w:p w:rsidR="00D77EA2" w:rsidRDefault="00D77EA2" w:rsidP="00487CED">
            <w:pPr>
              <w:pStyle w:val="TableParagraph"/>
              <w:rPr>
                <w:rFonts w:ascii="Times New Roman" w:hAnsi="Times New Roman" w:cs="Times New Roman"/>
                <w:sz w:val="21"/>
                <w:szCs w:val="21"/>
              </w:rPr>
            </w:pPr>
            <w:r>
              <w:rPr>
                <w:rFonts w:ascii="Times New Roman" w:hAnsi="Times New Roman" w:cs="Times New Roman"/>
                <w:sz w:val="21"/>
                <w:szCs w:val="21"/>
              </w:rPr>
              <w:t>达标</w:t>
            </w:r>
          </w:p>
        </w:tc>
      </w:tr>
    </w:tbl>
    <w:p w:rsidR="00D77EA2" w:rsidRPr="00FA1F46" w:rsidRDefault="00D77EA2" w:rsidP="00D77EA2">
      <w:pPr>
        <w:ind w:firstLine="480"/>
      </w:pPr>
      <w:r w:rsidRPr="00FA1F46">
        <w:rPr>
          <w:rFonts w:hint="eastAsia"/>
        </w:rPr>
        <w:t>根据本评价环境影响预测章节内容，本项目在正常工况、各项环保措施正常运行时，本项目对各环境要素的影响较小，不会改变各环境要素的环境质量现状级别</w:t>
      </w:r>
      <w:r w:rsidRPr="00FA1F46">
        <w:rPr>
          <w:rFonts w:hint="eastAsia"/>
        </w:rPr>
        <w:t>/</w:t>
      </w:r>
      <w:r w:rsidRPr="00FA1F46">
        <w:rPr>
          <w:rFonts w:hint="eastAsia"/>
        </w:rPr>
        <w:t>类别。可见本项目符合环境质量底线相关要求。</w:t>
      </w:r>
    </w:p>
    <w:p w:rsidR="00D77EA2" w:rsidRDefault="00D77EA2" w:rsidP="00D77EA2">
      <w:pPr>
        <w:ind w:firstLine="480"/>
      </w:pPr>
      <w:r>
        <w:rPr>
          <w:rFonts w:hint="eastAsia"/>
        </w:rPr>
        <w:t>③资源利用上线</w:t>
      </w:r>
    </w:p>
    <w:p w:rsidR="00D77EA2" w:rsidRDefault="00D77EA2" w:rsidP="00D77EA2">
      <w:pPr>
        <w:ind w:firstLine="480"/>
      </w:pPr>
      <w:r>
        <w:rPr>
          <w:rFonts w:hint="eastAsia"/>
        </w:rPr>
        <w:t>本工程不属于污染类建设项目，为水利工程项目，根据测算，以黄粮镇为中心，包括峡口、昭君及古夫共</w:t>
      </w:r>
      <w:r>
        <w:rPr>
          <w:rFonts w:hint="eastAsia"/>
        </w:rPr>
        <w:t>4</w:t>
      </w:r>
      <w:r>
        <w:rPr>
          <w:rFonts w:hint="eastAsia"/>
        </w:rPr>
        <w:t>镇</w:t>
      </w:r>
      <w:r>
        <w:rPr>
          <w:rFonts w:hint="eastAsia"/>
        </w:rPr>
        <w:t>13</w:t>
      </w:r>
      <w:r>
        <w:rPr>
          <w:rFonts w:hint="eastAsia"/>
        </w:rPr>
        <w:t>个村的受水区，涉及国土总面积</w:t>
      </w:r>
      <w:r>
        <w:rPr>
          <w:rFonts w:hint="eastAsia"/>
        </w:rPr>
        <w:t>55.8km</w:t>
      </w:r>
      <w:r>
        <w:rPr>
          <w:rFonts w:hint="eastAsia"/>
        </w:rPr>
        <w:t>²，现状耕地总面积</w:t>
      </w:r>
      <w:r>
        <w:rPr>
          <w:rFonts w:hint="eastAsia"/>
        </w:rPr>
        <w:t>35446</w:t>
      </w:r>
      <w:r>
        <w:rPr>
          <w:rFonts w:hint="eastAsia"/>
        </w:rPr>
        <w:t>亩，总人口</w:t>
      </w:r>
      <w:r>
        <w:rPr>
          <w:rFonts w:hint="eastAsia"/>
        </w:rPr>
        <w:t>26089</w:t>
      </w:r>
      <w:r>
        <w:rPr>
          <w:rFonts w:hint="eastAsia"/>
        </w:rPr>
        <w:t>人。受水区绝大部分属于高岚河流域，因此，按高岚河流域片区计算，产水模数</w:t>
      </w:r>
      <w:r>
        <w:rPr>
          <w:rFonts w:hint="eastAsia"/>
        </w:rPr>
        <w:t>50.5</w:t>
      </w:r>
      <w:r>
        <w:rPr>
          <w:rFonts w:hint="eastAsia"/>
        </w:rPr>
        <w:t>×</w:t>
      </w:r>
      <w:r>
        <w:rPr>
          <w:rFonts w:hint="eastAsia"/>
        </w:rPr>
        <w:t>10</w:t>
      </w:r>
      <w:r>
        <w:rPr>
          <w:rFonts w:hint="eastAsia"/>
          <w:vertAlign w:val="superscript"/>
        </w:rPr>
        <w:t>4</w:t>
      </w:r>
      <w:r>
        <w:rPr>
          <w:rFonts w:hint="eastAsia"/>
        </w:rPr>
        <w:t>m</w:t>
      </w:r>
      <w:r>
        <w:rPr>
          <w:rFonts w:hint="eastAsia"/>
        </w:rPr>
        <w:t>³</w:t>
      </w:r>
      <w:r>
        <w:rPr>
          <w:rFonts w:hint="eastAsia"/>
        </w:rPr>
        <w:t>/km</w:t>
      </w:r>
      <w:r>
        <w:rPr>
          <w:rFonts w:hint="eastAsia"/>
        </w:rPr>
        <w:t>²</w:t>
      </w:r>
      <w:r>
        <w:rPr>
          <w:rFonts w:hint="eastAsia"/>
        </w:rPr>
        <w:t>.</w:t>
      </w:r>
      <w:r>
        <w:rPr>
          <w:rFonts w:hint="eastAsia"/>
        </w:rPr>
        <w:t>年，受水区水资源总量为</w:t>
      </w:r>
      <w:r>
        <w:rPr>
          <w:rFonts w:hint="eastAsia"/>
        </w:rPr>
        <w:t>2820</w:t>
      </w:r>
      <w:r>
        <w:rPr>
          <w:rFonts w:hint="eastAsia"/>
        </w:rPr>
        <w:t>万</w:t>
      </w:r>
      <w:r>
        <w:rPr>
          <w:rFonts w:hint="eastAsia"/>
        </w:rPr>
        <w:t>m</w:t>
      </w:r>
      <w:r>
        <w:rPr>
          <w:rFonts w:hint="eastAsia"/>
        </w:rPr>
        <w:t>³。因此，总体来说，水资源是充足的。</w:t>
      </w:r>
    </w:p>
    <w:p w:rsidR="00D77EA2" w:rsidRDefault="00D77EA2" w:rsidP="00D77EA2">
      <w:pPr>
        <w:ind w:firstLine="480"/>
      </w:pPr>
      <w:r>
        <w:rPr>
          <w:rFonts w:hint="eastAsia"/>
        </w:rPr>
        <w:t>由于水资源在时空分布上很不均匀。且区内地表土层较薄，出露地层为奥陶纪灰岩，地下岩溶遍布，天坑多，不能形成河流湖泊，土壤保水性较差，地表径流直接进入岩溶渗入深层地下，不能在地表形成稳定的地表径流，旱灾频繁发生；</w:t>
      </w:r>
      <w:r>
        <w:rPr>
          <w:rFonts w:hint="eastAsia"/>
        </w:rPr>
        <w:t xml:space="preserve"> </w:t>
      </w:r>
      <w:r>
        <w:rPr>
          <w:rFonts w:hint="eastAsia"/>
        </w:rPr>
        <w:t>因此，受水区缺水性质缺水属典型的工程性缺水。本项目的建设，引水至黄粮等乡镇受水区，可灌溉面积</w:t>
      </w:r>
      <w:r>
        <w:rPr>
          <w:rFonts w:hint="eastAsia"/>
        </w:rPr>
        <w:t>2.8</w:t>
      </w:r>
      <w:r>
        <w:rPr>
          <w:rFonts w:hint="eastAsia"/>
        </w:rPr>
        <w:t>万亩，将解决严重的缺水问题，使水资源得到充分利用。</w:t>
      </w:r>
    </w:p>
    <w:p w:rsidR="00D77EA2" w:rsidRDefault="00D77EA2" w:rsidP="00D77EA2">
      <w:pPr>
        <w:ind w:firstLine="480"/>
      </w:pPr>
      <w:r>
        <w:rPr>
          <w:rFonts w:hint="eastAsia"/>
        </w:rPr>
        <w:t>④环境准入负面清单</w:t>
      </w:r>
    </w:p>
    <w:p w:rsidR="00D77EA2" w:rsidRDefault="00D77EA2" w:rsidP="00D77EA2">
      <w:pPr>
        <w:ind w:firstLine="480"/>
      </w:pPr>
      <w:r>
        <w:rPr>
          <w:rFonts w:hint="eastAsia"/>
        </w:rPr>
        <w:t>本项目为非产污型生态保护项目，不在各类自然保护区、风景名胜区、生态功能保护区、生态敏感与脆弱区等环境敏感区范围内，因此本项目不在宜昌市环</w:t>
      </w:r>
      <w:r>
        <w:rPr>
          <w:rFonts w:hint="eastAsia"/>
        </w:rPr>
        <w:lastRenderedPageBreak/>
        <w:t>境准入负面清单名单内。</w:t>
      </w:r>
    </w:p>
    <w:p w:rsidR="00D77EA2" w:rsidRDefault="00D77EA2" w:rsidP="00D77EA2">
      <w:pPr>
        <w:pStyle w:val="3"/>
      </w:pPr>
      <w:r>
        <w:rPr>
          <w:rFonts w:hint="eastAsia"/>
        </w:rPr>
        <w:t>选址合理性分析</w:t>
      </w:r>
    </w:p>
    <w:p w:rsidR="00D77EA2" w:rsidRDefault="00D77EA2" w:rsidP="00D77EA2">
      <w:pPr>
        <w:pStyle w:val="4"/>
      </w:pPr>
      <w:r>
        <w:rPr>
          <w:rFonts w:hint="eastAsia"/>
        </w:rPr>
        <w:t>坝线比选</w:t>
      </w:r>
    </w:p>
    <w:p w:rsidR="00D77EA2" w:rsidRDefault="00D77EA2" w:rsidP="00D77EA2">
      <w:pPr>
        <w:ind w:firstLine="480"/>
      </w:pPr>
      <w:r>
        <w:rPr>
          <w:rFonts w:hint="eastAsia"/>
        </w:rPr>
        <w:t>本工程在可研阶段，在该段河道上选择两个坝址，即上坝址和下坝址。上坝址为青龙口坝址，下坝址为蚂蝗坡坝址，两个坝址相距</w:t>
      </w:r>
      <w:r>
        <w:rPr>
          <w:rFonts w:hint="eastAsia"/>
        </w:rPr>
        <w:t>550m</w:t>
      </w:r>
      <w:r>
        <w:rPr>
          <w:rFonts w:hint="eastAsia"/>
        </w:rPr>
        <w:t>，总体来说，上、下坝线没有本质的区别，防洪标准、工程规模、坝高、施工条件、淹没损失等均相同或相差很小；主要的区别在于地质地形条件和工程投资方面。</w:t>
      </w:r>
    </w:p>
    <w:p w:rsidR="00D77EA2" w:rsidRDefault="00D77EA2" w:rsidP="00D77EA2">
      <w:pPr>
        <w:ind w:firstLine="480"/>
        <w:sectPr w:rsidR="00D77EA2">
          <w:pgSz w:w="11906" w:h="16838"/>
          <w:pgMar w:top="1440" w:right="1800" w:bottom="1440" w:left="1800" w:header="851" w:footer="992" w:gutter="0"/>
          <w:cols w:space="425"/>
          <w:docGrid w:type="lines" w:linePitch="312"/>
        </w:sectPr>
      </w:pPr>
      <w:r>
        <w:rPr>
          <w:rFonts w:hint="eastAsia"/>
        </w:rPr>
        <w:t>工程地质条件对比见下表。</w:t>
      </w:r>
    </w:p>
    <w:p w:rsidR="00D77EA2" w:rsidRDefault="00D77EA2" w:rsidP="00D77EA2">
      <w:pPr>
        <w:pStyle w:val="a3"/>
      </w:pPr>
      <w:r>
        <w:rPr>
          <w:rFonts w:hint="eastAsia"/>
        </w:rPr>
        <w:lastRenderedPageBreak/>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97427">
        <w:rPr>
          <w:noProof/>
        </w:rPr>
        <w:t>1.4</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97427">
        <w:rPr>
          <w:noProof/>
        </w:rPr>
        <w:t>3</w:t>
      </w:r>
      <w:r>
        <w:fldChar w:fldCharType="end"/>
      </w:r>
      <w:r>
        <w:rPr>
          <w:rFonts w:hint="eastAsia"/>
        </w:rPr>
        <w:t xml:space="preserve">  </w:t>
      </w:r>
      <w:r>
        <w:rPr>
          <w:rFonts w:hint="eastAsia"/>
        </w:rPr>
        <w:t>上、下坝线工程地质条件对比</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5"/>
        <w:gridCol w:w="1419"/>
        <w:gridCol w:w="1243"/>
        <w:gridCol w:w="1419"/>
        <w:gridCol w:w="1595"/>
        <w:gridCol w:w="1243"/>
        <w:gridCol w:w="1064"/>
        <w:gridCol w:w="3570"/>
      </w:tblGrid>
      <w:tr w:rsidR="00D77EA2" w:rsidTr="00487CED">
        <w:trPr>
          <w:trHeight w:val="340"/>
        </w:trPr>
        <w:tc>
          <w:tcPr>
            <w:tcW w:w="864" w:type="pct"/>
            <w:vMerge w:val="restar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项目</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上坝线</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下坝线</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坝线工程地质条件比较</w:t>
            </w:r>
          </w:p>
        </w:tc>
      </w:tr>
      <w:tr w:rsidR="00D77EA2" w:rsidTr="00487CED">
        <w:trPr>
          <w:trHeight w:val="340"/>
        </w:trPr>
        <w:tc>
          <w:tcPr>
            <w:tcW w:w="864" w:type="pct"/>
            <w:vMerge/>
            <w:vAlign w:val="center"/>
          </w:tcPr>
          <w:p w:rsidR="00D77EA2" w:rsidRDefault="00D77EA2" w:rsidP="00487CED">
            <w:pPr>
              <w:widowControl/>
              <w:spacing w:line="240" w:lineRule="auto"/>
              <w:ind w:firstLineChars="0" w:firstLine="0"/>
              <w:jc w:val="center"/>
              <w:rPr>
                <w:rFonts w:eastAsiaTheme="minorEastAsia"/>
                <w:sz w:val="21"/>
              </w:rPr>
            </w:pP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左岸</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河床</w:t>
            </w: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右岸</w:t>
            </w:r>
          </w:p>
        </w:tc>
        <w:tc>
          <w:tcPr>
            <w:tcW w:w="57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左岸</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河床</w:t>
            </w:r>
          </w:p>
        </w:tc>
        <w:tc>
          <w:tcPr>
            <w:tcW w:w="38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右岸</w:t>
            </w:r>
          </w:p>
        </w:tc>
        <w:tc>
          <w:tcPr>
            <w:tcW w:w="1279" w:type="pct"/>
            <w:vMerge w:val="restar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下坝线较上坝线坝线长度短约</w:t>
            </w:r>
            <w:r>
              <w:rPr>
                <w:rFonts w:ascii="Times New Roman" w:eastAsiaTheme="minorEastAsia" w:hAnsi="Times New Roman" w:cs="Times New Roman"/>
                <w:sz w:val="21"/>
                <w:szCs w:val="21"/>
                <w:lang w:eastAsia="zh-CN"/>
              </w:rPr>
              <w:t xml:space="preserve"> 25m</w:t>
            </w:r>
            <w:r>
              <w:rPr>
                <w:rFonts w:ascii="Times New Roman" w:eastAsiaTheme="minorEastAsia" w:hAnsi="Times New Roman" w:cs="Times New Roman"/>
                <w:sz w:val="21"/>
                <w:szCs w:val="21"/>
                <w:lang w:eastAsia="zh-CN"/>
              </w:rPr>
              <w:t>。</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坝线长（</w:t>
            </w:r>
            <w:r>
              <w:rPr>
                <w:rFonts w:ascii="Times New Roman" w:eastAsiaTheme="minorEastAsia" w:hAnsi="Times New Roman" w:cs="Times New Roman"/>
                <w:sz w:val="21"/>
                <w:szCs w:val="21"/>
              </w:rPr>
              <w:t>m</w:t>
            </w:r>
            <w:r>
              <w:rPr>
                <w:rFonts w:ascii="Times New Roman" w:eastAsiaTheme="minorEastAsia" w:hAnsi="Times New Roman" w:cs="Times New Roman"/>
                <w:sz w:val="21"/>
                <w:szCs w:val="21"/>
              </w:rPr>
              <w:t>）</w:t>
            </w: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60</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65</w:t>
            </w:r>
          </w:p>
        </w:tc>
        <w:tc>
          <w:tcPr>
            <w:tcW w:w="57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50</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30</w:t>
            </w:r>
          </w:p>
        </w:tc>
        <w:tc>
          <w:tcPr>
            <w:tcW w:w="38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40</w:t>
            </w:r>
          </w:p>
        </w:tc>
        <w:tc>
          <w:tcPr>
            <w:tcW w:w="1279" w:type="pct"/>
            <w:vMerge/>
            <w:vAlign w:val="center"/>
          </w:tcPr>
          <w:p w:rsidR="00D77EA2" w:rsidRDefault="00D77EA2" w:rsidP="00487CED">
            <w:pPr>
              <w:widowControl/>
              <w:spacing w:line="240" w:lineRule="auto"/>
              <w:ind w:firstLineChars="0" w:firstLine="0"/>
              <w:jc w:val="center"/>
              <w:rPr>
                <w:rFonts w:eastAsiaTheme="minorEastAsia"/>
                <w:sz w:val="21"/>
              </w:rPr>
            </w:pP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谷坡坡角（度）</w:t>
            </w: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75°</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p>
        </w:tc>
        <w:tc>
          <w:tcPr>
            <w:tcW w:w="508"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55°</w:t>
            </w:r>
          </w:p>
        </w:tc>
        <w:tc>
          <w:tcPr>
            <w:tcW w:w="57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60°</w:t>
            </w:r>
          </w:p>
        </w:tc>
        <w:tc>
          <w:tcPr>
            <w:tcW w:w="445" w:type="pct"/>
            <w:vAlign w:val="center"/>
          </w:tcPr>
          <w:p w:rsidR="00D77EA2" w:rsidRDefault="00D77EA2" w:rsidP="00487CED">
            <w:pPr>
              <w:pStyle w:val="TableParagraph"/>
              <w:rPr>
                <w:rFonts w:ascii="Times New Roman" w:eastAsiaTheme="minorEastAsia" w:hAnsi="Times New Roman" w:cs="Times New Roman"/>
                <w:sz w:val="21"/>
                <w:szCs w:val="21"/>
              </w:rPr>
            </w:pPr>
          </w:p>
        </w:tc>
        <w:tc>
          <w:tcPr>
            <w:tcW w:w="381"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85°</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下坝线两岸陡峻；上坝线右岸孤峰发育，地形完整性较差。</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断层、岩体破碎带对坝基、坝肩稳定性的影响</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F6</w:t>
            </w:r>
            <w:r>
              <w:rPr>
                <w:rFonts w:ascii="Times New Roman" w:eastAsiaTheme="minorEastAsia" w:hAnsi="Times New Roman" w:cs="Times New Roman"/>
                <w:sz w:val="21"/>
                <w:szCs w:val="21"/>
                <w:lang w:eastAsia="zh-CN"/>
              </w:rPr>
              <w:t>、</w:t>
            </w:r>
            <w:r>
              <w:rPr>
                <w:rFonts w:ascii="Times New Roman" w:eastAsiaTheme="minorEastAsia" w:hAnsi="Times New Roman" w:cs="Times New Roman"/>
                <w:sz w:val="21"/>
                <w:szCs w:val="21"/>
                <w:lang w:eastAsia="zh-CN"/>
              </w:rPr>
              <w:t xml:space="preserve">F7 </w:t>
            </w:r>
            <w:r>
              <w:rPr>
                <w:rFonts w:ascii="Times New Roman" w:eastAsiaTheme="minorEastAsia" w:hAnsi="Times New Roman" w:cs="Times New Roman"/>
                <w:sz w:val="21"/>
                <w:szCs w:val="21"/>
                <w:lang w:eastAsia="zh-CN"/>
              </w:rPr>
              <w:t>断层斜穿坝线，左岸破碎带较宽，</w:t>
            </w:r>
            <w:r>
              <w:rPr>
                <w:rFonts w:ascii="Times New Roman" w:eastAsiaTheme="minorEastAsia" w:hAnsi="Times New Roman" w:cs="Times New Roman"/>
                <w:sz w:val="21"/>
                <w:szCs w:val="21"/>
                <w:lang w:eastAsia="zh-CN"/>
              </w:rPr>
              <w:t xml:space="preserve"> </w:t>
            </w:r>
            <w:r>
              <w:rPr>
                <w:rFonts w:ascii="Times New Roman" w:eastAsiaTheme="minorEastAsia" w:hAnsi="Times New Roman" w:cs="Times New Roman"/>
                <w:sz w:val="21"/>
                <w:szCs w:val="21"/>
                <w:lang w:eastAsia="zh-CN"/>
              </w:rPr>
              <w:t>右岸沿破碎带风化形成陡壁，对坝肩稳定有</w:t>
            </w:r>
            <w:r>
              <w:rPr>
                <w:rFonts w:ascii="Times New Roman" w:eastAsiaTheme="minorEastAsia" w:hAnsi="Times New Roman" w:cs="Times New Roman"/>
                <w:spacing w:val="-15"/>
                <w:sz w:val="21"/>
                <w:szCs w:val="21"/>
                <w:lang w:eastAsia="zh-CN"/>
              </w:rPr>
              <w:t>影响。断层穿越河床，需复核坝基抗滑稳定。</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F8 </w:t>
            </w:r>
            <w:r>
              <w:rPr>
                <w:rFonts w:ascii="Times New Roman" w:eastAsiaTheme="minorEastAsia" w:hAnsi="Times New Roman" w:cs="Times New Roman"/>
                <w:spacing w:val="-11"/>
                <w:sz w:val="21"/>
                <w:szCs w:val="21"/>
                <w:lang w:eastAsia="zh-CN"/>
              </w:rPr>
              <w:t>断层穿越河床，倾角近于直立，距轴线</w:t>
            </w:r>
            <w:r>
              <w:rPr>
                <w:rFonts w:ascii="Times New Roman" w:eastAsiaTheme="minorEastAsia" w:hAnsi="Times New Roman" w:cs="Times New Roman"/>
                <w:sz w:val="21"/>
                <w:szCs w:val="21"/>
                <w:lang w:eastAsia="zh-CN"/>
              </w:rPr>
              <w:t>较远，对坝基抗滑稳定影响较小。两岸构造不发育，坝肩较稳定。</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下坝线坝基、坝肩稳定性总体比上坝线略强</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节理裂隙特征、结构面组合对坝基、坝肩稳定性影响</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右坝肩存在三组优势结构面，具一定延伸性，结构面的组合对坝肩边坡稳定不利。</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pacing w:val="-13"/>
                <w:sz w:val="21"/>
                <w:szCs w:val="21"/>
                <w:lang w:eastAsia="zh-CN"/>
              </w:rPr>
              <w:t>左岸裂隙短小、密集，对边坡稳定有影响。</w:t>
            </w:r>
          </w:p>
        </w:tc>
        <w:tc>
          <w:tcPr>
            <w:tcW w:w="1279" w:type="pct"/>
            <w:vMerge w:val="restar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上坝线右岸地形完整性差，岩体风化较强，坝肩总体开挖量较下坝线大。</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岩体风化带厚度及坝肩开挖</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微风化深</w:t>
            </w:r>
            <w:r>
              <w:rPr>
                <w:rFonts w:ascii="Times New Roman" w:eastAsiaTheme="minorEastAsia" w:hAnsi="Times New Roman" w:cs="Times New Roman"/>
                <w:sz w:val="21"/>
                <w:szCs w:val="21"/>
                <w:lang w:eastAsia="zh-CN"/>
              </w:rPr>
              <w:t xml:space="preserve"> 24.0~31.0m </w:t>
            </w:r>
            <w:r>
              <w:rPr>
                <w:rFonts w:ascii="Times New Roman" w:eastAsiaTheme="minorEastAsia" w:hAnsi="Times New Roman" w:cs="Times New Roman"/>
                <w:sz w:val="21"/>
                <w:szCs w:val="21"/>
                <w:lang w:eastAsia="zh-CN"/>
              </w:rPr>
              <w:t>坝肩水平开挖最大深左岸</w:t>
            </w:r>
            <w:r>
              <w:rPr>
                <w:rFonts w:ascii="Times New Roman" w:eastAsiaTheme="minorEastAsia" w:hAnsi="Times New Roman" w:cs="Times New Roman"/>
                <w:sz w:val="21"/>
                <w:szCs w:val="21"/>
                <w:lang w:eastAsia="zh-CN"/>
              </w:rPr>
              <w:t xml:space="preserve"> 25m</w:t>
            </w:r>
            <w:r>
              <w:rPr>
                <w:rFonts w:ascii="Times New Roman" w:eastAsiaTheme="minorEastAsia" w:hAnsi="Times New Roman" w:cs="Times New Roman"/>
                <w:sz w:val="21"/>
                <w:szCs w:val="21"/>
                <w:lang w:eastAsia="zh-CN"/>
              </w:rPr>
              <w:t>，右岸</w:t>
            </w:r>
            <w:r>
              <w:rPr>
                <w:rFonts w:ascii="Times New Roman" w:eastAsiaTheme="minorEastAsia" w:hAnsi="Times New Roman" w:cs="Times New Roman"/>
                <w:sz w:val="21"/>
                <w:szCs w:val="21"/>
                <w:lang w:eastAsia="zh-CN"/>
              </w:rPr>
              <w:t xml:space="preserve"> 32m</w:t>
            </w:r>
            <w:r>
              <w:rPr>
                <w:rFonts w:ascii="Times New Roman" w:eastAsiaTheme="minorEastAsia" w:hAnsi="Times New Roman" w:cs="Times New Roman"/>
                <w:sz w:val="21"/>
                <w:szCs w:val="21"/>
                <w:lang w:eastAsia="zh-CN"/>
              </w:rPr>
              <w:t>。</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pacing w:val="-12"/>
                <w:sz w:val="21"/>
                <w:szCs w:val="21"/>
                <w:lang w:eastAsia="zh-CN"/>
              </w:rPr>
              <w:t>微风化深</w:t>
            </w:r>
            <w:r>
              <w:rPr>
                <w:rFonts w:ascii="Times New Roman" w:eastAsiaTheme="minorEastAsia" w:hAnsi="Times New Roman" w:cs="Times New Roman"/>
                <w:spacing w:val="-12"/>
                <w:sz w:val="21"/>
                <w:szCs w:val="21"/>
                <w:lang w:eastAsia="zh-CN"/>
              </w:rPr>
              <w:t xml:space="preserve"> </w:t>
            </w:r>
            <w:r>
              <w:rPr>
                <w:rFonts w:ascii="Times New Roman" w:eastAsiaTheme="minorEastAsia" w:hAnsi="Times New Roman" w:cs="Times New Roman"/>
                <w:sz w:val="21"/>
                <w:szCs w:val="21"/>
                <w:lang w:eastAsia="zh-CN"/>
              </w:rPr>
              <w:t>13.0~13.5m</w:t>
            </w:r>
            <w:r>
              <w:rPr>
                <w:rFonts w:ascii="Times New Roman" w:eastAsiaTheme="minorEastAsia" w:hAnsi="Times New Roman" w:cs="Times New Roman"/>
                <w:sz w:val="21"/>
                <w:szCs w:val="21"/>
                <w:lang w:eastAsia="zh-CN"/>
              </w:rPr>
              <w:t>，坝肩开挖最大深：左岸</w:t>
            </w:r>
            <w:r>
              <w:rPr>
                <w:rFonts w:ascii="Times New Roman" w:eastAsiaTheme="minorEastAsia" w:hAnsi="Times New Roman" w:cs="Times New Roman"/>
                <w:sz w:val="21"/>
                <w:szCs w:val="21"/>
                <w:lang w:eastAsia="zh-CN"/>
              </w:rPr>
              <w:t xml:space="preserve"> 13.5m</w:t>
            </w:r>
            <w:r>
              <w:rPr>
                <w:rFonts w:ascii="Times New Roman" w:eastAsiaTheme="minorEastAsia" w:hAnsi="Times New Roman" w:cs="Times New Roman"/>
                <w:sz w:val="21"/>
                <w:szCs w:val="21"/>
                <w:lang w:eastAsia="zh-CN"/>
              </w:rPr>
              <w:t>，右岸</w:t>
            </w:r>
            <w:r>
              <w:rPr>
                <w:rFonts w:ascii="Times New Roman" w:eastAsiaTheme="minorEastAsia" w:hAnsi="Times New Roman" w:cs="Times New Roman"/>
                <w:sz w:val="21"/>
                <w:szCs w:val="21"/>
                <w:lang w:eastAsia="zh-CN"/>
              </w:rPr>
              <w:t xml:space="preserve"> 13.0m</w:t>
            </w:r>
            <w:r>
              <w:rPr>
                <w:rFonts w:ascii="Times New Roman" w:eastAsiaTheme="minorEastAsia" w:hAnsi="Times New Roman" w:cs="Times New Roman"/>
                <w:sz w:val="21"/>
                <w:szCs w:val="21"/>
                <w:lang w:eastAsia="zh-CN"/>
              </w:rPr>
              <w:t>。</w:t>
            </w:r>
          </w:p>
        </w:tc>
        <w:tc>
          <w:tcPr>
            <w:tcW w:w="1279" w:type="pct"/>
            <w:vMerge/>
            <w:vAlign w:val="center"/>
          </w:tcPr>
          <w:p w:rsidR="00D77EA2" w:rsidRDefault="00D77EA2" w:rsidP="00487CED">
            <w:pPr>
              <w:widowControl/>
              <w:spacing w:line="240" w:lineRule="auto"/>
              <w:ind w:firstLineChars="0" w:firstLine="0"/>
              <w:jc w:val="center"/>
              <w:rPr>
                <w:rFonts w:eastAsiaTheme="minorEastAsia"/>
                <w:sz w:val="21"/>
              </w:rPr>
            </w:pP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河床覆盖层厚度及坝基开挖深度</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清除砂卵石层，基岩开挖</w:t>
            </w:r>
            <w:r>
              <w:rPr>
                <w:rFonts w:ascii="Times New Roman" w:eastAsiaTheme="minorEastAsia" w:hAnsi="Times New Roman" w:cs="Times New Roman"/>
                <w:sz w:val="21"/>
                <w:szCs w:val="21"/>
                <w:lang w:eastAsia="zh-CN"/>
              </w:rPr>
              <w:t xml:space="preserve"> 3~5m</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清除砂卵石层，基岩开挖</w:t>
            </w:r>
            <w:r>
              <w:rPr>
                <w:rFonts w:ascii="Times New Roman" w:eastAsiaTheme="minorEastAsia" w:hAnsi="Times New Roman" w:cs="Times New Roman"/>
                <w:sz w:val="21"/>
                <w:szCs w:val="21"/>
                <w:lang w:eastAsia="zh-CN"/>
              </w:rPr>
              <w:t xml:space="preserve"> 5~6m</w:t>
            </w:r>
          </w:p>
        </w:tc>
        <w:tc>
          <w:tcPr>
            <w:tcW w:w="1279" w:type="pct"/>
            <w:vMerge/>
            <w:vAlign w:val="center"/>
          </w:tcPr>
          <w:p w:rsidR="00D77EA2" w:rsidRDefault="00D77EA2" w:rsidP="00487CED">
            <w:pPr>
              <w:widowControl/>
              <w:spacing w:line="240" w:lineRule="auto"/>
              <w:ind w:firstLineChars="0" w:firstLine="0"/>
              <w:jc w:val="center"/>
              <w:rPr>
                <w:rFonts w:eastAsiaTheme="minorEastAsia"/>
                <w:sz w:val="21"/>
              </w:rPr>
            </w:pP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岩体透水性及防渗处理深度</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岩体透水性较弱，防渗局部最大深度</w:t>
            </w:r>
            <w:r>
              <w:rPr>
                <w:rFonts w:ascii="Times New Roman" w:eastAsiaTheme="minorEastAsia" w:hAnsi="Times New Roman" w:cs="Times New Roman"/>
                <w:sz w:val="21"/>
                <w:szCs w:val="21"/>
                <w:lang w:eastAsia="zh-CN"/>
              </w:rPr>
              <w:t xml:space="preserve"> 65.0m</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防渗帷幕最大深度</w:t>
            </w:r>
            <w:r>
              <w:rPr>
                <w:rFonts w:ascii="Times New Roman" w:eastAsiaTheme="minorEastAsia" w:hAnsi="Times New Roman" w:cs="Times New Roman"/>
                <w:sz w:val="21"/>
                <w:szCs w:val="21"/>
              </w:rPr>
              <w:t xml:space="preserve"> 40m</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上坝线右岸岩体破碎，裂隙发育。灌浆工作量相对较大。</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坝基岩体强度</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pacing w:val="-7"/>
                <w:sz w:val="21"/>
                <w:szCs w:val="21"/>
                <w:lang w:eastAsia="zh-CN"/>
              </w:rPr>
              <w:t>岩石单轴抗压强度</w:t>
            </w:r>
            <w:r>
              <w:rPr>
                <w:rFonts w:ascii="Times New Roman" w:eastAsiaTheme="minorEastAsia" w:hAnsi="Times New Roman" w:cs="Times New Roman"/>
                <w:spacing w:val="-7"/>
                <w:sz w:val="21"/>
                <w:szCs w:val="21"/>
                <w:lang w:eastAsia="zh-CN"/>
              </w:rPr>
              <w:t xml:space="preserve"> </w:t>
            </w:r>
            <w:r>
              <w:rPr>
                <w:rFonts w:ascii="Times New Roman" w:eastAsiaTheme="minorEastAsia" w:hAnsi="Times New Roman" w:cs="Times New Roman"/>
                <w:sz w:val="21"/>
                <w:szCs w:val="21"/>
                <w:lang w:eastAsia="zh-CN"/>
              </w:rPr>
              <w:t>F=50Mpa</w:t>
            </w:r>
            <w:r>
              <w:rPr>
                <w:rFonts w:ascii="Times New Roman" w:eastAsiaTheme="minorEastAsia" w:hAnsi="Times New Roman" w:cs="Times New Roman"/>
                <w:spacing w:val="-3"/>
                <w:sz w:val="21"/>
                <w:szCs w:val="21"/>
                <w:lang w:eastAsia="zh-CN"/>
              </w:rPr>
              <w:t>，弹性模量</w:t>
            </w:r>
            <w:r>
              <w:rPr>
                <w:rFonts w:ascii="Times New Roman" w:eastAsiaTheme="minorEastAsia" w:hAnsi="Times New Roman" w:cs="Times New Roman"/>
                <w:sz w:val="21"/>
                <w:szCs w:val="21"/>
                <w:lang w:eastAsia="zh-CN"/>
              </w:rPr>
              <w:t>E=18GPa</w:t>
            </w:r>
            <w:r>
              <w:rPr>
                <w:rFonts w:ascii="Times New Roman" w:eastAsiaTheme="minorEastAsia" w:hAnsi="Times New Roman" w:cs="Times New Roman"/>
                <w:sz w:val="21"/>
                <w:szCs w:val="21"/>
                <w:lang w:eastAsia="zh-CN"/>
              </w:rPr>
              <w:t>，混凝土与岩石的抗剪断强度</w:t>
            </w:r>
            <w:r>
              <w:rPr>
                <w:rFonts w:ascii="Times New Roman" w:eastAsiaTheme="minorEastAsia" w:hAnsi="Times New Roman" w:cs="Times New Roman"/>
                <w:sz w:val="21"/>
                <w:szCs w:val="21"/>
                <w:lang w:eastAsia="zh-CN"/>
              </w:rPr>
              <w:t>f=0.95</w:t>
            </w:r>
            <w:r>
              <w:rPr>
                <w:rFonts w:ascii="Times New Roman" w:eastAsiaTheme="minorEastAsia" w:hAnsi="Times New Roman" w:cs="Times New Roman"/>
                <w:sz w:val="21"/>
                <w:szCs w:val="21"/>
                <w:lang w:eastAsia="zh-CN"/>
              </w:rPr>
              <w:t>。</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左岸高程</w:t>
            </w:r>
            <w:r>
              <w:rPr>
                <w:rFonts w:ascii="Times New Roman" w:eastAsiaTheme="minorEastAsia" w:hAnsi="Times New Roman" w:cs="Times New Roman"/>
                <w:sz w:val="21"/>
                <w:szCs w:val="21"/>
                <w:lang w:eastAsia="zh-CN"/>
              </w:rPr>
              <w:t xml:space="preserve"> 1045m</w:t>
            </w:r>
            <w:r>
              <w:rPr>
                <w:rFonts w:ascii="Times New Roman" w:eastAsiaTheme="minorEastAsia" w:hAnsi="Times New Roman" w:cs="Times New Roman"/>
                <w:sz w:val="21"/>
                <w:szCs w:val="21"/>
                <w:lang w:eastAsia="zh-CN"/>
              </w:rPr>
              <w:t>以上岩石</w:t>
            </w:r>
            <w:r>
              <w:rPr>
                <w:rFonts w:ascii="Times New Roman" w:eastAsiaTheme="minorEastAsia" w:hAnsi="Times New Roman" w:cs="Times New Roman"/>
                <w:sz w:val="21"/>
                <w:szCs w:val="21"/>
                <w:lang w:eastAsia="zh-CN"/>
              </w:rPr>
              <w:t xml:space="preserve"> RQD </w:t>
            </w:r>
            <w:r>
              <w:rPr>
                <w:rFonts w:ascii="Times New Roman" w:eastAsiaTheme="minorEastAsia" w:hAnsi="Times New Roman" w:cs="Times New Roman"/>
                <w:sz w:val="21"/>
                <w:szCs w:val="21"/>
                <w:lang w:eastAsia="zh-CN"/>
              </w:rPr>
              <w:t>小于</w:t>
            </w:r>
            <w:r>
              <w:rPr>
                <w:rFonts w:ascii="Times New Roman" w:eastAsiaTheme="minorEastAsia" w:hAnsi="Times New Roman" w:cs="Times New Roman"/>
                <w:sz w:val="21"/>
                <w:szCs w:val="21"/>
                <w:lang w:eastAsia="zh-CN"/>
              </w:rPr>
              <w:t>30%</w:t>
            </w:r>
            <w:r>
              <w:rPr>
                <w:rFonts w:ascii="Times New Roman" w:eastAsiaTheme="minorEastAsia" w:hAnsi="Times New Roman" w:cs="Times New Roman"/>
                <w:sz w:val="21"/>
                <w:szCs w:val="21"/>
                <w:lang w:eastAsia="zh-CN"/>
              </w:rPr>
              <w:t>，完整性略差。新鲜岩体力学性质同上坝线。</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上、下坝线岩体强度一致</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天然建筑材料</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块石料质量较好，储量丰富，距坝区较近。</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块石料质量较好，储量丰富，距坝区近。</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上坝线与下坝线块石料质量均较好。但上坝线开采成本略高。</w:t>
            </w:r>
          </w:p>
        </w:tc>
      </w:tr>
      <w:tr w:rsidR="00D77EA2" w:rsidTr="00487CED">
        <w:trPr>
          <w:trHeight w:val="340"/>
        </w:trPr>
        <w:tc>
          <w:tcPr>
            <w:tcW w:w="864" w:type="pct"/>
            <w:vAlign w:val="center"/>
          </w:tcPr>
          <w:p w:rsidR="00D77EA2" w:rsidRDefault="00D77EA2" w:rsidP="00487CED">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工程布置</w:t>
            </w:r>
          </w:p>
        </w:tc>
        <w:tc>
          <w:tcPr>
            <w:tcW w:w="1461"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施工场地和其附属建筑物布置较困难</w:t>
            </w:r>
          </w:p>
        </w:tc>
        <w:tc>
          <w:tcPr>
            <w:tcW w:w="1397" w:type="pct"/>
            <w:gridSpan w:val="3"/>
            <w:vAlign w:val="center"/>
          </w:tcPr>
          <w:p w:rsidR="00D77EA2" w:rsidRDefault="00D77EA2" w:rsidP="00487CED">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施工场地和其附属建筑物布置较好</w:t>
            </w:r>
          </w:p>
        </w:tc>
        <w:tc>
          <w:tcPr>
            <w:tcW w:w="1279" w:type="pct"/>
            <w:vAlign w:val="center"/>
          </w:tcPr>
          <w:p w:rsidR="00D77EA2" w:rsidRDefault="00D77EA2" w:rsidP="00487CED">
            <w:pPr>
              <w:pStyle w:val="TableParagraph"/>
              <w:rPr>
                <w:rFonts w:ascii="Times New Roman" w:eastAsiaTheme="minorEastAsia" w:hAnsi="Times New Roman" w:cs="Times New Roman"/>
                <w:sz w:val="21"/>
                <w:szCs w:val="21"/>
                <w:lang w:eastAsia="zh-CN"/>
              </w:rPr>
            </w:pPr>
          </w:p>
        </w:tc>
      </w:tr>
    </w:tbl>
    <w:p w:rsidR="00D77EA2" w:rsidRDefault="00D77EA2" w:rsidP="00D77EA2">
      <w:pPr>
        <w:pStyle w:val="a3"/>
        <w:sectPr w:rsidR="00D77EA2">
          <w:pgSz w:w="16838" w:h="11906" w:orient="landscape"/>
          <w:pgMar w:top="1800" w:right="1440" w:bottom="1800" w:left="1440" w:header="851" w:footer="992" w:gutter="0"/>
          <w:cols w:space="425"/>
          <w:docGrid w:type="lines" w:linePitch="326"/>
        </w:sectPr>
      </w:pPr>
    </w:p>
    <w:p w:rsidR="00D77EA2" w:rsidRDefault="00D77EA2" w:rsidP="00D77EA2">
      <w:pPr>
        <w:ind w:firstLine="480"/>
      </w:pPr>
      <w:r>
        <w:rPr>
          <w:rFonts w:hint="eastAsia"/>
        </w:rPr>
        <w:lastRenderedPageBreak/>
        <w:t>根据上表，综合考虑区域地质条件以及工程投资，项目最终确定上坝线坝址，即蚂蝗坡坝址。</w:t>
      </w:r>
    </w:p>
    <w:p w:rsidR="00D77EA2" w:rsidRDefault="00D77EA2" w:rsidP="00D77EA2">
      <w:pPr>
        <w:pStyle w:val="4"/>
      </w:pPr>
      <w:r>
        <w:rPr>
          <w:rFonts w:hint="eastAsia"/>
        </w:rPr>
        <w:t>工程料场选址合理性分析</w:t>
      </w:r>
    </w:p>
    <w:p w:rsidR="00D77EA2" w:rsidRDefault="00D77EA2" w:rsidP="00D77EA2">
      <w:pPr>
        <w:ind w:firstLine="480"/>
      </w:pPr>
      <w:r>
        <w:rPr>
          <w:rFonts w:hint="eastAsia"/>
        </w:rPr>
        <w:t>本项目共布设了</w:t>
      </w:r>
      <w:r>
        <w:rPr>
          <w:rFonts w:hint="eastAsia"/>
        </w:rPr>
        <w:t>2</w:t>
      </w:r>
      <w:r>
        <w:rPr>
          <w:rFonts w:hint="eastAsia"/>
        </w:rPr>
        <w:t>处料场，石料场及土料场各</w:t>
      </w:r>
      <w:r>
        <w:rPr>
          <w:rFonts w:hint="eastAsia"/>
        </w:rPr>
        <w:t>1</w:t>
      </w:r>
      <w:r>
        <w:rPr>
          <w:rFonts w:hint="eastAsia"/>
        </w:rPr>
        <w:t>处。</w:t>
      </w:r>
    </w:p>
    <w:p w:rsidR="00D77EA2" w:rsidRDefault="00D77EA2" w:rsidP="00D77EA2">
      <w:pPr>
        <w:ind w:firstLine="480"/>
      </w:pPr>
      <w:r>
        <w:rPr>
          <w:rFonts w:hint="eastAsia"/>
        </w:rPr>
        <w:t>本工程规划一处石料场，该料场位于下坝址下游约</w:t>
      </w:r>
      <w:r>
        <w:rPr>
          <w:rFonts w:hint="eastAsia"/>
        </w:rPr>
        <w:t>0.60km</w:t>
      </w:r>
      <w:r>
        <w:rPr>
          <w:rFonts w:hint="eastAsia"/>
        </w:rPr>
        <w:t>，运距较短，交通较便利。料场所在山坡现为林区，石质坚硬，山体稳定，无强风化层分布，不属于崩塌和滑坡危险区、泥石流易发区，不会因为开采而诱发泥石流、崩塌等地质灾害，</w:t>
      </w:r>
      <w:r>
        <w:rPr>
          <w:rFonts w:hint="eastAsia"/>
        </w:rPr>
        <w:t xml:space="preserve"> </w:t>
      </w:r>
      <w:r>
        <w:rPr>
          <w:rFonts w:hint="eastAsia"/>
        </w:rPr>
        <w:t>石料场采取必要的拦挡和排水措施等措施，以及施工期的临时防护措施，可有效减少开采造成的水土流失，并在开采完毕后尽量回填表土，能有利于开采面植被的恢复，杜绝地表裸露而对生态环境造成恶化。</w:t>
      </w:r>
    </w:p>
    <w:p w:rsidR="00D77EA2" w:rsidRDefault="00D77EA2" w:rsidP="00D77EA2">
      <w:pPr>
        <w:ind w:firstLine="480"/>
      </w:pPr>
      <w:r>
        <w:rPr>
          <w:rFonts w:hint="eastAsia"/>
        </w:rPr>
        <w:t>主体工程设计确定土料场位于库区下游，距大坝约</w:t>
      </w:r>
      <w:r>
        <w:rPr>
          <w:rFonts w:hint="eastAsia"/>
        </w:rPr>
        <w:t>0.70km</w:t>
      </w:r>
      <w:r>
        <w:rPr>
          <w:rFonts w:hint="eastAsia"/>
        </w:rPr>
        <w:t>，料场岩性为粘土、壤土夹碎、块石，分布高程上游料场</w:t>
      </w:r>
      <w:r>
        <w:rPr>
          <w:rFonts w:hint="eastAsia"/>
        </w:rPr>
        <w:t xml:space="preserve"> 1100m </w:t>
      </w:r>
      <w:r>
        <w:rPr>
          <w:rFonts w:hint="eastAsia"/>
        </w:rPr>
        <w:t>以上，土料场选址不属于崩塌和滑坡危险区、泥石流易发区，不会因为开采而诱发泥石流、崩塌等地质灾害。土料场在开采的过程中要做好拦挡、排水及其他临时防护措施，有效减少开采造成的水土流失，并在开采完后回覆表土进行复耕或植被恢复。</w:t>
      </w:r>
    </w:p>
    <w:p w:rsidR="00D77EA2" w:rsidRDefault="00D77EA2" w:rsidP="00D77EA2">
      <w:pPr>
        <w:ind w:firstLine="480"/>
      </w:pPr>
      <w:r>
        <w:rPr>
          <w:rFonts w:hint="eastAsia"/>
        </w:rPr>
        <w:t>工程土、石料场地质条件稳定，开采容易，利于防护及恢复，且两处料场交通条件均比较便利，故选址基本合理。</w:t>
      </w:r>
    </w:p>
    <w:p w:rsidR="00D77EA2" w:rsidRDefault="00D77EA2" w:rsidP="00D77EA2">
      <w:pPr>
        <w:pStyle w:val="4"/>
      </w:pPr>
      <w:r>
        <w:rPr>
          <w:rFonts w:hint="eastAsia"/>
        </w:rPr>
        <w:t>弃渣场选址的合理性分析</w:t>
      </w:r>
    </w:p>
    <w:p w:rsidR="00D77EA2" w:rsidRDefault="00D77EA2" w:rsidP="00D77EA2">
      <w:pPr>
        <w:ind w:firstLine="480"/>
      </w:pPr>
      <w:r>
        <w:rPr>
          <w:rFonts w:hint="eastAsia"/>
        </w:rPr>
        <w:t>在主体设计中充分考虑填、挖方平衡问题，采取横向、纵向调运方式，尽量尽可能地避免、减少弃方或借方。本工程共产生永久性弃渣</w:t>
      </w:r>
      <w:r>
        <w:rPr>
          <w:rFonts w:hint="eastAsia"/>
        </w:rPr>
        <w:t>27.09</w:t>
      </w:r>
      <w:r>
        <w:rPr>
          <w:rFonts w:hint="eastAsia"/>
        </w:rPr>
        <w:t>万</w:t>
      </w:r>
      <w:r>
        <w:rPr>
          <w:rFonts w:hint="eastAsia"/>
        </w:rPr>
        <w:t>m</w:t>
      </w:r>
      <w:r>
        <w:rPr>
          <w:rFonts w:hint="eastAsia"/>
        </w:rPr>
        <w:t>³，经过现场踏勘，综合考虑后，本项目共布设</w:t>
      </w:r>
      <w:r>
        <w:rPr>
          <w:rFonts w:hint="eastAsia"/>
        </w:rPr>
        <w:t>13</w:t>
      </w:r>
      <w:r>
        <w:rPr>
          <w:rFonts w:hint="eastAsia"/>
        </w:rPr>
        <w:t>处弃渣场。</w:t>
      </w:r>
    </w:p>
    <w:p w:rsidR="00D77EA2" w:rsidRDefault="00D77EA2" w:rsidP="00D77EA2">
      <w:pPr>
        <w:ind w:firstLine="480"/>
      </w:pPr>
      <w:r>
        <w:rPr>
          <w:rFonts w:hint="eastAsia"/>
        </w:rPr>
        <w:t>（</w:t>
      </w:r>
      <w:r>
        <w:rPr>
          <w:rFonts w:hint="eastAsia"/>
        </w:rPr>
        <w:t>1</w:t>
      </w:r>
      <w:r>
        <w:rPr>
          <w:rFonts w:hint="eastAsia"/>
        </w:rPr>
        <w:t>）通道路便捷</w:t>
      </w:r>
    </w:p>
    <w:p w:rsidR="00D77EA2" w:rsidRDefault="00D77EA2" w:rsidP="00D77EA2">
      <w:pPr>
        <w:ind w:firstLine="480"/>
      </w:pPr>
      <w:r>
        <w:rPr>
          <w:rFonts w:hint="eastAsia"/>
        </w:rPr>
        <w:t>主体设计的临时道路均可以到达各个弃渣场。</w:t>
      </w:r>
    </w:p>
    <w:p w:rsidR="00D77EA2" w:rsidRDefault="00D77EA2" w:rsidP="00D77EA2">
      <w:pPr>
        <w:ind w:firstLine="480"/>
      </w:pPr>
      <w:r>
        <w:rPr>
          <w:rFonts w:hint="eastAsia"/>
        </w:rPr>
        <w:t>（</w:t>
      </w:r>
      <w:r>
        <w:rPr>
          <w:rFonts w:hint="eastAsia"/>
        </w:rPr>
        <w:t>2</w:t>
      </w:r>
      <w:r>
        <w:rPr>
          <w:rFonts w:hint="eastAsia"/>
        </w:rPr>
        <w:t>）弃渣对过洪影响较小</w:t>
      </w:r>
    </w:p>
    <w:p w:rsidR="00D77EA2" w:rsidRDefault="00D77EA2" w:rsidP="00D77EA2">
      <w:pPr>
        <w:ind w:firstLine="480"/>
      </w:pPr>
      <w:r>
        <w:rPr>
          <w:rFonts w:hint="eastAsia"/>
        </w:rPr>
        <w:t>各个弃渣场汇水面积均较小，且堆渣量及堆渣高度均不打，渣场底部高程高于青龙口和洪水位，渣场不会受到洪水影响，可以通过在弃渣场周边修建截排水沟将来水导入河道，对沟道的过洪基本没有影响。</w:t>
      </w:r>
    </w:p>
    <w:p w:rsidR="00D77EA2" w:rsidRDefault="00D77EA2" w:rsidP="00D77EA2">
      <w:pPr>
        <w:ind w:firstLine="480"/>
      </w:pPr>
      <w:r>
        <w:rPr>
          <w:rFonts w:hint="eastAsia"/>
        </w:rPr>
        <w:t>（</w:t>
      </w:r>
      <w:r>
        <w:rPr>
          <w:rFonts w:hint="eastAsia"/>
        </w:rPr>
        <w:t>3</w:t>
      </w:r>
      <w:r>
        <w:rPr>
          <w:rFonts w:hint="eastAsia"/>
        </w:rPr>
        <w:t>）位置偏僻</w:t>
      </w:r>
    </w:p>
    <w:p w:rsidR="00D77EA2" w:rsidRDefault="00D77EA2" w:rsidP="00D77EA2">
      <w:pPr>
        <w:ind w:firstLine="480"/>
      </w:pPr>
      <w:r>
        <w:rPr>
          <w:rFonts w:hint="eastAsia"/>
        </w:rPr>
        <w:t>本工程弃渣场所在处，周边没有居民点、工业企业及公共设施，对人民的生</w:t>
      </w:r>
      <w:r>
        <w:rPr>
          <w:rFonts w:hint="eastAsia"/>
        </w:rPr>
        <w:lastRenderedPageBreak/>
        <w:t>活生产不会产生影响。</w:t>
      </w:r>
    </w:p>
    <w:p w:rsidR="00D77EA2" w:rsidRDefault="00D77EA2" w:rsidP="00D77EA2">
      <w:pPr>
        <w:ind w:firstLine="480"/>
      </w:pPr>
      <w:r>
        <w:rPr>
          <w:rFonts w:hint="eastAsia"/>
        </w:rPr>
        <w:t>从以上分析与评价看，本工程选择的</w:t>
      </w:r>
      <w:r>
        <w:rPr>
          <w:rFonts w:hint="eastAsia"/>
        </w:rPr>
        <w:t>13</w:t>
      </w:r>
      <w:r>
        <w:rPr>
          <w:rFonts w:hint="eastAsia"/>
        </w:rPr>
        <w:t>处弃渣场均比较合理，一：道路便利，运距较短，二：占地类型为其他草地及有林地，没有占用旱地，三：没有对环境造成不利影响，四：工程为点状工程，将进行集中堆渣，减少弃渣场占地面积；五、弃渣场的容积较大，六、弃渣场周边汇水面积较小，不影响过洪。</w:t>
      </w:r>
    </w:p>
    <w:p w:rsidR="00D77EA2" w:rsidRDefault="00D77EA2" w:rsidP="00D77EA2">
      <w:pPr>
        <w:ind w:firstLine="480"/>
      </w:pPr>
      <w:r>
        <w:rPr>
          <w:rFonts w:hint="eastAsia"/>
        </w:rPr>
        <w:t>从以上分析得出：本工程选择的</w:t>
      </w:r>
      <w:r>
        <w:rPr>
          <w:rFonts w:hint="eastAsia"/>
        </w:rPr>
        <w:t>13</w:t>
      </w:r>
      <w:r>
        <w:rPr>
          <w:rFonts w:hint="eastAsia"/>
        </w:rPr>
        <w:t>处弃渣场是比较合理、科学的，具有可操作性。</w:t>
      </w:r>
    </w:p>
    <w:p w:rsidR="00D77EA2" w:rsidRDefault="00D77EA2" w:rsidP="00D77EA2">
      <w:pPr>
        <w:pStyle w:val="4"/>
      </w:pPr>
      <w:r>
        <w:rPr>
          <w:rFonts w:hint="eastAsia"/>
        </w:rPr>
        <w:t>输水线路合理性分析</w:t>
      </w:r>
    </w:p>
    <w:p w:rsidR="00D77EA2" w:rsidRDefault="00D77EA2" w:rsidP="00D77EA2">
      <w:pPr>
        <w:ind w:firstLine="480"/>
      </w:pPr>
      <w:r>
        <w:rPr>
          <w:rFonts w:hint="eastAsia"/>
        </w:rPr>
        <w:t>输水线路总长</w:t>
      </w:r>
      <w:r>
        <w:rPr>
          <w:rFonts w:hint="eastAsia"/>
        </w:rPr>
        <w:t xml:space="preserve"> 23.7km</w:t>
      </w:r>
      <w:r>
        <w:rPr>
          <w:rFonts w:hint="eastAsia"/>
        </w:rPr>
        <w:t>，输水隧洞方向与河流与山脉大体一致，临河侧山体陡峭，悬崖密布，沿线沟壑纵深，无法布置盘山明渠，输水线路只能以过山隧洞和过沟涵洞为主，输水线路选择合理可行。</w:t>
      </w:r>
    </w:p>
    <w:p w:rsidR="00D77EA2" w:rsidRDefault="00D77EA2" w:rsidP="00D77EA2">
      <w:pPr>
        <w:pStyle w:val="4"/>
      </w:pPr>
      <w:r>
        <w:rPr>
          <w:rFonts w:hint="eastAsia"/>
        </w:rPr>
        <w:t>施工总布置合理性分析</w:t>
      </w:r>
    </w:p>
    <w:p w:rsidR="00D77EA2" w:rsidRDefault="00D77EA2" w:rsidP="00D77EA2">
      <w:pPr>
        <w:ind w:firstLine="480"/>
      </w:pPr>
      <w:r>
        <w:rPr>
          <w:rFonts w:hint="eastAsia"/>
        </w:rPr>
        <w:t>工程施工总平面布置根据场地条件采用分区布置，与工程施工密切相关的设施主要布置在坝址下游右岸一带。施工场地设置有砂石加工系统、混凝土拌和系统、综合加工系统（包括钢筋加工厂、木材加工厂、混凝土预制构件厂和金结加工拼装长等），施工布置较为合理。</w:t>
      </w:r>
    </w:p>
    <w:p w:rsidR="00D77EA2" w:rsidRDefault="00D77EA2" w:rsidP="00D77EA2">
      <w:pPr>
        <w:ind w:firstLine="480"/>
      </w:pPr>
      <w:r>
        <w:rPr>
          <w:rFonts w:hint="eastAsia"/>
        </w:rPr>
        <w:t>根据水库枢纽布置情况，结合实际地形条件和施工区交通现状，由于施工临时场地集中，对外交通已形成，但对内交通较少，本工程场内交通运输主要包括土石方的开挖出渣、堆石料运输以及各施工工厂及生活区人员、物质运输。场内交通线路布置以永久对外交通为主干线，辅以临时公路和施工便道连接各施工点。因此施工道路布置合理。</w:t>
      </w:r>
    </w:p>
    <w:p w:rsidR="00D77EA2" w:rsidRDefault="00D77EA2" w:rsidP="00D77EA2">
      <w:pPr>
        <w:ind w:firstLine="480"/>
      </w:pPr>
      <w:r>
        <w:rPr>
          <w:rFonts w:hint="eastAsia"/>
        </w:rPr>
        <w:t>场区内未发现珍稀或濒危野生动植物分布，工程布置充分结合施工场地条件，施工总布置及场地规划遵循因地制宜、有利生产、方便生活、环境友好、节省资源、经济合理原则，满足工程建设管理要求，最大限度的减少对当地群众生产生活的不利影响，施工总布置方案协调紧凑并经济合理，节约用地，利用荒地、滩地，少占用耕地、草地和林地。施工布置利用地形合理，并充分利用河滩地等有限土地资源，保护生态环境，提高工程施工机械化程度，减少劳动力使用量，施工场地布置与交通线路相接合，避免物料倒运。将施工场地布置紧凑，减少占地。</w:t>
      </w:r>
    </w:p>
    <w:p w:rsidR="006175A6" w:rsidRDefault="009B4BA7">
      <w:pPr>
        <w:pStyle w:val="2"/>
      </w:pPr>
      <w:bookmarkStart w:id="12" w:name="_Toc67902048"/>
      <w:bookmarkStart w:id="13" w:name="_Toc80170080"/>
      <w:r>
        <w:rPr>
          <w:rFonts w:hint="eastAsia"/>
        </w:rPr>
        <w:lastRenderedPageBreak/>
        <w:t>关注的主要环境问题及环境影响</w:t>
      </w:r>
      <w:bookmarkEnd w:id="12"/>
      <w:bookmarkEnd w:id="13"/>
    </w:p>
    <w:p w:rsidR="006175A6" w:rsidRDefault="009B4BA7">
      <w:pPr>
        <w:pStyle w:val="3"/>
      </w:pPr>
      <w:r>
        <w:rPr>
          <w:rFonts w:hint="eastAsia"/>
        </w:rPr>
        <w:t>关注的主要环境问题</w:t>
      </w:r>
    </w:p>
    <w:p w:rsidR="006175A6" w:rsidRDefault="009B4BA7">
      <w:pPr>
        <w:ind w:firstLine="480"/>
      </w:pPr>
      <w:r>
        <w:rPr>
          <w:rFonts w:hint="eastAsia"/>
        </w:rPr>
        <w:t>（</w:t>
      </w:r>
      <w:r>
        <w:rPr>
          <w:rFonts w:hint="eastAsia"/>
        </w:rPr>
        <w:t>1</w:t>
      </w:r>
      <w:r>
        <w:rPr>
          <w:rFonts w:hint="eastAsia"/>
        </w:rPr>
        <w:t>）主要关注水文情势（水文、泥沙）、水环境（水温、水质、底质）、局地气候（气温、湿度、降水、雾）、环境地质（诱发地震、库岸稳定、水库渗漏、地面沉降）、土壤环境（土地利用、土地退化、土壤污染）、水环境影响及保护措施，其中主要分析水文情势及下游水质变化情况，提出合理性生态流量和下放方式，以及施工期对下游水域影响分析。</w:t>
      </w:r>
    </w:p>
    <w:p w:rsidR="006175A6" w:rsidRDefault="009B4BA7">
      <w:pPr>
        <w:ind w:firstLine="480"/>
      </w:pPr>
      <w:r>
        <w:rPr>
          <w:rFonts w:hint="eastAsia"/>
        </w:rPr>
        <w:t>（</w:t>
      </w:r>
      <w:r>
        <w:rPr>
          <w:rFonts w:hint="eastAsia"/>
        </w:rPr>
        <w:t>2</w:t>
      </w:r>
      <w:r>
        <w:rPr>
          <w:rFonts w:hint="eastAsia"/>
        </w:rPr>
        <w:t>）生态环境质量现状、影响及保护措施，其中主要关注生态完整性（生物量、生态稳定性）、陆生生态、水生生态、水土流失、社会环境（人群健康、社会经济）、工程对所在区域生态环境尤其是主要珍稀动植物的影响及需采取的保护措施。</w:t>
      </w:r>
    </w:p>
    <w:p w:rsidR="006175A6" w:rsidRDefault="009B4BA7">
      <w:pPr>
        <w:pStyle w:val="3"/>
      </w:pPr>
      <w:r>
        <w:rPr>
          <w:rFonts w:hint="eastAsia"/>
        </w:rPr>
        <w:t>评价重点</w:t>
      </w:r>
    </w:p>
    <w:p w:rsidR="006175A6" w:rsidRDefault="009B4BA7">
      <w:pPr>
        <w:ind w:firstLine="480"/>
      </w:pPr>
      <w:r>
        <w:rPr>
          <w:rFonts w:hint="eastAsia"/>
        </w:rPr>
        <w:t>根据两河口水库的工程特点和工程所在区域的环境特征，确定本项目评价重点为水环境、生态环境和施工期环境影响。水环境影响的分析重点主要是工程运行期对库区、地下水、下游河道的影响（水资源、水文情势、水温、生态流量），以及工程施工对水环境尤其是现有取水口的影响。陆生生态重点评价内容为工程占地、工程施工和运行等对区域生态完整性、陆生生物、生态敏感区、重点保护野生动植物及其生境的影响；水生生态重点评价内容为大坝的建设和运行等对浮游生物、底栖生物、水生植物、鱼类等的影响。</w:t>
      </w:r>
    </w:p>
    <w:p w:rsidR="006175A6" w:rsidRDefault="009B4BA7">
      <w:pPr>
        <w:pStyle w:val="2"/>
      </w:pPr>
      <w:bookmarkStart w:id="14" w:name="_Toc80170081"/>
      <w:r>
        <w:rPr>
          <w:rFonts w:hint="eastAsia"/>
        </w:rPr>
        <w:t>环境影响主要结论</w:t>
      </w:r>
      <w:bookmarkEnd w:id="14"/>
    </w:p>
    <w:p w:rsidR="006175A6" w:rsidRDefault="009B4BA7">
      <w:pPr>
        <w:ind w:firstLine="480"/>
      </w:pPr>
      <w:r>
        <w:rPr>
          <w:rFonts w:hint="eastAsia"/>
        </w:rPr>
        <w:t>湖北兴山县两河口水库工程对于完善当地城镇供水、农业灌溉系统，实现生态补水，保障黄粮镇的饮用水安全具有重要意义。本项目的建设符合国家产业政策的要求，符合相关规划要求，在全在面落实报告书所提出的各项污染防治、生态补偿恢复措施和风险应急预案后，工程建设对环境的不利影响可得到有效控制和缓解。从环境保护的角度来看，项目的建设是可行的。</w:t>
      </w:r>
    </w:p>
    <w:p w:rsidR="006175A6" w:rsidRDefault="009B4BA7">
      <w:pPr>
        <w:ind w:firstLine="480"/>
      </w:pPr>
      <w:r w:rsidRPr="00C0296B">
        <w:rPr>
          <w:rFonts w:hint="eastAsia"/>
        </w:rPr>
        <w:t>本次环境影响评价工作得到了宜昌市生态环境局、湖北</w:t>
      </w:r>
      <w:r w:rsidR="00C0296B" w:rsidRPr="00C0296B">
        <w:rPr>
          <w:rFonts w:hint="eastAsia"/>
        </w:rPr>
        <w:t>求实</w:t>
      </w:r>
      <w:r w:rsidRPr="00C0296B">
        <w:rPr>
          <w:rFonts w:hint="eastAsia"/>
        </w:rPr>
        <w:t>检测技术有限公司、</w:t>
      </w:r>
      <w:r w:rsidR="00C0296B" w:rsidRPr="00C0296B">
        <w:rPr>
          <w:rFonts w:hint="eastAsia"/>
        </w:rPr>
        <w:t>兴山县水利局</w:t>
      </w:r>
      <w:r w:rsidRPr="00C0296B">
        <w:rPr>
          <w:rFonts w:hint="eastAsia"/>
        </w:rPr>
        <w:t>等相关部门的大力支持和帮助，在此一并致谢！。</w:t>
      </w:r>
    </w:p>
    <w:p w:rsidR="006175A6" w:rsidRDefault="006175A6">
      <w:pPr>
        <w:ind w:firstLine="480"/>
        <w:sectPr w:rsidR="006175A6" w:rsidSect="00CA149F">
          <w:pgSz w:w="11906" w:h="16838"/>
          <w:pgMar w:top="1440" w:right="1800" w:bottom="1440" w:left="1800" w:header="851" w:footer="992" w:gutter="0"/>
          <w:pgNumType w:fmt="numberInDash" w:start="1"/>
          <w:cols w:space="425"/>
          <w:docGrid w:type="lines" w:linePitch="312"/>
        </w:sectPr>
      </w:pPr>
    </w:p>
    <w:p w:rsidR="006175A6" w:rsidRDefault="009B4BA7">
      <w:pPr>
        <w:pStyle w:val="1"/>
      </w:pPr>
      <w:bookmarkStart w:id="15" w:name="_Toc80170082"/>
      <w:r>
        <w:rPr>
          <w:rFonts w:hint="eastAsia"/>
        </w:rPr>
        <w:lastRenderedPageBreak/>
        <w:t>总则</w:t>
      </w:r>
      <w:bookmarkEnd w:id="15"/>
    </w:p>
    <w:p w:rsidR="006175A6" w:rsidRDefault="009B4BA7">
      <w:pPr>
        <w:pStyle w:val="2"/>
        <w:rPr>
          <w:rFonts w:cs="Times New Roman"/>
        </w:rPr>
      </w:pPr>
      <w:bookmarkStart w:id="16" w:name="_Toc76328089"/>
      <w:bookmarkStart w:id="17" w:name="_Toc80170083"/>
      <w:r>
        <w:rPr>
          <w:rFonts w:cs="Times New Roman"/>
        </w:rPr>
        <w:t>编制依据</w:t>
      </w:r>
      <w:bookmarkEnd w:id="16"/>
      <w:bookmarkEnd w:id="17"/>
    </w:p>
    <w:p w:rsidR="006175A6" w:rsidRDefault="009B4BA7">
      <w:pPr>
        <w:pStyle w:val="3"/>
      </w:pPr>
      <w:r>
        <w:t>环境保护法律</w:t>
      </w:r>
    </w:p>
    <w:p w:rsidR="006175A6" w:rsidRDefault="009B4BA7">
      <w:pPr>
        <w:pStyle w:val="ae"/>
        <w:numPr>
          <w:ilvl w:val="0"/>
          <w:numId w:val="2"/>
        </w:numPr>
        <w:ind w:firstLineChars="0"/>
      </w:pPr>
      <w:r>
        <w:t>《中华人民共和国环境保护法》，</w:t>
      </w:r>
      <w:r>
        <w:t>2015</w:t>
      </w:r>
      <w:r>
        <w:t>年</w:t>
      </w:r>
      <w:r>
        <w:t>1</w:t>
      </w:r>
      <w:r>
        <w:t>月</w:t>
      </w:r>
      <w:r>
        <w:t>1</w:t>
      </w:r>
      <w:r>
        <w:t>日；</w:t>
      </w:r>
    </w:p>
    <w:p w:rsidR="006175A6" w:rsidRDefault="009B4BA7">
      <w:pPr>
        <w:pStyle w:val="ae"/>
        <w:numPr>
          <w:ilvl w:val="0"/>
          <w:numId w:val="2"/>
        </w:numPr>
        <w:ind w:firstLineChars="0"/>
      </w:pPr>
      <w:r>
        <w:t>《中华人民共和国环境影响评价法》，</w:t>
      </w:r>
      <w:r>
        <w:t>2018</w:t>
      </w:r>
      <w:r>
        <w:t>年</w:t>
      </w:r>
      <w:r>
        <w:t>12</w:t>
      </w:r>
      <w:r>
        <w:t>月</w:t>
      </w:r>
      <w:r>
        <w:t>29</w:t>
      </w:r>
      <w:r>
        <w:t>日修订；</w:t>
      </w:r>
    </w:p>
    <w:p w:rsidR="006175A6" w:rsidRDefault="009B4BA7">
      <w:pPr>
        <w:pStyle w:val="ae"/>
        <w:numPr>
          <w:ilvl w:val="0"/>
          <w:numId w:val="2"/>
        </w:numPr>
        <w:ind w:firstLineChars="0"/>
      </w:pPr>
      <w:r>
        <w:t>《中华人民共和国大气污染防治法》，</w:t>
      </w:r>
      <w:r>
        <w:t>2018</w:t>
      </w:r>
      <w:r>
        <w:t>年</w:t>
      </w:r>
      <w:r>
        <w:t>10</w:t>
      </w:r>
      <w:r>
        <w:t>月</w:t>
      </w:r>
      <w:r>
        <w:t>26</w:t>
      </w:r>
      <w:r>
        <w:t>日；</w:t>
      </w:r>
    </w:p>
    <w:p w:rsidR="006175A6" w:rsidRDefault="009B4BA7">
      <w:pPr>
        <w:pStyle w:val="ae"/>
        <w:numPr>
          <w:ilvl w:val="0"/>
          <w:numId w:val="2"/>
        </w:numPr>
        <w:ind w:firstLineChars="0"/>
      </w:pPr>
      <w:r>
        <w:t>《中华人民共和国水污染防治法》，</w:t>
      </w:r>
      <w:r>
        <w:t>201</w:t>
      </w:r>
      <w:r>
        <w:rPr>
          <w:rFonts w:hint="eastAsia"/>
        </w:rPr>
        <w:t>8</w:t>
      </w:r>
      <w:r>
        <w:t>年</w:t>
      </w:r>
      <w:r>
        <w:rPr>
          <w:rFonts w:hint="eastAsia"/>
        </w:rPr>
        <w:t>1</w:t>
      </w:r>
      <w:r>
        <w:t>月</w:t>
      </w:r>
      <w:r>
        <w:rPr>
          <w:rFonts w:hint="eastAsia"/>
        </w:rPr>
        <w:t>1</w:t>
      </w:r>
      <w:r>
        <w:t>日施行；</w:t>
      </w:r>
    </w:p>
    <w:p w:rsidR="006175A6" w:rsidRDefault="009B4BA7">
      <w:pPr>
        <w:pStyle w:val="ae"/>
        <w:numPr>
          <w:ilvl w:val="0"/>
          <w:numId w:val="2"/>
        </w:numPr>
        <w:ind w:firstLineChars="0"/>
      </w:pPr>
      <w:r>
        <w:t>《中华人民共和国环境噪声污染防治法》，</w:t>
      </w:r>
      <w:r>
        <w:t>2018</w:t>
      </w:r>
      <w:r>
        <w:t>年</w:t>
      </w:r>
      <w:r>
        <w:t>12</w:t>
      </w:r>
      <w:r>
        <w:t>月</w:t>
      </w:r>
      <w:r>
        <w:t>29</w:t>
      </w:r>
      <w:r>
        <w:t>日；</w:t>
      </w:r>
    </w:p>
    <w:p w:rsidR="006175A6" w:rsidRDefault="009B4BA7">
      <w:pPr>
        <w:pStyle w:val="ae"/>
        <w:numPr>
          <w:ilvl w:val="0"/>
          <w:numId w:val="2"/>
        </w:numPr>
        <w:ind w:left="482" w:firstLineChars="0" w:firstLine="0"/>
      </w:pPr>
      <w:r>
        <w:t>《中华人民共和国固体废物污染环境防治法》，</w:t>
      </w:r>
      <w:r>
        <w:t>2020</w:t>
      </w:r>
      <w:r>
        <w:t>年</w:t>
      </w:r>
      <w:r>
        <w:t>9</w:t>
      </w:r>
      <w:r>
        <w:t>月</w:t>
      </w:r>
      <w:r>
        <w:t>1</w:t>
      </w:r>
      <w:r>
        <w:t>日施行；</w:t>
      </w:r>
    </w:p>
    <w:p w:rsidR="006175A6" w:rsidRDefault="009B4BA7">
      <w:pPr>
        <w:pStyle w:val="ae"/>
        <w:numPr>
          <w:ilvl w:val="0"/>
          <w:numId w:val="2"/>
        </w:numPr>
        <w:ind w:firstLineChars="0"/>
      </w:pPr>
      <w:r>
        <w:t>《中华人民共和国土壤污染防治法》，</w:t>
      </w:r>
      <w:r>
        <w:t>2019</w:t>
      </w:r>
      <w:r>
        <w:t>年</w:t>
      </w:r>
      <w:r>
        <w:t>1</w:t>
      </w:r>
      <w:r>
        <w:t>月</w:t>
      </w:r>
      <w:r>
        <w:t>1</w:t>
      </w:r>
      <w:r>
        <w:t>日；</w:t>
      </w:r>
    </w:p>
    <w:p w:rsidR="006175A6" w:rsidRDefault="009B4BA7">
      <w:pPr>
        <w:pStyle w:val="ae"/>
        <w:numPr>
          <w:ilvl w:val="0"/>
          <w:numId w:val="2"/>
        </w:numPr>
        <w:ind w:firstLineChars="0"/>
      </w:pPr>
      <w:r>
        <w:t>《中华人民共和国土地管理法》</w:t>
      </w:r>
      <w:r>
        <w:rPr>
          <w:rFonts w:hint="eastAsia"/>
        </w:rPr>
        <w:t>，</w:t>
      </w:r>
      <w:r>
        <w:t>20</w:t>
      </w:r>
      <w:r>
        <w:rPr>
          <w:rFonts w:hint="eastAsia"/>
        </w:rPr>
        <w:t>19</w:t>
      </w:r>
      <w:r>
        <w:t>年</w:t>
      </w:r>
      <w:r>
        <w:t>8</w:t>
      </w:r>
      <w:r>
        <w:t>月</w:t>
      </w:r>
      <w:r>
        <w:t>2</w:t>
      </w:r>
      <w:r>
        <w:rPr>
          <w:rFonts w:hint="eastAsia"/>
        </w:rPr>
        <w:t>6</w:t>
      </w:r>
      <w:r>
        <w:t>日</w:t>
      </w:r>
      <w:r>
        <w:rPr>
          <w:rFonts w:hint="eastAsia"/>
        </w:rPr>
        <w:t>修改</w:t>
      </w:r>
      <w:r>
        <w:t>；</w:t>
      </w:r>
    </w:p>
    <w:p w:rsidR="006175A6" w:rsidRDefault="009B4BA7">
      <w:pPr>
        <w:pStyle w:val="ae"/>
        <w:numPr>
          <w:ilvl w:val="0"/>
          <w:numId w:val="2"/>
        </w:numPr>
        <w:ind w:firstLineChars="0"/>
      </w:pPr>
      <w:r>
        <w:t>《中华人民共和国节约能源法》，</w:t>
      </w:r>
      <w:r>
        <w:t>2018</w:t>
      </w:r>
      <w:r>
        <w:t>年</w:t>
      </w:r>
      <w:r>
        <w:t>10</w:t>
      </w:r>
      <w:r>
        <w:t>月</w:t>
      </w:r>
      <w:r>
        <w:t>26</w:t>
      </w:r>
      <w:r>
        <w:t>日；</w:t>
      </w:r>
    </w:p>
    <w:p w:rsidR="006175A6" w:rsidRDefault="009B4BA7">
      <w:pPr>
        <w:pStyle w:val="ae"/>
        <w:numPr>
          <w:ilvl w:val="0"/>
          <w:numId w:val="2"/>
        </w:numPr>
        <w:ind w:firstLineChars="0"/>
      </w:pPr>
      <w:r>
        <w:t>《中华人民共和国循环经济促进法》</w:t>
      </w:r>
      <w:r>
        <w:t>2018</w:t>
      </w:r>
      <w:r>
        <w:t>年</w:t>
      </w:r>
      <w:r>
        <w:t>10</w:t>
      </w:r>
      <w:r>
        <w:t>月</w:t>
      </w:r>
      <w:r>
        <w:t>26</w:t>
      </w:r>
      <w:r>
        <w:t>日；</w:t>
      </w:r>
    </w:p>
    <w:p w:rsidR="006175A6" w:rsidRDefault="009B4BA7">
      <w:pPr>
        <w:pStyle w:val="ae"/>
        <w:numPr>
          <w:ilvl w:val="0"/>
          <w:numId w:val="2"/>
        </w:numPr>
        <w:ind w:firstLineChars="0"/>
      </w:pPr>
      <w:r>
        <w:t>《中华人民共和国城乡规划法》，</w:t>
      </w:r>
      <w:r>
        <w:t>20</w:t>
      </w:r>
      <w:r>
        <w:rPr>
          <w:rFonts w:hint="eastAsia"/>
        </w:rPr>
        <w:t>19</w:t>
      </w:r>
      <w:r>
        <w:t>年</w:t>
      </w:r>
      <w:r>
        <w:rPr>
          <w:rFonts w:hint="eastAsia"/>
        </w:rPr>
        <w:t>4</w:t>
      </w:r>
      <w:r>
        <w:t>月</w:t>
      </w:r>
      <w:r>
        <w:rPr>
          <w:rFonts w:hint="eastAsia"/>
        </w:rPr>
        <w:t>23</w:t>
      </w:r>
      <w:r>
        <w:t>日</w:t>
      </w:r>
      <w:r>
        <w:rPr>
          <w:rFonts w:hint="eastAsia"/>
        </w:rPr>
        <w:t>修改</w:t>
      </w:r>
      <w:r>
        <w:t>；</w:t>
      </w:r>
    </w:p>
    <w:p w:rsidR="006175A6" w:rsidRDefault="009B4BA7">
      <w:pPr>
        <w:pStyle w:val="ae"/>
        <w:numPr>
          <w:ilvl w:val="0"/>
          <w:numId w:val="2"/>
        </w:numPr>
        <w:ind w:firstLineChars="0"/>
      </w:pPr>
      <w:r>
        <w:t>《中华人民共和国水法》，</w:t>
      </w:r>
      <w:r>
        <w:t>2016</w:t>
      </w:r>
      <w:r>
        <w:t>年</w:t>
      </w:r>
      <w:r>
        <w:t>7</w:t>
      </w:r>
      <w:r>
        <w:t>月</w:t>
      </w:r>
      <w:r>
        <w:t>2</w:t>
      </w:r>
      <w:r>
        <w:t>日；</w:t>
      </w:r>
    </w:p>
    <w:p w:rsidR="006175A6" w:rsidRDefault="009B4BA7">
      <w:pPr>
        <w:pStyle w:val="ae"/>
        <w:numPr>
          <w:ilvl w:val="0"/>
          <w:numId w:val="2"/>
        </w:numPr>
        <w:ind w:firstLineChars="0"/>
      </w:pPr>
      <w:r>
        <w:t>《中华人民共和国清洁生产促进法》</w:t>
      </w:r>
      <w:r>
        <w:t>(2012</w:t>
      </w:r>
      <w:r>
        <w:t>年</w:t>
      </w:r>
      <w:r>
        <w:t>7</w:t>
      </w:r>
      <w:r>
        <w:t>月</w:t>
      </w:r>
      <w:r>
        <w:t>1</w:t>
      </w:r>
      <w:r>
        <w:t>日施行</w:t>
      </w:r>
      <w:r w:rsidR="00E97427">
        <w:t>）</w:t>
      </w:r>
      <w:r>
        <w:t>；</w:t>
      </w:r>
    </w:p>
    <w:p w:rsidR="006175A6" w:rsidRDefault="009B4BA7">
      <w:pPr>
        <w:pStyle w:val="ae"/>
        <w:numPr>
          <w:ilvl w:val="0"/>
          <w:numId w:val="2"/>
        </w:numPr>
        <w:ind w:firstLineChars="0"/>
      </w:pPr>
      <w:r>
        <w:t>《中华人民共和国安全生产法》</w:t>
      </w:r>
      <w:r>
        <w:t>2014</w:t>
      </w:r>
      <w:r>
        <w:t>年</w:t>
      </w:r>
      <w:r>
        <w:t>12</w:t>
      </w:r>
      <w:r>
        <w:t>月</w:t>
      </w:r>
      <w:r>
        <w:t>1</w:t>
      </w:r>
      <w:r>
        <w:t>日起施行</w:t>
      </w:r>
      <w:r w:rsidR="00E97427">
        <w:t>）</w:t>
      </w:r>
      <w:r>
        <w:rPr>
          <w:rFonts w:hint="eastAsia"/>
        </w:rPr>
        <w:t>；</w:t>
      </w:r>
    </w:p>
    <w:p w:rsidR="006175A6" w:rsidRDefault="009B4BA7">
      <w:pPr>
        <w:pStyle w:val="ae"/>
        <w:numPr>
          <w:ilvl w:val="0"/>
          <w:numId w:val="2"/>
        </w:numPr>
        <w:ind w:firstLineChars="0"/>
      </w:pPr>
      <w:r>
        <w:rPr>
          <w:rFonts w:hint="eastAsia"/>
        </w:rPr>
        <w:t>《中华人民共和国渔业法》（</w:t>
      </w:r>
      <w:r>
        <w:rPr>
          <w:rFonts w:hint="eastAsia"/>
        </w:rPr>
        <w:t>2013</w:t>
      </w:r>
      <w:r>
        <w:rPr>
          <w:rFonts w:hint="eastAsia"/>
        </w:rPr>
        <w:t>年</w:t>
      </w:r>
      <w:r>
        <w:rPr>
          <w:rFonts w:hint="eastAsia"/>
        </w:rPr>
        <w:t>12</w:t>
      </w:r>
      <w:r>
        <w:rPr>
          <w:rFonts w:hint="eastAsia"/>
        </w:rPr>
        <w:t>月</w:t>
      </w:r>
      <w:r>
        <w:rPr>
          <w:rFonts w:hint="eastAsia"/>
        </w:rPr>
        <w:t>28</w:t>
      </w:r>
      <w:r>
        <w:rPr>
          <w:rFonts w:hint="eastAsia"/>
        </w:rPr>
        <w:t>日修订）；</w:t>
      </w:r>
    </w:p>
    <w:p w:rsidR="006175A6" w:rsidRDefault="009B4BA7">
      <w:pPr>
        <w:pStyle w:val="ae"/>
        <w:numPr>
          <w:ilvl w:val="0"/>
          <w:numId w:val="2"/>
        </w:numPr>
        <w:ind w:firstLineChars="0"/>
      </w:pPr>
      <w:r>
        <w:rPr>
          <w:rFonts w:hint="eastAsia"/>
        </w:rPr>
        <w:t>《中华人民共和国野生动物保护法》（</w:t>
      </w:r>
      <w:r>
        <w:rPr>
          <w:rFonts w:hint="eastAsia"/>
        </w:rPr>
        <w:t>2018</w:t>
      </w:r>
      <w:r>
        <w:rPr>
          <w:rFonts w:hint="eastAsia"/>
        </w:rPr>
        <w:t>年</w:t>
      </w:r>
      <w:r>
        <w:rPr>
          <w:rFonts w:hint="eastAsia"/>
        </w:rPr>
        <w:t>10</w:t>
      </w:r>
      <w:r>
        <w:rPr>
          <w:rFonts w:hint="eastAsia"/>
        </w:rPr>
        <w:t>月</w:t>
      </w:r>
      <w:r>
        <w:rPr>
          <w:rFonts w:hint="eastAsia"/>
        </w:rPr>
        <w:t>26</w:t>
      </w:r>
      <w:r>
        <w:rPr>
          <w:rFonts w:hint="eastAsia"/>
        </w:rPr>
        <w:t>日发布）。</w:t>
      </w:r>
    </w:p>
    <w:p w:rsidR="006175A6" w:rsidRDefault="009B4BA7">
      <w:pPr>
        <w:pStyle w:val="3"/>
      </w:pPr>
      <w:r>
        <w:t>环境保护法规、部门规章</w:t>
      </w:r>
    </w:p>
    <w:p w:rsidR="006175A6" w:rsidRDefault="009B4BA7">
      <w:pPr>
        <w:ind w:firstLine="480"/>
      </w:pPr>
      <w:r>
        <w:rPr>
          <w:rFonts w:hint="eastAsia"/>
        </w:rPr>
        <w:t>（</w:t>
      </w:r>
      <w:r>
        <w:rPr>
          <w:rFonts w:hint="eastAsia"/>
        </w:rPr>
        <w:t>1</w:t>
      </w:r>
      <w:r>
        <w:rPr>
          <w:rFonts w:hint="eastAsia"/>
        </w:rPr>
        <w:t>）</w:t>
      </w:r>
      <w:r>
        <w:t>《建设项目环境保护管理条例》国务院令第</w:t>
      </w:r>
      <w:r>
        <w:t>682</w:t>
      </w:r>
      <w:r>
        <w:t>号；</w:t>
      </w:r>
    </w:p>
    <w:p w:rsidR="006175A6" w:rsidRDefault="009B4BA7">
      <w:pPr>
        <w:ind w:firstLine="480"/>
      </w:pPr>
      <w:r>
        <w:rPr>
          <w:rFonts w:hint="eastAsia"/>
        </w:rPr>
        <w:t>（</w:t>
      </w:r>
      <w:r>
        <w:rPr>
          <w:rFonts w:hint="eastAsia"/>
        </w:rPr>
        <w:t>2</w:t>
      </w:r>
      <w:r>
        <w:rPr>
          <w:rFonts w:hint="eastAsia"/>
        </w:rPr>
        <w:t>）</w:t>
      </w:r>
      <w:r>
        <w:t>《国务院关于印发水污染防治行动计划的通知》，国发</w:t>
      </w:r>
      <w:r>
        <w:t>[2015]17</w:t>
      </w:r>
      <w:r>
        <w:t>号；</w:t>
      </w:r>
    </w:p>
    <w:p w:rsidR="006175A6" w:rsidRDefault="009B4BA7">
      <w:pPr>
        <w:ind w:firstLine="480"/>
      </w:pPr>
      <w:r>
        <w:rPr>
          <w:rFonts w:hint="eastAsia"/>
        </w:rPr>
        <w:t>（</w:t>
      </w:r>
      <w:r>
        <w:rPr>
          <w:rFonts w:hint="eastAsia"/>
        </w:rPr>
        <w:t>3</w:t>
      </w:r>
      <w:r>
        <w:rPr>
          <w:rFonts w:hint="eastAsia"/>
        </w:rPr>
        <w:t>）</w:t>
      </w:r>
      <w:r>
        <w:t>《国务院关于印发大气污染防治行动计划的通知》，国发</w:t>
      </w:r>
      <w:r>
        <w:t>[2013]37</w:t>
      </w:r>
      <w:r>
        <w:t>号；</w:t>
      </w:r>
    </w:p>
    <w:p w:rsidR="006175A6" w:rsidRDefault="009B4BA7">
      <w:pPr>
        <w:ind w:firstLine="480"/>
      </w:pPr>
      <w:r>
        <w:rPr>
          <w:rFonts w:hint="eastAsia"/>
        </w:rPr>
        <w:t>（</w:t>
      </w:r>
      <w:r>
        <w:rPr>
          <w:rFonts w:hint="eastAsia"/>
        </w:rPr>
        <w:t>4</w:t>
      </w:r>
      <w:r>
        <w:rPr>
          <w:rFonts w:hint="eastAsia"/>
        </w:rPr>
        <w:t>）</w:t>
      </w:r>
      <w:r>
        <w:t>《国务院关于印发土壤污染防治行动计划的通知》，国发</w:t>
      </w:r>
      <w:r>
        <w:t>[2016]31</w:t>
      </w:r>
      <w:r>
        <w:t>号；</w:t>
      </w:r>
    </w:p>
    <w:p w:rsidR="006175A6" w:rsidRDefault="009B4BA7">
      <w:pPr>
        <w:ind w:firstLine="480"/>
      </w:pPr>
      <w:r>
        <w:rPr>
          <w:rFonts w:hint="eastAsia"/>
          <w:kern w:val="0"/>
        </w:rPr>
        <w:t>（</w:t>
      </w:r>
      <w:r>
        <w:rPr>
          <w:rFonts w:hint="eastAsia"/>
          <w:kern w:val="0"/>
        </w:rPr>
        <w:t>5</w:t>
      </w:r>
      <w:r>
        <w:rPr>
          <w:rFonts w:hint="eastAsia"/>
          <w:kern w:val="0"/>
        </w:rPr>
        <w:t>）</w:t>
      </w:r>
      <w:r>
        <w:rPr>
          <w:kern w:val="0"/>
        </w:rPr>
        <w:t>《产业结构调整指导目录</w:t>
      </w:r>
      <w:r>
        <w:rPr>
          <w:kern w:val="0"/>
        </w:rPr>
        <w:t>(2019</w:t>
      </w:r>
      <w:r>
        <w:rPr>
          <w:kern w:val="0"/>
        </w:rPr>
        <w:t>年本</w:t>
      </w:r>
      <w:r w:rsidR="00E97427">
        <w:rPr>
          <w:kern w:val="0"/>
        </w:rPr>
        <w:t>）</w:t>
      </w:r>
      <w:r>
        <w:rPr>
          <w:kern w:val="0"/>
        </w:rPr>
        <w:t>》；</w:t>
      </w:r>
    </w:p>
    <w:p w:rsidR="006175A6" w:rsidRDefault="009B4BA7">
      <w:pPr>
        <w:ind w:firstLine="480"/>
      </w:pPr>
      <w:r>
        <w:rPr>
          <w:rFonts w:hint="eastAsia"/>
        </w:rPr>
        <w:t>（</w:t>
      </w:r>
      <w:r>
        <w:rPr>
          <w:rFonts w:hint="eastAsia"/>
        </w:rPr>
        <w:t>6</w:t>
      </w:r>
      <w:r>
        <w:rPr>
          <w:rFonts w:hint="eastAsia"/>
        </w:rPr>
        <w:t>）</w:t>
      </w:r>
      <w:r>
        <w:t>生态环境部令第</w:t>
      </w:r>
      <w:r>
        <w:t>1</w:t>
      </w:r>
      <w:r>
        <w:rPr>
          <w:rFonts w:hint="eastAsia"/>
        </w:rPr>
        <w:t>6</w:t>
      </w:r>
      <w:r>
        <w:t>号《建设项目环境影响评价分类管理名录》，</w:t>
      </w:r>
      <w:r>
        <w:t>20</w:t>
      </w:r>
      <w:r>
        <w:rPr>
          <w:rFonts w:hint="eastAsia"/>
        </w:rPr>
        <w:t>21</w:t>
      </w:r>
      <w:r>
        <w:t>年</w:t>
      </w:r>
      <w:r>
        <w:rPr>
          <w:rFonts w:hint="eastAsia"/>
        </w:rPr>
        <w:t>1</w:t>
      </w:r>
      <w:r>
        <w:t>月</w:t>
      </w:r>
      <w:r>
        <w:rPr>
          <w:rFonts w:hint="eastAsia"/>
        </w:rPr>
        <w:t>1</w:t>
      </w:r>
      <w:r>
        <w:t>日实施；</w:t>
      </w:r>
    </w:p>
    <w:p w:rsidR="006175A6" w:rsidRDefault="009B4BA7">
      <w:pPr>
        <w:ind w:firstLine="480"/>
      </w:pPr>
      <w:r>
        <w:rPr>
          <w:rFonts w:hint="eastAsia"/>
        </w:rPr>
        <w:lastRenderedPageBreak/>
        <w:t>（</w:t>
      </w:r>
      <w:r>
        <w:rPr>
          <w:rFonts w:hint="eastAsia"/>
        </w:rPr>
        <w:t>7</w:t>
      </w:r>
      <w:r>
        <w:rPr>
          <w:rFonts w:hint="eastAsia"/>
        </w:rPr>
        <w:t>）</w:t>
      </w:r>
      <w:r>
        <w:t>《</w:t>
      </w:r>
      <w:r>
        <w:rPr>
          <w:rFonts w:hint="eastAsia"/>
        </w:rPr>
        <w:t>突发环境事件应急预案管理暂行办法</w:t>
      </w:r>
      <w:r>
        <w:t>》，</w:t>
      </w:r>
      <w:r>
        <w:t>(</w:t>
      </w:r>
      <w:r>
        <w:rPr>
          <w:rFonts w:hint="eastAsia"/>
        </w:rPr>
        <w:t>环发</w:t>
      </w:r>
      <w:r>
        <w:rPr>
          <w:rFonts w:hint="eastAsia"/>
        </w:rPr>
        <w:t>[2010]113</w:t>
      </w:r>
      <w:r>
        <w:rPr>
          <w:rFonts w:hint="eastAsia"/>
        </w:rPr>
        <w:t>号</w:t>
      </w:r>
      <w:r w:rsidR="00E97427">
        <w:t>）</w:t>
      </w:r>
      <w:r>
        <w:t>201</w:t>
      </w:r>
      <w:r>
        <w:rPr>
          <w:rFonts w:hint="eastAsia"/>
        </w:rPr>
        <w:t>0</w:t>
      </w:r>
      <w:r>
        <w:t>年</w:t>
      </w:r>
      <w:r>
        <w:rPr>
          <w:rFonts w:hint="eastAsia"/>
        </w:rPr>
        <w:t>9</w:t>
      </w:r>
      <w:r>
        <w:t>月</w:t>
      </w:r>
      <w:r>
        <w:rPr>
          <w:rFonts w:hint="eastAsia"/>
        </w:rPr>
        <w:t>28</w:t>
      </w:r>
      <w:r>
        <w:t>日起施行；</w:t>
      </w:r>
    </w:p>
    <w:p w:rsidR="006175A6" w:rsidRDefault="009B4BA7">
      <w:pPr>
        <w:ind w:firstLine="480"/>
      </w:pPr>
      <w:r>
        <w:rPr>
          <w:rFonts w:hint="eastAsia"/>
        </w:rPr>
        <w:t>（</w:t>
      </w:r>
      <w:r>
        <w:rPr>
          <w:rFonts w:hint="eastAsia"/>
        </w:rPr>
        <w:t>8</w:t>
      </w:r>
      <w:r>
        <w:rPr>
          <w:rFonts w:hint="eastAsia"/>
        </w:rPr>
        <w:t>）</w:t>
      </w:r>
      <w:r>
        <w:t>《关于进一步加强环境影响评价管理防范环境风险的通知》，环发</w:t>
      </w:r>
      <w:r>
        <w:t>[2012]77</w:t>
      </w:r>
      <w:r>
        <w:t>号；</w:t>
      </w:r>
    </w:p>
    <w:p w:rsidR="006175A6" w:rsidRDefault="009B4BA7">
      <w:pPr>
        <w:ind w:firstLine="480"/>
      </w:pPr>
      <w:r>
        <w:rPr>
          <w:rFonts w:hint="eastAsia"/>
        </w:rPr>
        <w:t>（</w:t>
      </w:r>
      <w:r>
        <w:rPr>
          <w:rFonts w:hint="eastAsia"/>
        </w:rPr>
        <w:t>9</w:t>
      </w:r>
      <w:r>
        <w:rPr>
          <w:rFonts w:hint="eastAsia"/>
        </w:rPr>
        <w:t>）</w:t>
      </w:r>
      <w:r>
        <w:t>《关于切实加强风险防范严格环境影响评价管理的通知》，环发</w:t>
      </w:r>
      <w:r>
        <w:t>[2012]98</w:t>
      </w:r>
      <w:r>
        <w:t>号文；</w:t>
      </w:r>
    </w:p>
    <w:p w:rsidR="006175A6" w:rsidRDefault="009B4BA7">
      <w:pPr>
        <w:ind w:firstLine="480"/>
      </w:pPr>
      <w:r>
        <w:rPr>
          <w:rFonts w:hint="eastAsia"/>
        </w:rPr>
        <w:t>（</w:t>
      </w:r>
      <w:r>
        <w:rPr>
          <w:rFonts w:hint="eastAsia"/>
        </w:rPr>
        <w:t>11</w:t>
      </w:r>
      <w:r>
        <w:rPr>
          <w:rFonts w:hint="eastAsia"/>
        </w:rPr>
        <w:t>）</w:t>
      </w:r>
      <w:r>
        <w:t>《全国地下水污染防治规划</w:t>
      </w:r>
      <w:r>
        <w:t>(2011-2020</w:t>
      </w:r>
      <w:r>
        <w:t>年</w:t>
      </w:r>
      <w:r w:rsidR="00E97427">
        <w:t>）</w:t>
      </w:r>
      <w:r>
        <w:t>》，</w:t>
      </w:r>
      <w:r>
        <w:t>2011</w:t>
      </w:r>
      <w:r>
        <w:t>年</w:t>
      </w:r>
      <w:r>
        <w:t>10</w:t>
      </w:r>
      <w:r>
        <w:t>月</w:t>
      </w:r>
      <w:r>
        <w:t>28</w:t>
      </w:r>
      <w:r>
        <w:t>日，环发</w:t>
      </w:r>
      <w:r>
        <w:t>[2011]128</w:t>
      </w:r>
      <w:r>
        <w:t>号；</w:t>
      </w:r>
    </w:p>
    <w:p w:rsidR="006175A6" w:rsidRDefault="009B4BA7">
      <w:pPr>
        <w:ind w:firstLine="480"/>
      </w:pPr>
      <w:r>
        <w:rPr>
          <w:rFonts w:hint="eastAsia"/>
        </w:rPr>
        <w:t>（</w:t>
      </w:r>
      <w:r>
        <w:rPr>
          <w:rFonts w:hint="eastAsia"/>
        </w:rPr>
        <w:t>12</w:t>
      </w:r>
      <w:r>
        <w:rPr>
          <w:rFonts w:hint="eastAsia"/>
        </w:rPr>
        <w:t>）</w:t>
      </w:r>
      <w:r>
        <w:t>《环境影响评价公众参与办法》，生态环境部令第</w:t>
      </w:r>
      <w:r>
        <w:t>4</w:t>
      </w:r>
      <w:r>
        <w:t>号，</w:t>
      </w:r>
      <w:r>
        <w:t>2019</w:t>
      </w:r>
      <w:r>
        <w:t>年</w:t>
      </w:r>
      <w:r>
        <w:t>1</w:t>
      </w:r>
      <w:r>
        <w:t>月</w:t>
      </w:r>
      <w:r>
        <w:t>1</w:t>
      </w:r>
      <w:r>
        <w:t>日实施；</w:t>
      </w:r>
    </w:p>
    <w:p w:rsidR="006175A6" w:rsidRDefault="009B4BA7">
      <w:pPr>
        <w:ind w:firstLine="480"/>
      </w:pPr>
      <w:r>
        <w:rPr>
          <w:rFonts w:hint="eastAsia"/>
        </w:rPr>
        <w:t>（</w:t>
      </w:r>
      <w:r>
        <w:rPr>
          <w:rFonts w:hint="eastAsia"/>
        </w:rPr>
        <w:t>13</w:t>
      </w:r>
      <w:r>
        <w:rPr>
          <w:rFonts w:hint="eastAsia"/>
        </w:rPr>
        <w:t>）</w:t>
      </w:r>
      <w:r>
        <w:t>《湖北省环境保护条例》</w:t>
      </w:r>
      <w:r>
        <w:t>(199</w:t>
      </w:r>
      <w:r>
        <w:rPr>
          <w:rFonts w:hint="eastAsia"/>
        </w:rPr>
        <w:t>7</w:t>
      </w:r>
      <w:r>
        <w:t>年</w:t>
      </w:r>
      <w:r>
        <w:t>12</w:t>
      </w:r>
      <w:r>
        <w:t>月</w:t>
      </w:r>
      <w:r>
        <w:rPr>
          <w:rFonts w:hint="eastAsia"/>
        </w:rPr>
        <w:t>3</w:t>
      </w:r>
      <w:r>
        <w:t>日</w:t>
      </w:r>
      <w:r>
        <w:rPr>
          <w:rFonts w:hint="eastAsia"/>
        </w:rPr>
        <w:t>修订</w:t>
      </w:r>
      <w:r w:rsidR="00E97427">
        <w:t>）</w:t>
      </w:r>
      <w:r>
        <w:t>；</w:t>
      </w:r>
    </w:p>
    <w:p w:rsidR="006175A6" w:rsidRDefault="009B4BA7">
      <w:pPr>
        <w:ind w:firstLine="480"/>
      </w:pPr>
      <w:r>
        <w:rPr>
          <w:rFonts w:hint="eastAsia"/>
        </w:rPr>
        <w:t>（</w:t>
      </w:r>
      <w:r>
        <w:rPr>
          <w:rFonts w:hint="eastAsia"/>
        </w:rPr>
        <w:t>14</w:t>
      </w:r>
      <w:r>
        <w:rPr>
          <w:rFonts w:hint="eastAsia"/>
        </w:rPr>
        <w:t>）</w:t>
      </w:r>
      <w:r>
        <w:t>《湖北省大气污染防治条例》</w:t>
      </w:r>
      <w:r>
        <w:t>(</w:t>
      </w:r>
      <w:r>
        <w:rPr>
          <w:rFonts w:hint="eastAsia"/>
        </w:rPr>
        <w:t>2018</w:t>
      </w:r>
      <w:r>
        <w:rPr>
          <w:rFonts w:hint="eastAsia"/>
        </w:rPr>
        <w:t>年</w:t>
      </w:r>
      <w:r>
        <w:rPr>
          <w:rFonts w:hint="eastAsia"/>
        </w:rPr>
        <w:t>11</w:t>
      </w:r>
      <w:r>
        <w:rPr>
          <w:rFonts w:hint="eastAsia"/>
        </w:rPr>
        <w:t>月</w:t>
      </w:r>
      <w:r>
        <w:rPr>
          <w:rFonts w:hint="eastAsia"/>
        </w:rPr>
        <w:t>19</w:t>
      </w:r>
      <w:r>
        <w:rPr>
          <w:rFonts w:hint="eastAsia"/>
        </w:rPr>
        <w:t>日修订</w:t>
      </w:r>
      <w:r w:rsidR="00E97427">
        <w:t>）</w:t>
      </w:r>
      <w:r>
        <w:t>；</w:t>
      </w:r>
    </w:p>
    <w:p w:rsidR="006175A6" w:rsidRDefault="009B4BA7">
      <w:pPr>
        <w:ind w:firstLine="480"/>
      </w:pPr>
      <w:r>
        <w:rPr>
          <w:rFonts w:hint="eastAsia"/>
        </w:rPr>
        <w:t>（</w:t>
      </w:r>
      <w:r>
        <w:rPr>
          <w:rFonts w:hint="eastAsia"/>
        </w:rPr>
        <w:t>15</w:t>
      </w:r>
      <w:r>
        <w:rPr>
          <w:rFonts w:hint="eastAsia"/>
        </w:rPr>
        <w:t>）</w:t>
      </w:r>
      <w:r>
        <w:t>《湖北省水污染</w:t>
      </w:r>
      <w:r>
        <w:rPr>
          <w:rFonts w:hint="eastAsia"/>
        </w:rPr>
        <w:t>防治</w:t>
      </w:r>
      <w:r>
        <w:t>条例》</w:t>
      </w:r>
      <w:r>
        <w:t>(2014</w:t>
      </w:r>
      <w:r>
        <w:t>年</w:t>
      </w:r>
      <w:r>
        <w:t>1</w:t>
      </w:r>
      <w:r>
        <w:t>月</w:t>
      </w:r>
      <w:r>
        <w:t>22</w:t>
      </w:r>
      <w:r>
        <w:t>日湖北省第十二届人民代表大会第二次会议通过</w:t>
      </w:r>
      <w:r w:rsidR="00E97427">
        <w:t>）</w:t>
      </w:r>
      <w:r>
        <w:t>。</w:t>
      </w:r>
    </w:p>
    <w:p w:rsidR="006175A6" w:rsidRDefault="009B4BA7">
      <w:pPr>
        <w:ind w:firstLine="480"/>
      </w:pPr>
      <w:r>
        <w:rPr>
          <w:rFonts w:hint="eastAsia"/>
        </w:rPr>
        <w:t>（</w:t>
      </w:r>
      <w:r>
        <w:rPr>
          <w:rFonts w:hint="eastAsia"/>
        </w:rPr>
        <w:t>16</w:t>
      </w:r>
      <w:r>
        <w:rPr>
          <w:rFonts w:hint="eastAsia"/>
        </w:rPr>
        <w:t>）</w:t>
      </w:r>
      <w:r>
        <w:t>《重点流域水污染防治规划</w:t>
      </w:r>
      <w:r>
        <w:t>(2016-2020</w:t>
      </w:r>
      <w:r>
        <w:t>年</w:t>
      </w:r>
      <w:r w:rsidR="00E97427">
        <w:t>）</w:t>
      </w:r>
      <w:r>
        <w:t>》</w:t>
      </w:r>
      <w:r>
        <w:t>2017</w:t>
      </w:r>
      <w:r>
        <w:t>年</w:t>
      </w:r>
      <w:r>
        <w:t>10</w:t>
      </w:r>
      <w:r>
        <w:t>月；</w:t>
      </w:r>
    </w:p>
    <w:p w:rsidR="006175A6" w:rsidRDefault="009B4BA7">
      <w:pPr>
        <w:ind w:firstLine="480"/>
      </w:pPr>
      <w:r>
        <w:rPr>
          <w:rFonts w:hint="eastAsia"/>
        </w:rPr>
        <w:t>（</w:t>
      </w:r>
      <w:r>
        <w:rPr>
          <w:rFonts w:hint="eastAsia"/>
        </w:rPr>
        <w:t>17</w:t>
      </w:r>
      <w:r>
        <w:rPr>
          <w:rFonts w:hint="eastAsia"/>
        </w:rPr>
        <w:t>）</w:t>
      </w:r>
      <w:r>
        <w:t>《湖北省人民政府关于发布湖北省生态保护红线的通知》</w:t>
      </w:r>
      <w:r>
        <w:t>(</w:t>
      </w:r>
      <w:r>
        <w:t>鄂政发</w:t>
      </w:r>
      <w:r>
        <w:t>[2018]30</w:t>
      </w:r>
      <w:r>
        <w:t>号，</w:t>
      </w:r>
      <w:r>
        <w:t>2018</w:t>
      </w:r>
      <w:r>
        <w:t>年</w:t>
      </w:r>
      <w:r>
        <w:t>7</w:t>
      </w:r>
      <w:r>
        <w:t>月</w:t>
      </w:r>
      <w:r>
        <w:t>25</w:t>
      </w:r>
      <w:r>
        <w:t>日施行</w:t>
      </w:r>
      <w:r w:rsidR="00E97427">
        <w:t>）</w:t>
      </w:r>
      <w:r>
        <w:t>；</w:t>
      </w:r>
    </w:p>
    <w:p w:rsidR="006175A6" w:rsidRDefault="009B4BA7">
      <w:pPr>
        <w:ind w:firstLine="480"/>
      </w:pPr>
      <w:r>
        <w:rPr>
          <w:rFonts w:hint="eastAsia"/>
        </w:rPr>
        <w:t>（</w:t>
      </w:r>
      <w:r>
        <w:rPr>
          <w:rFonts w:hint="eastAsia"/>
        </w:rPr>
        <w:t>18</w:t>
      </w:r>
      <w:r>
        <w:rPr>
          <w:rFonts w:hint="eastAsia"/>
        </w:rPr>
        <w:t>）《省人民政府关于加快实施“三线一单”生态环境分区管控的意见》（鄂政发〔</w:t>
      </w:r>
      <w:r>
        <w:rPr>
          <w:rFonts w:hint="eastAsia"/>
        </w:rPr>
        <w:t>2020</w:t>
      </w:r>
      <w:r>
        <w:rPr>
          <w:rFonts w:hint="eastAsia"/>
        </w:rPr>
        <w:t>〕</w:t>
      </w:r>
      <w:r>
        <w:rPr>
          <w:rFonts w:hint="eastAsia"/>
        </w:rPr>
        <w:t>21</w:t>
      </w:r>
      <w:r>
        <w:rPr>
          <w:rFonts w:hint="eastAsia"/>
        </w:rPr>
        <w:t>号）；</w:t>
      </w:r>
    </w:p>
    <w:p w:rsidR="006175A6" w:rsidRDefault="009B4BA7">
      <w:pPr>
        <w:ind w:firstLine="480"/>
      </w:pPr>
      <w:r>
        <w:rPr>
          <w:rFonts w:hint="eastAsia"/>
        </w:rPr>
        <w:t>（</w:t>
      </w:r>
      <w:r>
        <w:rPr>
          <w:rFonts w:hint="eastAsia"/>
        </w:rPr>
        <w:t>19</w:t>
      </w:r>
      <w:r>
        <w:rPr>
          <w:rFonts w:hint="eastAsia"/>
        </w:rPr>
        <w:t>）《市人民政府关于印发宜昌市“三线一单”生态环境分区管控实施方案的通知》（宜府发〔</w:t>
      </w:r>
      <w:r>
        <w:rPr>
          <w:rFonts w:hint="eastAsia"/>
        </w:rPr>
        <w:t>2021</w:t>
      </w:r>
      <w:r>
        <w:rPr>
          <w:rFonts w:hint="eastAsia"/>
        </w:rPr>
        <w:t>〕</w:t>
      </w:r>
      <w:r>
        <w:rPr>
          <w:rFonts w:hint="eastAsia"/>
        </w:rPr>
        <w:t>5</w:t>
      </w:r>
      <w:r>
        <w:rPr>
          <w:rFonts w:hint="eastAsia"/>
        </w:rPr>
        <w:t>号）</w:t>
      </w:r>
    </w:p>
    <w:p w:rsidR="006175A6" w:rsidRDefault="009B4BA7">
      <w:pPr>
        <w:pStyle w:val="3"/>
      </w:pPr>
      <w:r>
        <w:t>环境影响评价规范</w:t>
      </w:r>
    </w:p>
    <w:p w:rsidR="006175A6" w:rsidRDefault="009B4BA7">
      <w:pPr>
        <w:numPr>
          <w:ilvl w:val="0"/>
          <w:numId w:val="3"/>
        </w:numPr>
        <w:snapToGrid w:val="0"/>
        <w:ind w:firstLineChars="0"/>
        <w:rPr>
          <w:szCs w:val="24"/>
        </w:rPr>
      </w:pPr>
      <w:r>
        <w:rPr>
          <w:szCs w:val="24"/>
        </w:rPr>
        <w:t>《建设项目环境影响评价技术导则总纲》</w:t>
      </w:r>
      <w:r>
        <w:rPr>
          <w:szCs w:val="24"/>
        </w:rPr>
        <w:t>(HJ2.1-2016</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《环境影响评价技术导则大气环境》</w:t>
      </w:r>
      <w:r>
        <w:rPr>
          <w:szCs w:val="24"/>
        </w:rPr>
        <w:t>(HJ2.2-2018</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《环境影响评价技术导则地表水环境》</w:t>
      </w:r>
      <w:r>
        <w:rPr>
          <w:szCs w:val="24"/>
        </w:rPr>
        <w:t>(HJ2.3-2018</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《环境影响评价技术导则地下水环境》</w:t>
      </w:r>
      <w:r>
        <w:rPr>
          <w:szCs w:val="24"/>
        </w:rPr>
        <w:t>(HJ610-2016</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《环境影响评价技术导则声环境》</w:t>
      </w:r>
      <w:r>
        <w:rPr>
          <w:szCs w:val="24"/>
        </w:rPr>
        <w:t>(HJ2.4-2009</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《环境影响评价技术导则生态影响》</w:t>
      </w:r>
      <w:r>
        <w:rPr>
          <w:szCs w:val="24"/>
        </w:rPr>
        <w:t>(HJ19-2011</w:t>
      </w:r>
      <w:r w:rsidR="00E97427">
        <w:rPr>
          <w:szCs w:val="24"/>
        </w:rPr>
        <w:t>）</w:t>
      </w:r>
      <w:r>
        <w:rPr>
          <w:szCs w:val="24"/>
        </w:rPr>
        <w:t>；</w:t>
      </w:r>
    </w:p>
    <w:p w:rsidR="006175A6" w:rsidRDefault="009B4BA7">
      <w:pPr>
        <w:numPr>
          <w:ilvl w:val="0"/>
          <w:numId w:val="3"/>
        </w:numPr>
        <w:snapToGrid w:val="0"/>
        <w:ind w:firstLineChars="0"/>
        <w:rPr>
          <w:szCs w:val="24"/>
        </w:rPr>
      </w:pPr>
      <w:r>
        <w:rPr>
          <w:szCs w:val="24"/>
        </w:rPr>
        <w:t>《环境影响技术技术导则土壤环境》</w:t>
      </w:r>
      <w:r>
        <w:rPr>
          <w:szCs w:val="24"/>
        </w:rPr>
        <w:t>(</w:t>
      </w:r>
      <w:r>
        <w:rPr>
          <w:szCs w:val="24"/>
        </w:rPr>
        <w:t>试行</w:t>
      </w:r>
      <w:r w:rsidR="00E97427">
        <w:rPr>
          <w:szCs w:val="24"/>
        </w:rPr>
        <w:t>）</w:t>
      </w:r>
      <w:r>
        <w:rPr>
          <w:szCs w:val="24"/>
        </w:rPr>
        <w:t>(HJ964-2018</w:t>
      </w:r>
      <w:r w:rsidR="00E97427">
        <w:rPr>
          <w:szCs w:val="24"/>
        </w:rPr>
        <w:t>）</w:t>
      </w:r>
      <w:r>
        <w:rPr>
          <w:szCs w:val="24"/>
        </w:rPr>
        <w:t>；</w:t>
      </w:r>
    </w:p>
    <w:p w:rsidR="006175A6" w:rsidRDefault="009B4BA7">
      <w:pPr>
        <w:numPr>
          <w:ilvl w:val="0"/>
          <w:numId w:val="3"/>
        </w:numPr>
        <w:snapToGrid w:val="0"/>
        <w:ind w:firstLineChars="0"/>
        <w:rPr>
          <w:szCs w:val="24"/>
        </w:rPr>
      </w:pPr>
      <w:r>
        <w:rPr>
          <w:szCs w:val="24"/>
        </w:rPr>
        <w:lastRenderedPageBreak/>
        <w:t>《建设项目环境风险评价技术导则》</w:t>
      </w:r>
      <w:r>
        <w:rPr>
          <w:szCs w:val="24"/>
        </w:rPr>
        <w:t>(HJ169-2018</w:t>
      </w:r>
      <w:r w:rsidR="00E97427">
        <w:rPr>
          <w:szCs w:val="24"/>
        </w:rPr>
        <w:t>）</w:t>
      </w:r>
      <w:r>
        <w:rPr>
          <w:szCs w:val="24"/>
        </w:rPr>
        <w:t>；</w:t>
      </w:r>
    </w:p>
    <w:p w:rsidR="006175A6" w:rsidRDefault="009B4BA7">
      <w:pPr>
        <w:numPr>
          <w:ilvl w:val="0"/>
          <w:numId w:val="3"/>
        </w:numPr>
        <w:snapToGrid w:val="0"/>
        <w:ind w:firstLineChars="0"/>
        <w:rPr>
          <w:szCs w:val="24"/>
        </w:rPr>
      </w:pPr>
      <w:r>
        <w:rPr>
          <w:rFonts w:hint="eastAsia"/>
          <w:szCs w:val="24"/>
        </w:rPr>
        <w:t>《开发建设项目水土保持技术规范》</w:t>
      </w:r>
      <w:r>
        <w:rPr>
          <w:rFonts w:hint="eastAsia"/>
          <w:szCs w:val="24"/>
        </w:rPr>
        <w:t>(GB50433-2018</w:t>
      </w:r>
      <w:r w:rsidR="00E97427">
        <w:rPr>
          <w:rFonts w:hint="eastAsia"/>
          <w:szCs w:val="24"/>
        </w:rPr>
        <w:t>）</w:t>
      </w:r>
      <w:r>
        <w:rPr>
          <w:rFonts w:hint="eastAsia"/>
          <w:szCs w:val="24"/>
        </w:rPr>
        <w:t>；</w:t>
      </w:r>
    </w:p>
    <w:p w:rsidR="006175A6" w:rsidRDefault="009B4BA7">
      <w:pPr>
        <w:numPr>
          <w:ilvl w:val="0"/>
          <w:numId w:val="3"/>
        </w:numPr>
        <w:snapToGrid w:val="0"/>
        <w:ind w:firstLineChars="0"/>
        <w:rPr>
          <w:szCs w:val="24"/>
        </w:rPr>
      </w:pPr>
      <w:r>
        <w:rPr>
          <w:rFonts w:hint="eastAsia"/>
          <w:szCs w:val="24"/>
        </w:rPr>
        <w:t>《水土保持监测技术规程》</w:t>
      </w:r>
      <w:r>
        <w:rPr>
          <w:rFonts w:hint="eastAsia"/>
          <w:szCs w:val="24"/>
        </w:rPr>
        <w:t>(SL277-2002</w:t>
      </w:r>
      <w:r w:rsidR="00E97427">
        <w:rPr>
          <w:rFonts w:hint="eastAsia"/>
          <w:szCs w:val="24"/>
        </w:rPr>
        <w:t>）</w:t>
      </w:r>
      <w:r>
        <w:rPr>
          <w:rFonts w:hint="eastAsia"/>
          <w:szCs w:val="24"/>
        </w:rPr>
        <w:t>；</w:t>
      </w:r>
    </w:p>
    <w:p w:rsidR="006175A6" w:rsidRDefault="009B4BA7">
      <w:pPr>
        <w:numPr>
          <w:ilvl w:val="0"/>
          <w:numId w:val="3"/>
        </w:numPr>
        <w:snapToGrid w:val="0"/>
        <w:ind w:firstLineChars="0"/>
        <w:rPr>
          <w:szCs w:val="24"/>
        </w:rPr>
      </w:pPr>
      <w:r>
        <w:rPr>
          <w:rFonts w:hint="eastAsia"/>
          <w:szCs w:val="24"/>
        </w:rPr>
        <w:t>《地表水和污水监测技术规范》（</w:t>
      </w:r>
      <w:r>
        <w:rPr>
          <w:rFonts w:hint="eastAsia"/>
          <w:szCs w:val="24"/>
        </w:rPr>
        <w:t>HJ/T91-2002</w:t>
      </w:r>
      <w:r>
        <w:rPr>
          <w:rFonts w:hint="eastAsia"/>
          <w:szCs w:val="24"/>
        </w:rPr>
        <w:t>）；</w:t>
      </w:r>
    </w:p>
    <w:p w:rsidR="006175A6" w:rsidRDefault="009B4BA7">
      <w:pPr>
        <w:numPr>
          <w:ilvl w:val="0"/>
          <w:numId w:val="3"/>
        </w:numPr>
        <w:snapToGrid w:val="0"/>
        <w:ind w:firstLineChars="0"/>
        <w:rPr>
          <w:szCs w:val="24"/>
        </w:rPr>
      </w:pPr>
      <w:r>
        <w:rPr>
          <w:rFonts w:hint="eastAsia"/>
          <w:szCs w:val="24"/>
        </w:rPr>
        <w:t>《水域纳污能力计算规程》（</w:t>
      </w:r>
      <w:r>
        <w:rPr>
          <w:rFonts w:hint="eastAsia"/>
          <w:szCs w:val="24"/>
        </w:rPr>
        <w:t>GB/T25173</w:t>
      </w:r>
      <w:r>
        <w:rPr>
          <w:rFonts w:hint="eastAsia"/>
          <w:szCs w:val="24"/>
        </w:rPr>
        <w:t>－</w:t>
      </w:r>
      <w:r>
        <w:rPr>
          <w:rFonts w:hint="eastAsia"/>
          <w:szCs w:val="24"/>
        </w:rPr>
        <w:t>2010</w:t>
      </w:r>
      <w:r>
        <w:rPr>
          <w:rFonts w:hint="eastAsia"/>
          <w:szCs w:val="24"/>
        </w:rPr>
        <w:t>）；</w:t>
      </w:r>
    </w:p>
    <w:p w:rsidR="006175A6" w:rsidRDefault="009B4BA7">
      <w:pPr>
        <w:numPr>
          <w:ilvl w:val="0"/>
          <w:numId w:val="3"/>
        </w:numPr>
        <w:snapToGrid w:val="0"/>
        <w:ind w:firstLineChars="0"/>
        <w:rPr>
          <w:szCs w:val="24"/>
        </w:rPr>
      </w:pPr>
      <w:r>
        <w:rPr>
          <w:rFonts w:hint="eastAsia"/>
          <w:szCs w:val="24"/>
        </w:rPr>
        <w:t>《水利水电工程环境保护概估算编制规程》（</w:t>
      </w:r>
      <w:r>
        <w:rPr>
          <w:rFonts w:hint="eastAsia"/>
          <w:szCs w:val="24"/>
        </w:rPr>
        <w:t>SL359</w:t>
      </w:r>
      <w:r>
        <w:rPr>
          <w:rFonts w:hint="eastAsia"/>
          <w:szCs w:val="24"/>
        </w:rPr>
        <w:t>－</w:t>
      </w:r>
      <w:r>
        <w:rPr>
          <w:rFonts w:hint="eastAsia"/>
          <w:szCs w:val="24"/>
        </w:rPr>
        <w:t>2006</w:t>
      </w:r>
      <w:r>
        <w:rPr>
          <w:rFonts w:hint="eastAsia"/>
          <w:szCs w:val="24"/>
        </w:rPr>
        <w:t>）；</w:t>
      </w:r>
    </w:p>
    <w:p w:rsidR="006175A6" w:rsidRDefault="009B4BA7">
      <w:pPr>
        <w:numPr>
          <w:ilvl w:val="0"/>
          <w:numId w:val="3"/>
        </w:numPr>
        <w:snapToGrid w:val="0"/>
        <w:ind w:firstLineChars="0"/>
        <w:rPr>
          <w:szCs w:val="24"/>
        </w:rPr>
      </w:pPr>
      <w:r>
        <w:rPr>
          <w:rFonts w:hint="eastAsia"/>
          <w:szCs w:val="24"/>
        </w:rPr>
        <w:t>《水利水电工程水文计算规范》（</w:t>
      </w:r>
      <w:r>
        <w:rPr>
          <w:rFonts w:hint="eastAsia"/>
          <w:szCs w:val="24"/>
        </w:rPr>
        <w:t>SL278-2020</w:t>
      </w:r>
      <w:r>
        <w:rPr>
          <w:rFonts w:hint="eastAsia"/>
          <w:szCs w:val="24"/>
        </w:rPr>
        <w:t>）；</w:t>
      </w:r>
    </w:p>
    <w:p w:rsidR="006175A6" w:rsidRDefault="009B4BA7">
      <w:pPr>
        <w:numPr>
          <w:ilvl w:val="0"/>
          <w:numId w:val="3"/>
        </w:numPr>
        <w:snapToGrid w:val="0"/>
        <w:ind w:firstLineChars="0"/>
        <w:rPr>
          <w:szCs w:val="24"/>
        </w:rPr>
      </w:pPr>
      <w:r>
        <w:rPr>
          <w:rFonts w:hint="eastAsia"/>
          <w:szCs w:val="24"/>
        </w:rPr>
        <w:t>《饮用水水源保护区划分技术规范》（</w:t>
      </w:r>
      <w:r>
        <w:rPr>
          <w:rFonts w:hint="eastAsia"/>
          <w:szCs w:val="24"/>
        </w:rPr>
        <w:t>HJ338-2018</w:t>
      </w:r>
      <w:r>
        <w:rPr>
          <w:rFonts w:hint="eastAsia"/>
          <w:szCs w:val="24"/>
        </w:rPr>
        <w:t>）；</w:t>
      </w:r>
    </w:p>
    <w:p w:rsidR="006175A6" w:rsidRDefault="009B4BA7">
      <w:pPr>
        <w:numPr>
          <w:ilvl w:val="0"/>
          <w:numId w:val="3"/>
        </w:numPr>
        <w:snapToGrid w:val="0"/>
        <w:ind w:firstLineChars="0"/>
        <w:rPr>
          <w:szCs w:val="24"/>
        </w:rPr>
      </w:pPr>
      <w:r>
        <w:rPr>
          <w:rFonts w:hint="eastAsia"/>
          <w:szCs w:val="24"/>
        </w:rPr>
        <w:t>《饮用水水源保护区标志技术要求》（</w:t>
      </w:r>
      <w:r>
        <w:rPr>
          <w:rFonts w:hint="eastAsia"/>
          <w:szCs w:val="24"/>
        </w:rPr>
        <w:t>HJ/T433-2008</w:t>
      </w:r>
      <w:r>
        <w:rPr>
          <w:rFonts w:hint="eastAsia"/>
          <w:szCs w:val="24"/>
        </w:rPr>
        <w:t>）。</w:t>
      </w:r>
    </w:p>
    <w:p w:rsidR="006175A6" w:rsidRDefault="009B4BA7">
      <w:pPr>
        <w:pStyle w:val="3"/>
      </w:pPr>
      <w:r>
        <w:t>其他文件</w:t>
      </w:r>
    </w:p>
    <w:p w:rsidR="006175A6" w:rsidRDefault="009B4BA7">
      <w:pPr>
        <w:pStyle w:val="ae"/>
        <w:numPr>
          <w:ilvl w:val="0"/>
          <w:numId w:val="4"/>
        </w:numPr>
        <w:ind w:firstLineChars="0"/>
      </w:pPr>
      <w:r>
        <w:rPr>
          <w:rFonts w:hint="eastAsia"/>
        </w:rPr>
        <w:t>《湖北省兴山县两河口水库工程水土工程水土保持方案》（</w:t>
      </w:r>
      <w:r>
        <w:rPr>
          <w:rFonts w:hint="eastAsia"/>
        </w:rPr>
        <w:t>2014</w:t>
      </w:r>
      <w:r>
        <w:rPr>
          <w:rFonts w:hint="eastAsia"/>
        </w:rPr>
        <w:t>年</w:t>
      </w:r>
      <w:r>
        <w:rPr>
          <w:rFonts w:hint="eastAsia"/>
        </w:rPr>
        <w:t>12</w:t>
      </w:r>
      <w:r>
        <w:rPr>
          <w:rFonts w:hint="eastAsia"/>
        </w:rPr>
        <w:t>月）；</w:t>
      </w:r>
    </w:p>
    <w:p w:rsidR="006175A6" w:rsidRDefault="009B4BA7">
      <w:pPr>
        <w:pStyle w:val="ae"/>
        <w:numPr>
          <w:ilvl w:val="0"/>
          <w:numId w:val="4"/>
        </w:numPr>
        <w:ind w:firstLineChars="0"/>
      </w:pPr>
      <w:r>
        <w:rPr>
          <w:rFonts w:hint="eastAsia"/>
        </w:rPr>
        <w:t>《兴山县两河口水库工程可行性研究报告》（</w:t>
      </w:r>
      <w:r>
        <w:rPr>
          <w:rFonts w:hint="eastAsia"/>
        </w:rPr>
        <w:t>2015</w:t>
      </w:r>
      <w:r>
        <w:rPr>
          <w:rFonts w:hint="eastAsia"/>
        </w:rPr>
        <w:t>年</w:t>
      </w:r>
      <w:r>
        <w:rPr>
          <w:rFonts w:hint="eastAsia"/>
        </w:rPr>
        <w:t>2</w:t>
      </w:r>
      <w:r>
        <w:rPr>
          <w:rFonts w:hint="eastAsia"/>
        </w:rPr>
        <w:t>月）；</w:t>
      </w:r>
    </w:p>
    <w:p w:rsidR="006175A6" w:rsidRDefault="009B4BA7">
      <w:pPr>
        <w:pStyle w:val="ae"/>
        <w:numPr>
          <w:ilvl w:val="0"/>
          <w:numId w:val="4"/>
        </w:numPr>
        <w:ind w:firstLineChars="0"/>
      </w:pPr>
      <w:r>
        <w:rPr>
          <w:rFonts w:hint="eastAsia"/>
        </w:rPr>
        <w:t>《两河口水库工程初步设计报告》（</w:t>
      </w:r>
      <w:r>
        <w:rPr>
          <w:rFonts w:hint="eastAsia"/>
        </w:rPr>
        <w:t>2017</w:t>
      </w:r>
      <w:r>
        <w:rPr>
          <w:rFonts w:hint="eastAsia"/>
        </w:rPr>
        <w:t>年</w:t>
      </w:r>
      <w:r>
        <w:rPr>
          <w:rFonts w:hint="eastAsia"/>
        </w:rPr>
        <w:t>7</w:t>
      </w:r>
      <w:r>
        <w:rPr>
          <w:rFonts w:hint="eastAsia"/>
        </w:rPr>
        <w:t>月）；</w:t>
      </w:r>
    </w:p>
    <w:p w:rsidR="006175A6" w:rsidRDefault="009B4BA7">
      <w:pPr>
        <w:pStyle w:val="ae"/>
        <w:numPr>
          <w:ilvl w:val="0"/>
          <w:numId w:val="4"/>
        </w:numPr>
        <w:ind w:left="0" w:firstLine="480"/>
      </w:pPr>
      <w:r>
        <w:t>项目环评委托书</w:t>
      </w:r>
      <w:r>
        <w:rPr>
          <w:rFonts w:hint="eastAsia"/>
        </w:rPr>
        <w:t>（</w:t>
      </w:r>
      <w:r>
        <w:rPr>
          <w:rFonts w:hint="eastAsia"/>
        </w:rPr>
        <w:t>2021</w:t>
      </w:r>
      <w:r>
        <w:rPr>
          <w:rFonts w:hint="eastAsia"/>
        </w:rPr>
        <w:t>年</w:t>
      </w:r>
      <w:r>
        <w:rPr>
          <w:rFonts w:hint="eastAsia"/>
        </w:rPr>
        <w:t>7</w:t>
      </w:r>
      <w:r>
        <w:rPr>
          <w:rFonts w:hint="eastAsia"/>
        </w:rPr>
        <w:t>月）；</w:t>
      </w:r>
    </w:p>
    <w:p w:rsidR="006175A6" w:rsidRDefault="009B4BA7">
      <w:pPr>
        <w:pStyle w:val="ae"/>
        <w:numPr>
          <w:ilvl w:val="0"/>
          <w:numId w:val="4"/>
        </w:numPr>
        <w:ind w:left="0" w:firstLine="480"/>
      </w:pPr>
      <w:r>
        <w:rPr>
          <w:rFonts w:hint="eastAsia"/>
        </w:rPr>
        <w:t>环境质量现状监测报告</w:t>
      </w:r>
    </w:p>
    <w:p w:rsidR="006175A6" w:rsidRDefault="009B4BA7">
      <w:pPr>
        <w:pStyle w:val="2"/>
        <w:rPr>
          <w:rFonts w:cs="Times New Roman"/>
        </w:rPr>
      </w:pPr>
      <w:bookmarkStart w:id="18" w:name="_Toc76328090"/>
      <w:bookmarkStart w:id="19" w:name="_Toc80170084"/>
      <w:r>
        <w:rPr>
          <w:rFonts w:cs="Times New Roman"/>
        </w:rPr>
        <w:t>评价工作原则及方法</w:t>
      </w:r>
      <w:bookmarkEnd w:id="18"/>
      <w:bookmarkEnd w:id="19"/>
    </w:p>
    <w:p w:rsidR="006175A6" w:rsidRDefault="009B4BA7">
      <w:pPr>
        <w:pStyle w:val="3"/>
      </w:pPr>
      <w:r>
        <w:t>评价工作原则</w:t>
      </w:r>
    </w:p>
    <w:p w:rsidR="006175A6" w:rsidRDefault="009B4BA7">
      <w:pPr>
        <w:ind w:firstLine="480"/>
      </w:pPr>
      <w:r>
        <w:t>突出环境影响评价的源头预防作用，坚持保护和改善环境质量。</w:t>
      </w:r>
    </w:p>
    <w:p w:rsidR="006175A6" w:rsidRDefault="009B4BA7">
      <w:pPr>
        <w:ind w:firstLine="480"/>
      </w:pPr>
      <w:r>
        <w:t>（</w:t>
      </w:r>
      <w:r>
        <w:t>1</w:t>
      </w:r>
      <w:r>
        <w:t>）依法评价</w:t>
      </w:r>
    </w:p>
    <w:p w:rsidR="006175A6" w:rsidRDefault="009B4BA7">
      <w:pPr>
        <w:ind w:firstLine="480"/>
      </w:pPr>
      <w: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rsidR="006175A6" w:rsidRDefault="009B4BA7">
      <w:pPr>
        <w:ind w:firstLine="480"/>
      </w:pPr>
      <w:r>
        <w:t>（</w:t>
      </w:r>
      <w:r>
        <w:t>2</w:t>
      </w:r>
      <w:r>
        <w:t>）科学评价</w:t>
      </w:r>
    </w:p>
    <w:p w:rsidR="006175A6" w:rsidRDefault="009B4BA7">
      <w:pPr>
        <w:ind w:firstLine="480"/>
      </w:pPr>
      <w:r>
        <w:t>规划环境影响评价方法，科学分析项目建设对环境质量的影响。</w:t>
      </w:r>
    </w:p>
    <w:p w:rsidR="006175A6" w:rsidRDefault="009B4BA7">
      <w:pPr>
        <w:ind w:firstLine="480"/>
      </w:pPr>
      <w:r>
        <w:t>（</w:t>
      </w:r>
      <w:r>
        <w:t>3</w:t>
      </w:r>
      <w:r>
        <w:t>）突出重点</w:t>
      </w:r>
    </w:p>
    <w:p w:rsidR="006175A6" w:rsidRDefault="009B4BA7">
      <w:pPr>
        <w:ind w:firstLine="480"/>
      </w:pPr>
      <w:r>
        <w:t>根据建设项目的工程内容及其特点，明确与环境要素间的作用效应关系，根</w:t>
      </w:r>
      <w:r>
        <w:lastRenderedPageBreak/>
        <w:t>据规划环境影响评价结论和审查意见，充分利用符合时效的数据资料及成果，对建设项目主要环境影响予以重点分析和评价。</w:t>
      </w:r>
    </w:p>
    <w:p w:rsidR="006175A6" w:rsidRDefault="009B4BA7">
      <w:pPr>
        <w:pStyle w:val="3"/>
      </w:pPr>
      <w:r>
        <w:t>评价方法</w:t>
      </w:r>
    </w:p>
    <w:p w:rsidR="006175A6" w:rsidRDefault="009B4BA7">
      <w:pPr>
        <w:ind w:firstLine="480"/>
      </w:pPr>
      <w:r>
        <w:t>（</w:t>
      </w:r>
      <w:r>
        <w:t>1</w:t>
      </w:r>
      <w:r>
        <w:t>）环境质量现状评价采用资料调查法；</w:t>
      </w:r>
    </w:p>
    <w:p w:rsidR="006175A6" w:rsidRDefault="009B4BA7">
      <w:pPr>
        <w:ind w:firstLine="480"/>
      </w:pPr>
      <w:r>
        <w:t>（</w:t>
      </w:r>
      <w:r>
        <w:t>2</w:t>
      </w:r>
      <w:r>
        <w:t>）工程分析采用类比调查、物料平衡法等；</w:t>
      </w:r>
    </w:p>
    <w:p w:rsidR="006175A6" w:rsidRDefault="009B4BA7">
      <w:pPr>
        <w:ind w:firstLine="480"/>
      </w:pPr>
      <w:r>
        <w:t>（</w:t>
      </w:r>
      <w:r>
        <w:t>3</w:t>
      </w:r>
      <w:r>
        <w:t>）大气以及声环境等环境影响分析采用模型预测法；</w:t>
      </w:r>
    </w:p>
    <w:p w:rsidR="006175A6" w:rsidRDefault="009B4BA7">
      <w:pPr>
        <w:ind w:firstLine="480"/>
      </w:pPr>
      <w:r>
        <w:t>（</w:t>
      </w:r>
      <w:r>
        <w:t>4</w:t>
      </w:r>
      <w:r>
        <w:t>）设置合理的评价专题，将拟建项目大气、水以及固废等污染防治措施、风险专题列为重点评价专题。</w:t>
      </w:r>
    </w:p>
    <w:p w:rsidR="006175A6" w:rsidRDefault="009B4BA7">
      <w:pPr>
        <w:pStyle w:val="2"/>
        <w:rPr>
          <w:rFonts w:cs="Times New Roman"/>
        </w:rPr>
      </w:pPr>
      <w:bookmarkStart w:id="20" w:name="_Toc76328091"/>
      <w:bookmarkStart w:id="21" w:name="_Toc80170085"/>
      <w:r>
        <w:rPr>
          <w:rFonts w:cs="Times New Roman"/>
        </w:rPr>
        <w:t>编制目的</w:t>
      </w:r>
      <w:bookmarkEnd w:id="20"/>
      <w:bookmarkEnd w:id="21"/>
    </w:p>
    <w:p w:rsidR="006175A6" w:rsidRDefault="009B4BA7">
      <w:pPr>
        <w:ind w:firstLine="480"/>
      </w:pPr>
      <w:r>
        <w:t>开展环境影响评价的目的就是通过查清环境背景，明确环境保护目标，对可能产生的环境问题进行剖析，提出防治对策，以求将不利的环境影响减小到最低程度，促使项目建成运行后能取得最佳的社会、环境和经济综合效益。</w:t>
      </w:r>
    </w:p>
    <w:p w:rsidR="006175A6" w:rsidRDefault="009B4BA7">
      <w:pPr>
        <w:ind w:firstLine="480"/>
      </w:pPr>
      <w:r>
        <w:t>1</w:t>
      </w:r>
      <w:r>
        <w:t>、通过对拟建项目所在地区自然及社会环境现状的调查、项目的工程分析、环境影响预测和公众意见收集等系统性的工作，查明该地区的环境质量现状，掌握其环境特征，分析本项目污染物排放状况。以及实施污染防治措施后能够实现的污染物削减量，预测拟建项目建成后对环境影响的特点、范围和程度以及环境质量可能发生的变化；</w:t>
      </w:r>
    </w:p>
    <w:p w:rsidR="006175A6" w:rsidRDefault="009B4BA7">
      <w:pPr>
        <w:ind w:firstLine="480"/>
      </w:pPr>
      <w:r>
        <w:t>2</w:t>
      </w:r>
      <w:r>
        <w:t>、评述项目污染防治方案的可行性，并根据国家对建设项目进行环境管理的</w:t>
      </w:r>
      <w:r>
        <w:t>“</w:t>
      </w:r>
      <w:r>
        <w:t>污染物达标排放</w:t>
      </w:r>
      <w:r>
        <w:t>”</w:t>
      </w:r>
      <w:r>
        <w:t>、</w:t>
      </w:r>
      <w:r>
        <w:t>“</w:t>
      </w:r>
      <w:r>
        <w:t>总量控制</w:t>
      </w:r>
      <w:r>
        <w:t>”</w:t>
      </w:r>
      <w:r>
        <w:t>、</w:t>
      </w:r>
      <w:r>
        <w:t>“</w:t>
      </w:r>
      <w:r>
        <w:t>清洁生产</w:t>
      </w:r>
      <w:r>
        <w:t>”</w:t>
      </w:r>
      <w:r>
        <w:t>以及</w:t>
      </w:r>
      <w:r>
        <w:t>“</w:t>
      </w:r>
      <w:r>
        <w:t>产业政策</w:t>
      </w:r>
      <w:r>
        <w:t>”</w:t>
      </w:r>
      <w:r>
        <w:t>、</w:t>
      </w:r>
      <w:r>
        <w:t>“</w:t>
      </w:r>
      <w:r>
        <w:t>用地规划</w:t>
      </w:r>
      <w:r>
        <w:t>”</w:t>
      </w:r>
      <w:r>
        <w:t>等方面的要求，从环境保护的角度，论证项目的可行性，并对项目生产管理和污染防治措施提出技术经济分析论证；</w:t>
      </w:r>
    </w:p>
    <w:p w:rsidR="006175A6" w:rsidRDefault="009B4BA7">
      <w:pPr>
        <w:ind w:firstLine="480"/>
      </w:pPr>
      <w:r>
        <w:t>3</w:t>
      </w:r>
      <w:r>
        <w:t>、根据项目环境影响的特点，对其环境管理及环境监测计划提出要求；</w:t>
      </w:r>
    </w:p>
    <w:p w:rsidR="006175A6" w:rsidRDefault="009B4BA7">
      <w:pPr>
        <w:ind w:firstLine="480"/>
      </w:pPr>
      <w:r>
        <w:t>4</w:t>
      </w:r>
      <w:r>
        <w:t>、为项目的初步设计和环境监督管理提供科学依据。</w:t>
      </w:r>
    </w:p>
    <w:p w:rsidR="006175A6" w:rsidRDefault="009B4BA7">
      <w:pPr>
        <w:pStyle w:val="2"/>
        <w:rPr>
          <w:rFonts w:cs="Times New Roman"/>
        </w:rPr>
      </w:pPr>
      <w:bookmarkStart w:id="22" w:name="_Toc76328092"/>
      <w:bookmarkStart w:id="23" w:name="_Toc80170086"/>
      <w:r>
        <w:rPr>
          <w:rFonts w:cs="Times New Roman"/>
        </w:rPr>
        <w:lastRenderedPageBreak/>
        <w:t>环境影响识别和评价因子筛选</w:t>
      </w:r>
      <w:bookmarkEnd w:id="22"/>
      <w:bookmarkEnd w:id="23"/>
    </w:p>
    <w:p w:rsidR="006175A6" w:rsidRDefault="009B4BA7">
      <w:pPr>
        <w:pStyle w:val="3"/>
      </w:pPr>
      <w:r>
        <w:t>环境影响识别</w:t>
      </w:r>
    </w:p>
    <w:p w:rsidR="006175A6" w:rsidRDefault="009B4BA7">
      <w:pPr>
        <w:pStyle w:val="4"/>
      </w:pPr>
      <w:r>
        <w:rPr>
          <w:rFonts w:hint="eastAsia"/>
        </w:rPr>
        <w:t>环境对项目建设的制约因素</w:t>
      </w:r>
    </w:p>
    <w:p w:rsidR="006175A6" w:rsidRDefault="009B4BA7">
      <w:pPr>
        <w:ind w:firstLine="480"/>
      </w:pPr>
      <w:r>
        <w:rPr>
          <w:rFonts w:hint="eastAsia"/>
        </w:rPr>
        <w:t>本工程属于新建工程，坝址、输水管道等建设区地质条件好；周边区域不涉及自然保护区、风景名胜区等敏感区域；根据环境现状监测，区域环境质量良好。外环境对本工程建设的制约因素分析结果见</w:t>
      </w:r>
    </w:p>
    <w:p w:rsidR="006175A6" w:rsidRDefault="009B4BA7">
      <w:pPr>
        <w:pStyle w:val="a3"/>
      </w:pPr>
      <w:bookmarkStart w:id="24" w:name="_Ref8965"/>
      <w:r>
        <w:rPr>
          <w:rFonts w:hint="eastAsia"/>
        </w:rPr>
        <w:t>表</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24"/>
      <w:r>
        <w:rPr>
          <w:rFonts w:hint="eastAsia"/>
        </w:rPr>
        <w:t>外环境对本工程建设的制约因素识别表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731"/>
        <w:gridCol w:w="1356"/>
        <w:gridCol w:w="938"/>
        <w:gridCol w:w="1825"/>
        <w:gridCol w:w="1356"/>
      </w:tblGrid>
      <w:tr w:rsidR="006175A6">
        <w:trPr>
          <w:trHeight w:val="340"/>
          <w:jc w:val="center"/>
        </w:trPr>
        <w:tc>
          <w:tcPr>
            <w:tcW w:w="668" w:type="pct"/>
            <w:vAlign w:val="center"/>
          </w:tcPr>
          <w:p w:rsidR="006175A6" w:rsidRDefault="009B4BA7">
            <w:pPr>
              <w:pStyle w:val="TableParagraph"/>
              <w:rPr>
                <w:sz w:val="21"/>
              </w:rPr>
            </w:pPr>
            <w:r>
              <w:rPr>
                <w:sz w:val="21"/>
              </w:rPr>
              <w:t>序号</w:t>
            </w:r>
          </w:p>
        </w:tc>
        <w:tc>
          <w:tcPr>
            <w:tcW w:w="1041" w:type="pct"/>
            <w:vAlign w:val="center"/>
          </w:tcPr>
          <w:p w:rsidR="006175A6" w:rsidRDefault="009B4BA7">
            <w:pPr>
              <w:pStyle w:val="TableParagraph"/>
              <w:rPr>
                <w:sz w:val="21"/>
              </w:rPr>
            </w:pPr>
            <w:r>
              <w:rPr>
                <w:sz w:val="21"/>
              </w:rPr>
              <w:t>外环境因素</w:t>
            </w:r>
          </w:p>
        </w:tc>
        <w:tc>
          <w:tcPr>
            <w:tcW w:w="815" w:type="pct"/>
            <w:vAlign w:val="center"/>
          </w:tcPr>
          <w:p w:rsidR="006175A6" w:rsidRDefault="009B4BA7">
            <w:pPr>
              <w:pStyle w:val="TableParagraph"/>
              <w:rPr>
                <w:sz w:val="21"/>
              </w:rPr>
            </w:pPr>
            <w:r>
              <w:rPr>
                <w:sz w:val="21"/>
              </w:rPr>
              <w:t>制约程度</w:t>
            </w:r>
          </w:p>
        </w:tc>
        <w:tc>
          <w:tcPr>
            <w:tcW w:w="564" w:type="pct"/>
            <w:vAlign w:val="center"/>
          </w:tcPr>
          <w:p w:rsidR="006175A6" w:rsidRDefault="009B4BA7">
            <w:pPr>
              <w:pStyle w:val="TableParagraph"/>
              <w:rPr>
                <w:sz w:val="21"/>
              </w:rPr>
            </w:pPr>
            <w:r>
              <w:rPr>
                <w:sz w:val="21"/>
              </w:rPr>
              <w:t>序号</w:t>
            </w:r>
          </w:p>
        </w:tc>
        <w:tc>
          <w:tcPr>
            <w:tcW w:w="1097" w:type="pct"/>
            <w:vAlign w:val="center"/>
          </w:tcPr>
          <w:p w:rsidR="006175A6" w:rsidRDefault="009B4BA7">
            <w:pPr>
              <w:pStyle w:val="TableParagraph"/>
              <w:rPr>
                <w:sz w:val="21"/>
              </w:rPr>
            </w:pPr>
            <w:r>
              <w:rPr>
                <w:sz w:val="21"/>
              </w:rPr>
              <w:t>外环境因素</w:t>
            </w:r>
          </w:p>
        </w:tc>
        <w:tc>
          <w:tcPr>
            <w:tcW w:w="815" w:type="pct"/>
            <w:vAlign w:val="center"/>
          </w:tcPr>
          <w:p w:rsidR="006175A6" w:rsidRDefault="009B4BA7">
            <w:pPr>
              <w:pStyle w:val="TableParagraph"/>
              <w:rPr>
                <w:sz w:val="21"/>
              </w:rPr>
            </w:pPr>
            <w:r>
              <w:rPr>
                <w:sz w:val="21"/>
              </w:rPr>
              <w:t>制约程度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1</w:t>
            </w:r>
          </w:p>
        </w:tc>
        <w:tc>
          <w:tcPr>
            <w:tcW w:w="1041" w:type="pct"/>
            <w:vAlign w:val="center"/>
          </w:tcPr>
          <w:p w:rsidR="006175A6" w:rsidRDefault="009B4BA7">
            <w:pPr>
              <w:pStyle w:val="TableParagraph"/>
              <w:rPr>
                <w:sz w:val="21"/>
              </w:rPr>
            </w:pPr>
            <w:r>
              <w:rPr>
                <w:sz w:val="21"/>
              </w:rPr>
              <w:t>气候资源</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10</w:t>
            </w:r>
          </w:p>
        </w:tc>
        <w:tc>
          <w:tcPr>
            <w:tcW w:w="1097" w:type="pct"/>
            <w:vAlign w:val="center"/>
          </w:tcPr>
          <w:p w:rsidR="006175A6" w:rsidRDefault="009B4BA7">
            <w:pPr>
              <w:pStyle w:val="TableParagraph"/>
              <w:rPr>
                <w:sz w:val="21"/>
              </w:rPr>
            </w:pPr>
            <w:r>
              <w:rPr>
                <w:sz w:val="21"/>
              </w:rPr>
              <w:t>环境空气质量</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2</w:t>
            </w:r>
          </w:p>
        </w:tc>
        <w:tc>
          <w:tcPr>
            <w:tcW w:w="1041" w:type="pct"/>
            <w:vAlign w:val="center"/>
          </w:tcPr>
          <w:p w:rsidR="006175A6" w:rsidRDefault="009B4BA7">
            <w:pPr>
              <w:pStyle w:val="TableParagraph"/>
              <w:rPr>
                <w:sz w:val="21"/>
              </w:rPr>
            </w:pPr>
            <w:r>
              <w:rPr>
                <w:sz w:val="21"/>
              </w:rPr>
              <w:t>地形地貌</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11</w:t>
            </w:r>
          </w:p>
        </w:tc>
        <w:tc>
          <w:tcPr>
            <w:tcW w:w="1097" w:type="pct"/>
            <w:vAlign w:val="center"/>
          </w:tcPr>
          <w:p w:rsidR="006175A6" w:rsidRDefault="009B4BA7">
            <w:pPr>
              <w:pStyle w:val="TableParagraph"/>
              <w:rPr>
                <w:sz w:val="21"/>
              </w:rPr>
            </w:pPr>
            <w:r>
              <w:rPr>
                <w:sz w:val="21"/>
              </w:rPr>
              <w:t>地表水质量</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3</w:t>
            </w:r>
          </w:p>
        </w:tc>
        <w:tc>
          <w:tcPr>
            <w:tcW w:w="1041" w:type="pct"/>
            <w:vAlign w:val="center"/>
          </w:tcPr>
          <w:p w:rsidR="006175A6" w:rsidRDefault="009B4BA7">
            <w:pPr>
              <w:pStyle w:val="TableParagraph"/>
              <w:rPr>
                <w:sz w:val="21"/>
              </w:rPr>
            </w:pPr>
            <w:r>
              <w:rPr>
                <w:sz w:val="21"/>
              </w:rPr>
              <w:t>工程地质</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12</w:t>
            </w:r>
          </w:p>
        </w:tc>
        <w:tc>
          <w:tcPr>
            <w:tcW w:w="1097" w:type="pct"/>
            <w:vAlign w:val="center"/>
          </w:tcPr>
          <w:p w:rsidR="006175A6" w:rsidRDefault="009B4BA7">
            <w:pPr>
              <w:pStyle w:val="TableParagraph"/>
              <w:rPr>
                <w:sz w:val="21"/>
              </w:rPr>
            </w:pPr>
            <w:r>
              <w:rPr>
                <w:sz w:val="21"/>
              </w:rPr>
              <w:t>声环境质量</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4</w:t>
            </w:r>
          </w:p>
        </w:tc>
        <w:tc>
          <w:tcPr>
            <w:tcW w:w="1041" w:type="pct"/>
            <w:vAlign w:val="center"/>
          </w:tcPr>
          <w:p w:rsidR="006175A6" w:rsidRDefault="009B4BA7">
            <w:pPr>
              <w:pStyle w:val="TableParagraph"/>
              <w:rPr>
                <w:sz w:val="21"/>
              </w:rPr>
            </w:pPr>
            <w:r>
              <w:rPr>
                <w:sz w:val="21"/>
              </w:rPr>
              <w:t>地表水文</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13</w:t>
            </w:r>
          </w:p>
        </w:tc>
        <w:tc>
          <w:tcPr>
            <w:tcW w:w="1097" w:type="pct"/>
            <w:vAlign w:val="center"/>
          </w:tcPr>
          <w:p w:rsidR="006175A6" w:rsidRDefault="009B4BA7">
            <w:pPr>
              <w:pStyle w:val="TableParagraph"/>
              <w:rPr>
                <w:sz w:val="21"/>
              </w:rPr>
            </w:pPr>
            <w:r>
              <w:rPr>
                <w:sz w:val="21"/>
              </w:rPr>
              <w:t>交通运输</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5</w:t>
            </w:r>
          </w:p>
        </w:tc>
        <w:tc>
          <w:tcPr>
            <w:tcW w:w="1041" w:type="pct"/>
            <w:vAlign w:val="center"/>
          </w:tcPr>
          <w:p w:rsidR="006175A6" w:rsidRDefault="009B4BA7">
            <w:pPr>
              <w:pStyle w:val="TableParagraph"/>
              <w:rPr>
                <w:sz w:val="21"/>
              </w:rPr>
            </w:pPr>
            <w:r>
              <w:rPr>
                <w:sz w:val="21"/>
              </w:rPr>
              <w:t>土地资源</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14</w:t>
            </w:r>
          </w:p>
        </w:tc>
        <w:tc>
          <w:tcPr>
            <w:tcW w:w="1097" w:type="pct"/>
            <w:vAlign w:val="center"/>
          </w:tcPr>
          <w:p w:rsidR="006175A6" w:rsidRDefault="009B4BA7">
            <w:pPr>
              <w:pStyle w:val="TableParagraph"/>
              <w:rPr>
                <w:sz w:val="21"/>
              </w:rPr>
            </w:pPr>
            <w:r>
              <w:rPr>
                <w:sz w:val="21"/>
              </w:rPr>
              <w:t>电力供给</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6</w:t>
            </w:r>
          </w:p>
        </w:tc>
        <w:tc>
          <w:tcPr>
            <w:tcW w:w="1041" w:type="pct"/>
            <w:vAlign w:val="center"/>
          </w:tcPr>
          <w:p w:rsidR="006175A6" w:rsidRDefault="009B4BA7">
            <w:pPr>
              <w:pStyle w:val="TableParagraph"/>
              <w:rPr>
                <w:sz w:val="21"/>
              </w:rPr>
            </w:pPr>
            <w:r>
              <w:rPr>
                <w:sz w:val="21"/>
              </w:rPr>
              <w:t>陆生动植物资源</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15</w:t>
            </w:r>
          </w:p>
        </w:tc>
        <w:tc>
          <w:tcPr>
            <w:tcW w:w="1097" w:type="pct"/>
            <w:vAlign w:val="center"/>
          </w:tcPr>
          <w:p w:rsidR="006175A6" w:rsidRDefault="009B4BA7">
            <w:pPr>
              <w:pStyle w:val="TableParagraph"/>
              <w:rPr>
                <w:sz w:val="21"/>
              </w:rPr>
            </w:pPr>
            <w:r>
              <w:rPr>
                <w:sz w:val="21"/>
              </w:rPr>
              <w:t>医疗卫生</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7</w:t>
            </w:r>
          </w:p>
        </w:tc>
        <w:tc>
          <w:tcPr>
            <w:tcW w:w="1041" w:type="pct"/>
            <w:vAlign w:val="center"/>
          </w:tcPr>
          <w:p w:rsidR="006175A6" w:rsidRDefault="009B4BA7">
            <w:pPr>
              <w:pStyle w:val="TableParagraph"/>
              <w:rPr>
                <w:sz w:val="21"/>
              </w:rPr>
            </w:pPr>
            <w:r>
              <w:rPr>
                <w:sz w:val="21"/>
              </w:rPr>
              <w:t>水生动植物资源</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16</w:t>
            </w:r>
          </w:p>
        </w:tc>
        <w:tc>
          <w:tcPr>
            <w:tcW w:w="1097" w:type="pct"/>
            <w:vAlign w:val="center"/>
          </w:tcPr>
          <w:p w:rsidR="006175A6" w:rsidRDefault="009B4BA7">
            <w:pPr>
              <w:pStyle w:val="TableParagraph"/>
              <w:rPr>
                <w:sz w:val="21"/>
              </w:rPr>
            </w:pPr>
            <w:r>
              <w:rPr>
                <w:sz w:val="21"/>
              </w:rPr>
              <w:t>生产生活用水</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8</w:t>
            </w:r>
          </w:p>
        </w:tc>
        <w:tc>
          <w:tcPr>
            <w:tcW w:w="1041" w:type="pct"/>
            <w:vAlign w:val="center"/>
          </w:tcPr>
          <w:p w:rsidR="006175A6" w:rsidRDefault="009B4BA7">
            <w:pPr>
              <w:pStyle w:val="TableParagraph"/>
              <w:rPr>
                <w:sz w:val="21"/>
              </w:rPr>
            </w:pPr>
            <w:r>
              <w:rPr>
                <w:sz w:val="21"/>
              </w:rPr>
              <w:t>自然资源</w:t>
            </w:r>
          </w:p>
        </w:tc>
        <w:tc>
          <w:tcPr>
            <w:tcW w:w="815" w:type="pct"/>
            <w:vAlign w:val="center"/>
          </w:tcPr>
          <w:p w:rsidR="006175A6" w:rsidRDefault="009B4BA7">
            <w:pPr>
              <w:pStyle w:val="TableParagraph"/>
              <w:rPr>
                <w:sz w:val="21"/>
              </w:rPr>
            </w:pPr>
            <w:r>
              <w:rPr>
                <w:sz w:val="21"/>
              </w:rPr>
              <w:t>轻度</w:t>
            </w:r>
          </w:p>
        </w:tc>
        <w:tc>
          <w:tcPr>
            <w:tcW w:w="564" w:type="pct"/>
            <w:vAlign w:val="center"/>
          </w:tcPr>
          <w:p w:rsidR="006175A6" w:rsidRDefault="009B4BA7">
            <w:pPr>
              <w:pStyle w:val="TableParagraph"/>
              <w:rPr>
                <w:rFonts w:ascii="Times New Roman"/>
                <w:sz w:val="21"/>
              </w:rPr>
            </w:pPr>
            <w:r>
              <w:rPr>
                <w:rFonts w:ascii="Times New Roman"/>
                <w:sz w:val="21"/>
              </w:rPr>
              <w:t>17</w:t>
            </w:r>
          </w:p>
        </w:tc>
        <w:tc>
          <w:tcPr>
            <w:tcW w:w="1097" w:type="pct"/>
            <w:vAlign w:val="center"/>
          </w:tcPr>
          <w:p w:rsidR="006175A6" w:rsidRDefault="009B4BA7">
            <w:pPr>
              <w:pStyle w:val="TableParagraph"/>
              <w:rPr>
                <w:sz w:val="21"/>
              </w:rPr>
            </w:pPr>
            <w:r>
              <w:rPr>
                <w:sz w:val="21"/>
              </w:rPr>
              <w:t>经济水平</w:t>
            </w:r>
          </w:p>
        </w:tc>
        <w:tc>
          <w:tcPr>
            <w:tcW w:w="815" w:type="pct"/>
            <w:vAlign w:val="center"/>
          </w:tcPr>
          <w:p w:rsidR="006175A6" w:rsidRDefault="009B4BA7">
            <w:pPr>
              <w:pStyle w:val="TableParagraph"/>
              <w:rPr>
                <w:sz w:val="21"/>
              </w:rPr>
            </w:pPr>
            <w:r>
              <w:rPr>
                <w:sz w:val="21"/>
              </w:rPr>
              <w:t>轻度</w:t>
            </w:r>
          </w:p>
        </w:tc>
      </w:tr>
      <w:tr w:rsidR="006175A6">
        <w:trPr>
          <w:trHeight w:val="340"/>
          <w:jc w:val="center"/>
        </w:trPr>
        <w:tc>
          <w:tcPr>
            <w:tcW w:w="668" w:type="pct"/>
            <w:vAlign w:val="center"/>
          </w:tcPr>
          <w:p w:rsidR="006175A6" w:rsidRDefault="009B4BA7">
            <w:pPr>
              <w:pStyle w:val="TableParagraph"/>
              <w:rPr>
                <w:rFonts w:ascii="Times New Roman"/>
                <w:sz w:val="21"/>
              </w:rPr>
            </w:pPr>
            <w:r>
              <w:rPr>
                <w:rFonts w:ascii="Times New Roman"/>
                <w:w w:val="99"/>
                <w:sz w:val="21"/>
              </w:rPr>
              <w:t>9</w:t>
            </w:r>
          </w:p>
        </w:tc>
        <w:tc>
          <w:tcPr>
            <w:tcW w:w="1041" w:type="pct"/>
            <w:vAlign w:val="center"/>
          </w:tcPr>
          <w:p w:rsidR="006175A6" w:rsidRDefault="009B4BA7">
            <w:pPr>
              <w:pStyle w:val="TableParagraph"/>
              <w:rPr>
                <w:sz w:val="21"/>
              </w:rPr>
            </w:pPr>
            <w:r>
              <w:rPr>
                <w:sz w:val="21"/>
              </w:rPr>
              <w:t>水土流失</w:t>
            </w:r>
          </w:p>
        </w:tc>
        <w:tc>
          <w:tcPr>
            <w:tcW w:w="815" w:type="pct"/>
            <w:vAlign w:val="center"/>
          </w:tcPr>
          <w:p w:rsidR="006175A6" w:rsidRDefault="009B4BA7">
            <w:pPr>
              <w:pStyle w:val="TableParagraph"/>
              <w:rPr>
                <w:sz w:val="21"/>
              </w:rPr>
            </w:pPr>
            <w:r>
              <w:rPr>
                <w:sz w:val="21"/>
              </w:rPr>
              <w:t>中度</w:t>
            </w:r>
          </w:p>
        </w:tc>
        <w:tc>
          <w:tcPr>
            <w:tcW w:w="564" w:type="pct"/>
            <w:vAlign w:val="center"/>
          </w:tcPr>
          <w:p w:rsidR="006175A6" w:rsidRDefault="009B4BA7">
            <w:pPr>
              <w:pStyle w:val="TableParagraph"/>
              <w:rPr>
                <w:rFonts w:ascii="Times New Roman"/>
                <w:sz w:val="21"/>
              </w:rPr>
            </w:pPr>
            <w:r>
              <w:rPr>
                <w:rFonts w:ascii="Times New Roman"/>
                <w:sz w:val="21"/>
              </w:rPr>
              <w:t>18</w:t>
            </w:r>
          </w:p>
        </w:tc>
        <w:tc>
          <w:tcPr>
            <w:tcW w:w="1097" w:type="pct"/>
            <w:vAlign w:val="center"/>
          </w:tcPr>
          <w:p w:rsidR="006175A6" w:rsidRDefault="009B4BA7">
            <w:pPr>
              <w:pStyle w:val="TableParagraph"/>
              <w:rPr>
                <w:sz w:val="21"/>
              </w:rPr>
            </w:pPr>
            <w:r>
              <w:rPr>
                <w:sz w:val="21"/>
              </w:rPr>
              <w:t>人力资源</w:t>
            </w:r>
          </w:p>
        </w:tc>
        <w:tc>
          <w:tcPr>
            <w:tcW w:w="815" w:type="pct"/>
            <w:vAlign w:val="center"/>
          </w:tcPr>
          <w:p w:rsidR="006175A6" w:rsidRDefault="009B4BA7">
            <w:pPr>
              <w:pStyle w:val="TableParagraph"/>
              <w:rPr>
                <w:sz w:val="21"/>
              </w:rPr>
            </w:pPr>
            <w:r>
              <w:rPr>
                <w:sz w:val="21"/>
              </w:rPr>
              <w:t>轻度</w:t>
            </w:r>
          </w:p>
        </w:tc>
      </w:tr>
    </w:tbl>
    <w:p w:rsidR="006175A6" w:rsidRDefault="009B4BA7">
      <w:pPr>
        <w:ind w:firstLine="480"/>
      </w:pPr>
      <w:r>
        <w:rPr>
          <w:rFonts w:hint="eastAsia"/>
        </w:rPr>
        <w:t>由</w:t>
      </w:r>
      <w:r>
        <w:rPr>
          <w:rFonts w:hint="eastAsia"/>
        </w:rPr>
        <w:fldChar w:fldCharType="begin"/>
      </w:r>
      <w:r>
        <w:rPr>
          <w:rFonts w:hint="eastAsia"/>
        </w:rPr>
        <w:instrText xml:space="preserve"> REF _Ref8965 \h </w:instrText>
      </w:r>
      <w:r>
        <w:rPr>
          <w:rFonts w:hint="eastAsia"/>
        </w:rPr>
      </w:r>
      <w:r>
        <w:rPr>
          <w:rFonts w:hint="eastAsia"/>
        </w:rPr>
        <w:fldChar w:fldCharType="separate"/>
      </w:r>
      <w:r w:rsidR="00E97427">
        <w:rPr>
          <w:rFonts w:hint="eastAsia"/>
        </w:rPr>
        <w:t>表</w:t>
      </w:r>
      <w:r w:rsidR="00E97427">
        <w:rPr>
          <w:noProof/>
        </w:rPr>
        <w:t>2.4</w:t>
      </w:r>
      <w:r w:rsidR="00E97427">
        <w:noBreakHyphen/>
      </w:r>
      <w:r w:rsidR="00E97427">
        <w:rPr>
          <w:noProof/>
        </w:rPr>
        <w:t>1</w:t>
      </w:r>
      <w:r>
        <w:rPr>
          <w:rFonts w:hint="eastAsia"/>
        </w:rPr>
        <w:fldChar w:fldCharType="end"/>
      </w:r>
      <w:r>
        <w:rPr>
          <w:rFonts w:hint="eastAsia"/>
        </w:rPr>
        <w:t>可知，拟建项目所处区域自然环境、社会环境和环境质量现状对工程的制约较小。</w:t>
      </w:r>
    </w:p>
    <w:p w:rsidR="006175A6" w:rsidRDefault="009B4BA7">
      <w:pPr>
        <w:pStyle w:val="4"/>
      </w:pPr>
      <w:r>
        <w:rPr>
          <w:rFonts w:hint="eastAsia"/>
        </w:rPr>
        <w:t>项目建设对环境的影响因素</w:t>
      </w:r>
    </w:p>
    <w:p w:rsidR="006175A6" w:rsidRDefault="009B4BA7">
      <w:pPr>
        <w:ind w:firstLine="480"/>
      </w:pPr>
      <w:r>
        <w:rPr>
          <w:rFonts w:hint="eastAsia"/>
        </w:rPr>
        <w:t>两河口水库是以城乡供水、农业灌溉和抗旱应急供水为主，兼顾生态、防洪等综合效益的水利工程，施工内容包括场地开挖、坝体砌筑、弃渣堆放、石料开采等，通过工程分析及环境概况，工程对环境的环境因素及程度见</w:t>
      </w:r>
      <w:r>
        <w:fldChar w:fldCharType="begin"/>
      </w:r>
      <w:r>
        <w:instrText xml:space="preserve"> </w:instrText>
      </w:r>
      <w:r>
        <w:rPr>
          <w:rFonts w:hint="eastAsia"/>
        </w:rPr>
        <w:instrText>REF _Ref76973744 \h</w:instrText>
      </w:r>
      <w:r>
        <w:instrText xml:space="preserve"> </w:instrText>
      </w:r>
      <w:r>
        <w:fldChar w:fldCharType="separate"/>
      </w:r>
      <w:r w:rsidR="00E97427">
        <w:rPr>
          <w:rFonts w:hint="eastAsia"/>
        </w:rPr>
        <w:t>表</w:t>
      </w:r>
      <w:r w:rsidR="00E97427">
        <w:rPr>
          <w:noProof/>
        </w:rPr>
        <w:t>2.4</w:t>
      </w:r>
      <w:r w:rsidR="00E97427">
        <w:noBreakHyphen/>
      </w:r>
      <w:r w:rsidR="00E97427">
        <w:rPr>
          <w:noProof/>
        </w:rPr>
        <w:t>2</w:t>
      </w:r>
      <w:r>
        <w:fldChar w:fldCharType="end"/>
      </w:r>
      <w:r>
        <w:rPr>
          <w:rFonts w:hint="eastAsia"/>
        </w:rPr>
        <w:t>。</w:t>
      </w:r>
    </w:p>
    <w:p w:rsidR="006175A6" w:rsidRDefault="009B4BA7">
      <w:pPr>
        <w:pStyle w:val="a3"/>
      </w:pPr>
      <w:bookmarkStart w:id="25" w:name="_Ref76973744"/>
      <w:r>
        <w:rPr>
          <w:rFonts w:hint="eastAsia"/>
        </w:rPr>
        <w:t>表</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bookmarkEnd w:id="25"/>
      <w:r>
        <w:rPr>
          <w:rFonts w:hint="eastAsia"/>
        </w:rPr>
        <w:t>工程建设的环境影响要素分析</w:t>
      </w:r>
    </w:p>
    <w:tbl>
      <w:tblPr>
        <w:tblW w:w="5000" w:type="pct"/>
        <w:tblLook w:val="04A0" w:firstRow="1" w:lastRow="0" w:firstColumn="1" w:lastColumn="0" w:noHBand="0" w:noVBand="1"/>
      </w:tblPr>
      <w:tblGrid>
        <w:gridCol w:w="857"/>
        <w:gridCol w:w="2371"/>
        <w:gridCol w:w="3400"/>
        <w:gridCol w:w="1894"/>
      </w:tblGrid>
      <w:tr w:rsidR="006175A6">
        <w:trPr>
          <w:trHeight w:val="340"/>
        </w:trPr>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时段</w:t>
            </w:r>
          </w:p>
        </w:tc>
        <w:tc>
          <w:tcPr>
            <w:tcW w:w="1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工程环节</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可能产生的环境影响</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影响因子</w:t>
            </w:r>
          </w:p>
        </w:tc>
      </w:tr>
      <w:tr w:rsidR="006175A6">
        <w:trPr>
          <w:trHeight w:val="340"/>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施工期</w:t>
            </w: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土石方工程（包括土石方开挖、石料开采）</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植被破坏</w:t>
            </w:r>
          </w:p>
        </w:tc>
        <w:tc>
          <w:tcPr>
            <w:tcW w:w="1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生态环境、景观</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水土流失</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陆生动物栖息环境变化</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山体结构破坏</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环境地质</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噪声</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声环境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扬尘</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大气环境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河流水质</w:t>
            </w:r>
            <w:r>
              <w:rPr>
                <w:color w:val="000000"/>
                <w:kern w:val="0"/>
                <w:sz w:val="21"/>
              </w:rPr>
              <w:t>SS</w:t>
            </w:r>
            <w:r>
              <w:rPr>
                <w:rFonts w:ascii="宋体" w:hAnsi="宋体" w:cs="宋体"/>
                <w:color w:val="000000"/>
                <w:kern w:val="0"/>
                <w:sz w:val="21"/>
              </w:rPr>
              <w:t>浓度升高，石油类污染，水生生物环境变化</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水环境、生态环境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弃渣</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环境景观</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土地退化</w:t>
            </w:r>
          </w:p>
        </w:tc>
        <w:tc>
          <w:tcPr>
            <w:tcW w:w="1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土壤环境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土壤污染</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砌筑工程（包括坝体及其他构筑物浇筑；坝体土石填筑）</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扬尘</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大气环境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噪声</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声环境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施工废水</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植被破坏</w:t>
            </w:r>
          </w:p>
        </w:tc>
        <w:tc>
          <w:tcPr>
            <w:tcW w:w="1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生态环境、景观</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水土流失</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山体结构破坏</w:t>
            </w:r>
          </w:p>
        </w:tc>
        <w:tc>
          <w:tcPr>
            <w:tcW w:w="1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环境地质</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地面沉降</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材料采集、运输、堆放</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扬尘</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大气环境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噪声</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声环境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植被破坏</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景观</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水土流失</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钢筋、木材加工</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噪声</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声环境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固废</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施工场地和施工便道</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植被破坏、土地退化</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景观、生态环境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水土流失</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植被带状或斑状裸露</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环境景观</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生活污水、生活垃圾</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水环境、生态环境</w:t>
            </w:r>
          </w:p>
        </w:tc>
      </w:tr>
      <w:tr w:rsidR="006175A6">
        <w:trPr>
          <w:trHeight w:val="340"/>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营运期</w:t>
            </w: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农业供水、居民供水</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改善农业耕作条件</w:t>
            </w:r>
          </w:p>
        </w:tc>
        <w:tc>
          <w:tcPr>
            <w:tcW w:w="1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社会经济环境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改善居民饮水质量</w:t>
            </w:r>
          </w:p>
        </w:tc>
        <w:tc>
          <w:tcPr>
            <w:tcW w:w="111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工程管理</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生活污水、生活垃圾</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水环境、生态环境</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拦河蓄水</w:t>
            </w: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河流流速、流量、水资源分布、水温、水质、底质变化，形成减水段，导致下游水质变化，影响农业生产和水生生物</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水文水生生态农业生态</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泥沙淤积</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泥沙</w:t>
            </w:r>
          </w:p>
        </w:tc>
      </w:tr>
      <w:tr w:rsidR="006175A6">
        <w:trPr>
          <w:trHeight w:val="340"/>
        </w:trPr>
        <w:tc>
          <w:tcPr>
            <w:tcW w:w="503"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391"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ascii="宋体" w:hAnsi="宋体" w:cs="宋体"/>
                <w:color w:val="000000"/>
                <w:kern w:val="0"/>
                <w:sz w:val="21"/>
              </w:rPr>
            </w:pPr>
          </w:p>
        </w:tc>
        <w:tc>
          <w:tcPr>
            <w:tcW w:w="19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诱发地震、溃坝、水库渗漏、地面沉降</w:t>
            </w:r>
          </w:p>
        </w:tc>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环境地质</w:t>
            </w:r>
          </w:p>
        </w:tc>
      </w:tr>
    </w:tbl>
    <w:p w:rsidR="006175A6" w:rsidRDefault="009B4BA7">
      <w:pPr>
        <w:ind w:firstLine="480"/>
      </w:pPr>
      <w:r>
        <w:rPr>
          <w:rFonts w:hint="eastAsia"/>
        </w:rPr>
        <w:t>由</w:t>
      </w:r>
      <w:r>
        <w:fldChar w:fldCharType="begin"/>
      </w:r>
      <w:r>
        <w:instrText xml:space="preserve"> </w:instrText>
      </w:r>
      <w:r>
        <w:rPr>
          <w:rFonts w:hint="eastAsia"/>
        </w:rPr>
        <w:instrText>REF _Ref76973744 \h</w:instrText>
      </w:r>
      <w:r>
        <w:instrText xml:space="preserve"> </w:instrText>
      </w:r>
      <w:r>
        <w:fldChar w:fldCharType="separate"/>
      </w:r>
      <w:r w:rsidR="00E97427">
        <w:rPr>
          <w:rFonts w:hint="eastAsia"/>
        </w:rPr>
        <w:t>表</w:t>
      </w:r>
      <w:r w:rsidR="00E97427">
        <w:rPr>
          <w:noProof/>
        </w:rPr>
        <w:t>2.4</w:t>
      </w:r>
      <w:r w:rsidR="00E97427">
        <w:noBreakHyphen/>
      </w:r>
      <w:r w:rsidR="00E97427">
        <w:rPr>
          <w:noProof/>
        </w:rPr>
        <w:t>2</w:t>
      </w:r>
      <w:r>
        <w:fldChar w:fldCharType="end"/>
      </w:r>
      <w:r>
        <w:rPr>
          <w:rFonts w:hint="eastAsia"/>
        </w:rPr>
        <w:t>识别结果可知，施工期可能环境影响主要表现为生态破坏和环境污染，营运期主要是生态影响。</w:t>
      </w:r>
    </w:p>
    <w:p w:rsidR="006175A6" w:rsidRDefault="009B4BA7">
      <w:pPr>
        <w:pStyle w:val="4"/>
      </w:pPr>
      <w:r>
        <w:rPr>
          <w:rFonts w:hint="eastAsia"/>
        </w:rPr>
        <w:t>环境要素及环境因子识别</w:t>
      </w:r>
    </w:p>
    <w:p w:rsidR="006175A6" w:rsidRDefault="009B4BA7">
      <w:pPr>
        <w:ind w:firstLine="480"/>
      </w:pPr>
      <w:r>
        <w:rPr>
          <w:rFonts w:hint="eastAsia"/>
        </w:rPr>
        <w:t>根据拟建项目施工及运行情况，结合工程地区环境功能和各类环境因子的重要性以及可能受影响程度，在环境影响因素分析的基础上，采用矩阵法，从环境要素和影响区域两方面进行环境因子的识别和筛选。</w:t>
      </w:r>
    </w:p>
    <w:p w:rsidR="006175A6" w:rsidRDefault="009B4BA7">
      <w:pPr>
        <w:pStyle w:val="a3"/>
      </w:pPr>
      <w:r>
        <w:rPr>
          <w:rFonts w:hint="eastAsia"/>
        </w:rPr>
        <w:t>表</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工程环境要素影响识别矩阵表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849"/>
        <w:gridCol w:w="1730"/>
        <w:gridCol w:w="1618"/>
        <w:gridCol w:w="1507"/>
      </w:tblGrid>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lastRenderedPageBreak/>
              <w:t>环境要素</w:t>
            </w:r>
          </w:p>
        </w:tc>
        <w:tc>
          <w:tcPr>
            <w:tcW w:w="1112"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环境因子</w:t>
            </w:r>
          </w:p>
        </w:tc>
        <w:tc>
          <w:tcPr>
            <w:tcW w:w="2013"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工程因素</w:t>
            </w:r>
          </w:p>
        </w:tc>
        <w:tc>
          <w:tcPr>
            <w:tcW w:w="906"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重要性</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Merge/>
            <w:vAlign w:val="center"/>
          </w:tcPr>
          <w:p w:rsidR="006175A6" w:rsidRDefault="006175A6">
            <w:pPr>
              <w:spacing w:line="240" w:lineRule="auto"/>
              <w:ind w:firstLineChars="0" w:firstLine="0"/>
              <w:jc w:val="center"/>
              <w:rPr>
                <w:sz w:val="21"/>
              </w:rPr>
            </w:pP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施工期</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营运期</w:t>
            </w:r>
          </w:p>
        </w:tc>
        <w:tc>
          <w:tcPr>
            <w:tcW w:w="906" w:type="pct"/>
            <w:vMerge/>
            <w:vAlign w:val="center"/>
          </w:tcPr>
          <w:p w:rsidR="006175A6" w:rsidRDefault="006175A6">
            <w:pPr>
              <w:spacing w:line="240" w:lineRule="auto"/>
              <w:ind w:firstLineChars="0" w:firstLine="0"/>
              <w:jc w:val="center"/>
              <w:rPr>
                <w:sz w:val="21"/>
              </w:rPr>
            </w:pPr>
          </w:p>
        </w:tc>
      </w:tr>
      <w:tr w:rsidR="006175A6">
        <w:trPr>
          <w:trHeight w:val="340"/>
        </w:trPr>
        <w:tc>
          <w:tcPr>
            <w:tcW w:w="969"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地貌</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地貌</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土地资源</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土壤侵蚀</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Ⅲ</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土地利用</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局地气候</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降水</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w w:val="99"/>
                <w:sz w:val="21"/>
                <w:szCs w:val="21"/>
              </w:rPr>
              <w:t>0</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湿度</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w w:val="99"/>
                <w:sz w:val="21"/>
                <w:szCs w:val="21"/>
              </w:rPr>
              <w:t>0</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水文</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水温</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流量</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水位</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泥沙</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淤积</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冲刷</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水质</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position w:val="2"/>
                <w:sz w:val="21"/>
                <w:szCs w:val="21"/>
              </w:rPr>
              <w:t>COD/BOD</w:t>
            </w:r>
            <w:r>
              <w:rPr>
                <w:rFonts w:ascii="Times New Roman" w:hAnsi="Times New Roman" w:cs="Times New Roman"/>
                <w:position w:val="2"/>
                <w:sz w:val="21"/>
                <w:szCs w:val="21"/>
                <w:vertAlign w:val="subscript"/>
              </w:rPr>
              <w:t>5</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pH</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SS</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Ⅲ</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石油类</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大气</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粉尘</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其他有害气体</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噪声</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噪声</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固体废物</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弃土弃渣</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Ⅲ</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生活垃圾</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Ⅱ</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陆生植物</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多样性</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覆盖度</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野生动物</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栖息地</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分布密度</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-1L</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restart"/>
            <w:vAlign w:val="center"/>
          </w:tcPr>
          <w:p w:rsidR="006175A6" w:rsidRDefault="006175A6">
            <w:pPr>
              <w:pStyle w:val="TableParagraph"/>
              <w:rPr>
                <w:rFonts w:ascii="Times New Roman" w:hAnsi="Times New Roman" w:cs="Times New Roman"/>
                <w:sz w:val="21"/>
                <w:szCs w:val="21"/>
              </w:rPr>
            </w:pP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水生生物</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水生生物</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eastAsia="Times New Roman" w:hAnsi="Times New Roman" w:cs="Times New Roman"/>
                <w:sz w:val="21"/>
                <w:szCs w:val="21"/>
              </w:rPr>
            </w:pPr>
            <w:r>
              <w:rPr>
                <w:rFonts w:ascii="Times New Roman" w:hAnsi="Times New Roman" w:cs="Times New Roman"/>
                <w:sz w:val="21"/>
                <w:szCs w:val="21"/>
              </w:rPr>
              <w:t>鱼类</w:t>
            </w:r>
            <w:r>
              <w:rPr>
                <w:rFonts w:ascii="Times New Roman" w:eastAsia="Times New Roman" w:hAnsi="Times New Roman" w:cs="Times New Roman"/>
                <w:sz w:val="21"/>
                <w:szCs w:val="21"/>
              </w:rPr>
              <w:t>“</w:t>
            </w:r>
            <w:r>
              <w:rPr>
                <w:rFonts w:ascii="Times New Roman" w:hAnsi="Times New Roman" w:cs="Times New Roman"/>
                <w:sz w:val="21"/>
                <w:szCs w:val="21"/>
              </w:rPr>
              <w:t>三场</w:t>
            </w:r>
            <w:r>
              <w:rPr>
                <w:rFonts w:ascii="Times New Roman" w:eastAsia="Times New Roman" w:hAnsi="Times New Roman" w:cs="Times New Roman"/>
                <w:sz w:val="21"/>
                <w:szCs w:val="21"/>
              </w:rPr>
              <w:t>”</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w w:val="99"/>
                <w:sz w:val="21"/>
                <w:szCs w:val="21"/>
              </w:rPr>
              <w:t>0</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珍稀及特有鱼类</w:t>
            </w:r>
          </w:p>
        </w:tc>
        <w:tc>
          <w:tcPr>
            <w:tcW w:w="1040" w:type="pct"/>
            <w:vAlign w:val="center"/>
          </w:tcPr>
          <w:p w:rsidR="006175A6" w:rsidRDefault="006175A6">
            <w:pPr>
              <w:pStyle w:val="TableParagraph"/>
              <w:rPr>
                <w:rFonts w:ascii="Times New Roman" w:hAnsi="Times New Roman" w:cs="Times New Roman"/>
                <w:sz w:val="21"/>
                <w:szCs w:val="21"/>
              </w:rPr>
            </w:pP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w w:val="99"/>
                <w:sz w:val="21"/>
                <w:szCs w:val="21"/>
              </w:rPr>
              <w:t>0</w:t>
            </w:r>
          </w:p>
        </w:tc>
      </w:tr>
      <w:tr w:rsidR="006175A6">
        <w:trPr>
          <w:trHeight w:val="340"/>
        </w:trPr>
        <w:tc>
          <w:tcPr>
            <w:tcW w:w="969"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资源利用</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水资源</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+3L</w:t>
            </w: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Ⅲ</w:t>
            </w:r>
          </w:p>
        </w:tc>
      </w:tr>
      <w:tr w:rsidR="006175A6">
        <w:trPr>
          <w:trHeight w:val="340"/>
        </w:trPr>
        <w:tc>
          <w:tcPr>
            <w:tcW w:w="969"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人群健康</w:t>
            </w: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地方病</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r w:rsidR="006175A6">
        <w:trPr>
          <w:trHeight w:val="340"/>
        </w:trPr>
        <w:tc>
          <w:tcPr>
            <w:tcW w:w="969" w:type="pct"/>
            <w:vMerge/>
            <w:vAlign w:val="center"/>
          </w:tcPr>
          <w:p w:rsidR="006175A6" w:rsidRDefault="006175A6">
            <w:pPr>
              <w:spacing w:line="240" w:lineRule="auto"/>
              <w:ind w:firstLineChars="0" w:firstLine="0"/>
              <w:jc w:val="center"/>
              <w:rPr>
                <w:sz w:val="21"/>
              </w:rPr>
            </w:pPr>
          </w:p>
        </w:tc>
        <w:tc>
          <w:tcPr>
            <w:tcW w:w="111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传染病</w:t>
            </w:r>
          </w:p>
        </w:tc>
        <w:tc>
          <w:tcPr>
            <w:tcW w:w="104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-1R</w:t>
            </w:r>
          </w:p>
        </w:tc>
        <w:tc>
          <w:tcPr>
            <w:tcW w:w="973" w:type="pct"/>
            <w:vAlign w:val="center"/>
          </w:tcPr>
          <w:p w:rsidR="006175A6" w:rsidRDefault="006175A6">
            <w:pPr>
              <w:pStyle w:val="TableParagraph"/>
              <w:rPr>
                <w:rFonts w:ascii="Times New Roman" w:hAnsi="Times New Roman" w:cs="Times New Roman"/>
                <w:sz w:val="21"/>
                <w:szCs w:val="21"/>
              </w:rPr>
            </w:pPr>
          </w:p>
        </w:tc>
        <w:tc>
          <w:tcPr>
            <w:tcW w:w="906" w:type="pct"/>
            <w:vAlign w:val="center"/>
          </w:tcPr>
          <w:p w:rsidR="006175A6" w:rsidRDefault="009B4BA7">
            <w:pPr>
              <w:pStyle w:val="TableParagraph"/>
              <w:rPr>
                <w:rFonts w:ascii="Times New Roman" w:hAnsi="Times New Roman" w:cs="Times New Roman"/>
                <w:sz w:val="21"/>
                <w:szCs w:val="21"/>
              </w:rPr>
            </w:pPr>
            <w:r>
              <w:rPr>
                <w:rFonts w:hint="eastAsia"/>
                <w:w w:val="99"/>
                <w:sz w:val="21"/>
                <w:szCs w:val="21"/>
              </w:rPr>
              <w:t>Ⅰ</w:t>
            </w:r>
          </w:p>
        </w:tc>
      </w:tr>
    </w:tbl>
    <w:p w:rsidR="006175A6" w:rsidRDefault="009B4BA7">
      <w:pPr>
        <w:spacing w:line="240" w:lineRule="auto"/>
        <w:ind w:firstLine="420"/>
        <w:rPr>
          <w:sz w:val="21"/>
        </w:rPr>
      </w:pPr>
      <w:r>
        <w:rPr>
          <w:rFonts w:hint="eastAsia"/>
          <w:sz w:val="21"/>
        </w:rPr>
        <w:t>注：表中“</w:t>
      </w:r>
      <w:r>
        <w:rPr>
          <w:rFonts w:hint="eastAsia"/>
          <w:sz w:val="21"/>
        </w:rPr>
        <w:t>+</w:t>
      </w:r>
      <w:r>
        <w:rPr>
          <w:rFonts w:hint="eastAsia"/>
          <w:sz w:val="21"/>
        </w:rPr>
        <w:t>、</w:t>
      </w:r>
      <w:r>
        <w:rPr>
          <w:rFonts w:hint="eastAsia"/>
          <w:sz w:val="21"/>
        </w:rPr>
        <w:t>-</w:t>
      </w:r>
      <w:r>
        <w:rPr>
          <w:rFonts w:hint="eastAsia"/>
          <w:sz w:val="21"/>
        </w:rPr>
        <w:t>”分别表示影响为有利影响和不利影响；没有符号表示有利与不利影响均存在；</w:t>
      </w:r>
      <w:r>
        <w:rPr>
          <w:rFonts w:hint="eastAsia"/>
          <w:sz w:val="21"/>
        </w:rPr>
        <w:t>1</w:t>
      </w:r>
      <w:r>
        <w:rPr>
          <w:rFonts w:hint="eastAsia"/>
          <w:sz w:val="21"/>
        </w:rPr>
        <w:t>、</w:t>
      </w:r>
      <w:r>
        <w:rPr>
          <w:rFonts w:hint="eastAsia"/>
          <w:sz w:val="21"/>
        </w:rPr>
        <w:t>2</w:t>
      </w:r>
      <w:r>
        <w:rPr>
          <w:rFonts w:hint="eastAsia"/>
          <w:sz w:val="21"/>
        </w:rPr>
        <w:t>、</w:t>
      </w:r>
      <w:r>
        <w:rPr>
          <w:rFonts w:hint="eastAsia"/>
          <w:sz w:val="21"/>
        </w:rPr>
        <w:t>3</w:t>
      </w:r>
      <w:r>
        <w:rPr>
          <w:rFonts w:hint="eastAsia"/>
          <w:sz w:val="21"/>
        </w:rPr>
        <w:t>分别表示影响程度为小、中、大；</w:t>
      </w:r>
      <w:r>
        <w:rPr>
          <w:rFonts w:hint="eastAsia"/>
          <w:sz w:val="21"/>
        </w:rPr>
        <w:t>0</w:t>
      </w:r>
      <w:r>
        <w:rPr>
          <w:rFonts w:hint="eastAsia"/>
          <w:sz w:val="21"/>
        </w:rPr>
        <w:t>、Ⅰ、Ⅱ、Ⅲ分别表示各环境因子在本工程预测评价中的重要性质为不涉及、可忽略、相对重要、重要；</w:t>
      </w:r>
      <w:r>
        <w:rPr>
          <w:rFonts w:hint="eastAsia"/>
          <w:sz w:val="21"/>
        </w:rPr>
        <w:t>R</w:t>
      </w:r>
      <w:r>
        <w:rPr>
          <w:rFonts w:hint="eastAsia"/>
          <w:sz w:val="21"/>
        </w:rPr>
        <w:t>、</w:t>
      </w:r>
      <w:r>
        <w:rPr>
          <w:rFonts w:hint="eastAsia"/>
          <w:sz w:val="21"/>
        </w:rPr>
        <w:t>L</w:t>
      </w:r>
      <w:r>
        <w:rPr>
          <w:rFonts w:hint="eastAsia"/>
          <w:sz w:val="21"/>
        </w:rPr>
        <w:t>分别表示影响类型为可逆和不可逆影响。</w:t>
      </w:r>
    </w:p>
    <w:p w:rsidR="006175A6" w:rsidRDefault="009B4BA7">
      <w:pPr>
        <w:pStyle w:val="3"/>
      </w:pPr>
      <w:r>
        <w:rPr>
          <w:rFonts w:hint="eastAsia"/>
        </w:rPr>
        <w:t>环境影响要素及影响因子筛选</w:t>
      </w:r>
    </w:p>
    <w:p w:rsidR="006175A6" w:rsidRDefault="009B4BA7">
      <w:pPr>
        <w:ind w:firstLine="480"/>
      </w:pPr>
      <w:r>
        <w:rPr>
          <w:rFonts w:hint="eastAsia"/>
        </w:rPr>
        <w:t>根据当地环境特征及前文识别结果，确定本项目环境评价因子如下表所示：</w:t>
      </w:r>
    </w:p>
    <w:p w:rsidR="006175A6" w:rsidRDefault="006175A6">
      <w:pPr>
        <w:ind w:firstLine="480"/>
      </w:pPr>
    </w:p>
    <w:p w:rsidR="006175A6" w:rsidRDefault="009B4BA7">
      <w:pPr>
        <w:pStyle w:val="a3"/>
      </w:pPr>
      <w:r>
        <w:rPr>
          <w:rFonts w:hint="eastAsia"/>
        </w:rPr>
        <w:lastRenderedPageBreak/>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环境影响评价因子一览表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6"/>
        <w:gridCol w:w="925"/>
        <w:gridCol w:w="1134"/>
        <w:gridCol w:w="5051"/>
      </w:tblGrid>
      <w:tr w:rsidR="006175A6">
        <w:trPr>
          <w:trHeight w:val="340"/>
        </w:trPr>
        <w:tc>
          <w:tcPr>
            <w:tcW w:w="72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类别</w:t>
            </w: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要素</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评价因子</w:t>
            </w:r>
          </w:p>
        </w:tc>
      </w:tr>
      <w:tr w:rsidR="006175A6">
        <w:trPr>
          <w:trHeight w:val="340"/>
        </w:trPr>
        <w:tc>
          <w:tcPr>
            <w:tcW w:w="725"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环境质量现状评价</w:t>
            </w: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环境空气质量现状</w:t>
            </w:r>
          </w:p>
        </w:tc>
        <w:tc>
          <w:tcPr>
            <w:tcW w:w="3037" w:type="pct"/>
            <w:vAlign w:val="center"/>
          </w:tcPr>
          <w:p w:rsidR="006175A6" w:rsidRDefault="009B4BA7">
            <w:pPr>
              <w:spacing w:line="240" w:lineRule="auto"/>
              <w:ind w:firstLineChars="0" w:firstLine="0"/>
              <w:jc w:val="center"/>
            </w:pPr>
            <w:r>
              <w:rPr>
                <w:kern w:val="0"/>
                <w:sz w:val="21"/>
              </w:rPr>
              <w:t>SO</w:t>
            </w:r>
            <w:r>
              <w:rPr>
                <w:kern w:val="0"/>
                <w:sz w:val="21"/>
                <w:vertAlign w:val="subscript"/>
              </w:rPr>
              <w:t>2</w:t>
            </w:r>
            <w:r>
              <w:rPr>
                <w:rFonts w:ascii="宋体" w:hAnsi="宋体"/>
                <w:kern w:val="0"/>
                <w:sz w:val="21"/>
              </w:rPr>
              <w:t>、</w:t>
            </w:r>
            <w:r>
              <w:rPr>
                <w:kern w:val="0"/>
                <w:sz w:val="21"/>
              </w:rPr>
              <w:t>NO</w:t>
            </w:r>
            <w:r>
              <w:rPr>
                <w:kern w:val="0"/>
                <w:sz w:val="21"/>
                <w:vertAlign w:val="subscript"/>
              </w:rPr>
              <w:t>2</w:t>
            </w:r>
            <w:r>
              <w:rPr>
                <w:rFonts w:ascii="宋体" w:hAnsi="宋体"/>
                <w:kern w:val="0"/>
                <w:sz w:val="21"/>
              </w:rPr>
              <w:t>、</w:t>
            </w:r>
            <w:r>
              <w:rPr>
                <w:kern w:val="0"/>
                <w:sz w:val="21"/>
              </w:rPr>
              <w:t>PM</w:t>
            </w:r>
            <w:r>
              <w:rPr>
                <w:kern w:val="0"/>
                <w:sz w:val="21"/>
                <w:vertAlign w:val="subscript"/>
              </w:rPr>
              <w:t>10</w:t>
            </w:r>
            <w:r>
              <w:rPr>
                <w:rFonts w:ascii="宋体" w:hAnsi="宋体"/>
                <w:kern w:val="0"/>
                <w:sz w:val="21"/>
              </w:rPr>
              <w:t>、</w:t>
            </w:r>
            <w:r>
              <w:rPr>
                <w:kern w:val="0"/>
                <w:sz w:val="21"/>
              </w:rPr>
              <w:t>CO</w:t>
            </w:r>
            <w:r>
              <w:rPr>
                <w:rFonts w:ascii="宋体" w:hAnsi="宋体"/>
                <w:kern w:val="0"/>
                <w:sz w:val="21"/>
              </w:rPr>
              <w:t>、</w:t>
            </w:r>
            <w:r>
              <w:rPr>
                <w:kern w:val="0"/>
                <w:sz w:val="21"/>
              </w:rPr>
              <w:t>PM</w:t>
            </w:r>
            <w:r>
              <w:rPr>
                <w:kern w:val="0"/>
                <w:sz w:val="21"/>
                <w:vertAlign w:val="subscript"/>
              </w:rPr>
              <w:t>2.5</w:t>
            </w:r>
            <w:r>
              <w:rPr>
                <w:rFonts w:ascii="宋体" w:hAnsi="宋体"/>
                <w:kern w:val="0"/>
                <w:sz w:val="21"/>
              </w:rPr>
              <w:t>、</w:t>
            </w:r>
            <w:r>
              <w:rPr>
                <w:kern w:val="0"/>
                <w:sz w:val="21"/>
              </w:rPr>
              <w:t>O</w:t>
            </w:r>
            <w:r>
              <w:rPr>
                <w:rFonts w:hint="eastAsia"/>
                <w:kern w:val="0"/>
                <w:sz w:val="21"/>
                <w:vertAlign w:val="subscript"/>
              </w:rPr>
              <w:t>3</w:t>
            </w:r>
          </w:p>
        </w:tc>
      </w:tr>
      <w:tr w:rsidR="006175A6">
        <w:trPr>
          <w:trHeight w:val="340"/>
        </w:trPr>
        <w:tc>
          <w:tcPr>
            <w:tcW w:w="725" w:type="pct"/>
            <w:vMerge/>
            <w:vAlign w:val="center"/>
          </w:tcPr>
          <w:p w:rsidR="006175A6" w:rsidRDefault="006175A6">
            <w:pPr>
              <w:widowControl/>
              <w:autoSpaceDE/>
              <w:autoSpaceDN/>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地表水环境质量现状</w:t>
            </w:r>
          </w:p>
        </w:tc>
        <w:tc>
          <w:tcPr>
            <w:tcW w:w="3037"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水温、</w:t>
            </w:r>
            <w:r>
              <w:rPr>
                <w:rFonts w:ascii="Times New Roman" w:hAnsi="Times New Roman" w:cs="Times New Roman"/>
                <w:sz w:val="21"/>
                <w:szCs w:val="21"/>
                <w:lang w:eastAsia="zh-CN"/>
              </w:rPr>
              <w:t>pH</w:t>
            </w:r>
            <w:r>
              <w:rPr>
                <w:rFonts w:ascii="Times New Roman" w:hAnsi="Times New Roman" w:cs="Times New Roman"/>
                <w:sz w:val="21"/>
                <w:szCs w:val="21"/>
                <w:lang w:eastAsia="zh-CN"/>
              </w:rPr>
              <w:t>值、溶解氧、高锰酸盐指数、五日生化需氧量、氨氮、总氮、总磷、粪大肠菌群</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lang w:eastAsia="zh-CN"/>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地下水环境质量现状</w:t>
            </w:r>
          </w:p>
        </w:tc>
        <w:tc>
          <w:tcPr>
            <w:tcW w:w="3037"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pH</w:t>
            </w:r>
            <w:r>
              <w:rPr>
                <w:rFonts w:ascii="Times New Roman" w:hAnsi="Times New Roman" w:cs="Times New Roman"/>
                <w:sz w:val="21"/>
                <w:szCs w:val="21"/>
                <w:lang w:eastAsia="zh-CN"/>
              </w:rPr>
              <w:t>、</w:t>
            </w:r>
            <w:r>
              <w:rPr>
                <w:rFonts w:ascii="Times New Roman" w:hAnsi="Times New Roman" w:cs="Times New Roman"/>
                <w:sz w:val="21"/>
                <w:szCs w:val="21"/>
                <w:lang w:eastAsia="zh-CN"/>
              </w:rPr>
              <w:t>K</w:t>
            </w:r>
            <w:r>
              <w:rPr>
                <w:rFonts w:ascii="Times New Roman" w:hAnsi="Times New Roman" w:cs="Times New Roman"/>
                <w:sz w:val="21"/>
                <w:szCs w:val="21"/>
                <w:vertAlign w:val="superscript"/>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Na</w:t>
            </w:r>
            <w:r>
              <w:rPr>
                <w:rFonts w:ascii="Times New Roman" w:hAnsi="Times New Roman" w:cs="Times New Roman"/>
                <w:sz w:val="21"/>
                <w:szCs w:val="21"/>
                <w:vertAlign w:val="superscript"/>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Ca</w:t>
            </w:r>
            <w:r>
              <w:rPr>
                <w:rFonts w:ascii="Times New Roman" w:hAnsi="Times New Roman" w:cs="Times New Roman"/>
                <w:sz w:val="21"/>
                <w:szCs w:val="21"/>
                <w:vertAlign w:val="superscript"/>
                <w:lang w:eastAsia="zh-CN"/>
              </w:rPr>
              <w:t>2+</w:t>
            </w:r>
            <w:r>
              <w:rPr>
                <w:rFonts w:ascii="Times New Roman" w:hAnsi="Times New Roman" w:cs="Times New Roman"/>
                <w:sz w:val="21"/>
                <w:szCs w:val="21"/>
                <w:lang w:eastAsia="zh-CN"/>
              </w:rPr>
              <w:t>、</w:t>
            </w:r>
            <w:r>
              <w:rPr>
                <w:rFonts w:ascii="Times New Roman" w:hAnsi="Times New Roman" w:cs="Times New Roman"/>
                <w:sz w:val="21"/>
                <w:szCs w:val="21"/>
                <w:lang w:eastAsia="zh-CN"/>
              </w:rPr>
              <w:t>Mg</w:t>
            </w:r>
            <w:r>
              <w:rPr>
                <w:rFonts w:ascii="Times New Roman" w:hAnsi="Times New Roman" w:cs="Times New Roman"/>
                <w:sz w:val="21"/>
                <w:szCs w:val="21"/>
                <w:vertAlign w:val="superscript"/>
                <w:lang w:eastAsia="zh-CN"/>
              </w:rPr>
              <w:t>2+</w:t>
            </w:r>
            <w:r>
              <w:rPr>
                <w:rFonts w:ascii="Times New Roman" w:hAnsi="Times New Roman" w:cs="Times New Roman"/>
                <w:sz w:val="21"/>
                <w:szCs w:val="21"/>
                <w:lang w:eastAsia="zh-CN"/>
              </w:rPr>
              <w:t>、</w:t>
            </w:r>
            <w:r>
              <w:rPr>
                <w:rFonts w:ascii="Times New Roman" w:hAnsi="Times New Roman" w:cs="Times New Roman"/>
                <w:sz w:val="21"/>
                <w:szCs w:val="21"/>
                <w:lang w:eastAsia="zh-CN"/>
              </w:rPr>
              <w:t>CO</w:t>
            </w:r>
            <w:r>
              <w:rPr>
                <w:rFonts w:ascii="Times New Roman" w:hAnsi="Times New Roman" w:cs="Times New Roman"/>
                <w:sz w:val="21"/>
                <w:szCs w:val="21"/>
                <w:vertAlign w:val="superscript"/>
                <w:lang w:eastAsia="zh-CN"/>
              </w:rPr>
              <w:t>3</w:t>
            </w:r>
            <w:r>
              <w:rPr>
                <w:rFonts w:ascii="Times New Roman" w:hAnsi="Times New Roman" w:cs="Times New Roman" w:hint="eastAsia"/>
                <w:sz w:val="21"/>
                <w:szCs w:val="21"/>
                <w:vertAlign w:val="superscript"/>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HCO</w:t>
            </w:r>
            <w:r>
              <w:rPr>
                <w:rFonts w:ascii="Times New Roman" w:hAnsi="Times New Roman" w:cs="Times New Roman"/>
                <w:sz w:val="21"/>
                <w:szCs w:val="21"/>
                <w:vertAlign w:val="subscript"/>
                <w:lang w:eastAsia="zh-CN"/>
              </w:rPr>
              <w:t>3</w:t>
            </w:r>
            <w:r>
              <w:rPr>
                <w:rFonts w:ascii="Times New Roman" w:hAnsi="Times New Roman" w:cs="Times New Roman" w:hint="eastAsia"/>
                <w:sz w:val="21"/>
                <w:szCs w:val="21"/>
                <w:vertAlign w:val="superscript"/>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Cl</w:t>
            </w:r>
            <w:r>
              <w:rPr>
                <w:rFonts w:ascii="Times New Roman" w:hAnsi="Times New Roman" w:cs="Times New Roman" w:hint="eastAsia"/>
                <w:sz w:val="21"/>
                <w:szCs w:val="21"/>
                <w:vertAlign w:val="superscript"/>
                <w:lang w:eastAsia="zh-CN"/>
              </w:rPr>
              <w:t>-</w:t>
            </w:r>
            <w:r>
              <w:rPr>
                <w:rFonts w:ascii="Times New Roman" w:hAnsi="Times New Roman" w:cs="Times New Roman"/>
                <w:sz w:val="21"/>
                <w:szCs w:val="21"/>
                <w:lang w:eastAsia="zh-CN"/>
              </w:rPr>
              <w:t>、</w:t>
            </w:r>
            <w:r>
              <w:rPr>
                <w:rFonts w:ascii="Times New Roman" w:hAnsi="Times New Roman" w:cs="Times New Roman"/>
                <w:sz w:val="21"/>
                <w:szCs w:val="21"/>
                <w:lang w:eastAsia="zh-CN"/>
              </w:rPr>
              <w:t>SO</w:t>
            </w:r>
            <w:r>
              <w:rPr>
                <w:rFonts w:ascii="Times New Roman" w:hAnsi="Times New Roman" w:cs="Times New Roman"/>
                <w:sz w:val="21"/>
                <w:szCs w:val="21"/>
                <w:vertAlign w:val="subscript"/>
                <w:lang w:eastAsia="zh-CN"/>
              </w:rPr>
              <w:t>4</w:t>
            </w:r>
            <w:r>
              <w:rPr>
                <w:rFonts w:ascii="Times New Roman" w:hAnsi="Times New Roman" w:cs="Times New Roman" w:hint="eastAsia"/>
                <w:sz w:val="21"/>
                <w:szCs w:val="21"/>
                <w:vertAlign w:val="superscript"/>
                <w:lang w:eastAsia="zh-CN"/>
              </w:rPr>
              <w:t>2-</w:t>
            </w:r>
            <w:r>
              <w:rPr>
                <w:rFonts w:ascii="Times New Roman" w:hAnsi="Times New Roman" w:cs="Times New Roman"/>
                <w:sz w:val="21"/>
                <w:szCs w:val="21"/>
                <w:lang w:eastAsia="zh-CN"/>
              </w:rPr>
              <w:t>、总硬度、溶解性总固体、耗氧量、氨氮、硝酸盐氮、亚硝酸盐氮、氟化物、挥发性酚类、氰化物、汞、砷、六价铬、铅、镉、铁、锰、总大肠菌群、菌落总数</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lang w:eastAsia="zh-CN"/>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环境噪声质量现状</w:t>
            </w:r>
          </w:p>
        </w:tc>
        <w:tc>
          <w:tcPr>
            <w:tcW w:w="3037"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等效连续</w:t>
            </w:r>
            <w:r>
              <w:rPr>
                <w:rFonts w:ascii="Times New Roman" w:hAnsi="Times New Roman" w:cs="Times New Roman"/>
                <w:sz w:val="21"/>
                <w:szCs w:val="21"/>
                <w:lang w:eastAsia="zh-CN"/>
              </w:rPr>
              <w:t>A</w:t>
            </w:r>
            <w:r>
              <w:rPr>
                <w:rFonts w:ascii="Times New Roman" w:hAnsi="Times New Roman" w:cs="Times New Roman"/>
                <w:sz w:val="21"/>
                <w:szCs w:val="21"/>
                <w:lang w:eastAsia="zh-CN"/>
              </w:rPr>
              <w:t>声级</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556" w:type="pct"/>
            <w:vMerge w:val="restar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土壤</w:t>
            </w:r>
          </w:p>
        </w:tc>
        <w:tc>
          <w:tcPr>
            <w:tcW w:w="682" w:type="pct"/>
            <w:vAlign w:val="center"/>
          </w:tcPr>
          <w:p w:rsidR="006175A6" w:rsidRDefault="009B4BA7">
            <w:pPr>
              <w:pStyle w:val="60"/>
              <w:jc w:val="center"/>
            </w:pPr>
            <w:r>
              <w:t>农用地</w:t>
            </w:r>
          </w:p>
        </w:tc>
        <w:tc>
          <w:tcPr>
            <w:tcW w:w="3037" w:type="pct"/>
            <w:vAlign w:val="center"/>
          </w:tcPr>
          <w:p w:rsidR="006175A6" w:rsidRDefault="009B4BA7">
            <w:pPr>
              <w:spacing w:line="240" w:lineRule="auto"/>
              <w:ind w:firstLineChars="0" w:firstLine="0"/>
              <w:jc w:val="center"/>
              <w:rPr>
                <w:sz w:val="21"/>
                <w:lang w:eastAsia="zh-CN"/>
              </w:rPr>
            </w:pPr>
            <w:r>
              <w:rPr>
                <w:sz w:val="21"/>
                <w:lang w:eastAsia="zh-CN"/>
              </w:rPr>
              <w:t>pH</w:t>
            </w:r>
            <w:r>
              <w:rPr>
                <w:sz w:val="21"/>
                <w:lang w:eastAsia="zh-CN"/>
              </w:rPr>
              <w:t>、含盐量、镉、汞、砷、铅、铬、铜、镍、锌</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lang w:eastAsia="zh-CN"/>
              </w:rPr>
            </w:pPr>
          </w:p>
        </w:tc>
        <w:tc>
          <w:tcPr>
            <w:tcW w:w="556" w:type="pct"/>
            <w:vMerge/>
            <w:vAlign w:val="center"/>
          </w:tcPr>
          <w:p w:rsidR="006175A6" w:rsidRDefault="006175A6">
            <w:pPr>
              <w:pStyle w:val="TableParagraph"/>
              <w:rPr>
                <w:rFonts w:ascii="Times New Roman" w:hAnsi="Times New Roman" w:cs="Times New Roman"/>
                <w:sz w:val="21"/>
                <w:szCs w:val="21"/>
                <w:lang w:eastAsia="zh-CN"/>
              </w:rPr>
            </w:pPr>
          </w:p>
        </w:tc>
        <w:tc>
          <w:tcPr>
            <w:tcW w:w="682" w:type="pct"/>
            <w:vAlign w:val="center"/>
          </w:tcPr>
          <w:p w:rsidR="006175A6" w:rsidRDefault="009B4BA7">
            <w:pPr>
              <w:pStyle w:val="60"/>
              <w:jc w:val="center"/>
            </w:pPr>
            <w:r>
              <w:t>建设用地</w:t>
            </w:r>
          </w:p>
          <w:p w:rsidR="006175A6" w:rsidRDefault="006175A6">
            <w:pPr>
              <w:pStyle w:val="TableParagraph"/>
              <w:rPr>
                <w:rFonts w:ascii="Times New Roman" w:hAnsi="Times New Roman" w:cs="Times New Roman"/>
                <w:sz w:val="21"/>
                <w:szCs w:val="21"/>
              </w:rPr>
            </w:pPr>
          </w:p>
        </w:tc>
        <w:tc>
          <w:tcPr>
            <w:tcW w:w="3037" w:type="pct"/>
            <w:vAlign w:val="center"/>
          </w:tcPr>
          <w:p w:rsidR="006175A6" w:rsidRDefault="009B4BA7">
            <w:pPr>
              <w:pStyle w:val="TableParagraph"/>
              <w:jc w:val="both"/>
              <w:rPr>
                <w:rFonts w:ascii="Times New Roman" w:hAnsi="Times New Roman" w:cs="Times New Roman"/>
                <w:sz w:val="21"/>
                <w:szCs w:val="21"/>
                <w:lang w:eastAsia="zh-CN"/>
              </w:rPr>
            </w:pPr>
            <w:r>
              <w:rPr>
                <w:rFonts w:ascii="Times New Roman" w:hAnsi="Times New Roman" w:cs="Times New Roman"/>
                <w:spacing w:val="-9"/>
                <w:sz w:val="21"/>
                <w:szCs w:val="21"/>
                <w:lang w:eastAsia="zh-CN"/>
              </w:rPr>
              <w:t>砷、镉、铬、铜、铅、汞、镍、四氯化碳、氯仿、氯甲烷、</w:t>
            </w:r>
            <w:r>
              <w:rPr>
                <w:rFonts w:ascii="Times New Roman" w:hAnsi="Times New Roman" w:cs="Times New Roman"/>
                <w:spacing w:val="-9"/>
                <w:sz w:val="21"/>
                <w:szCs w:val="21"/>
                <w:lang w:eastAsia="zh-CN"/>
              </w:rPr>
              <w:t>1.1-</w:t>
            </w:r>
            <w:r>
              <w:rPr>
                <w:rFonts w:ascii="Times New Roman" w:hAnsi="Times New Roman" w:cs="Times New Roman"/>
                <w:spacing w:val="-14"/>
                <w:sz w:val="21"/>
                <w:szCs w:val="21"/>
                <w:lang w:eastAsia="zh-CN"/>
              </w:rPr>
              <w:t>二氯乙烷、</w:t>
            </w:r>
            <w:r>
              <w:rPr>
                <w:rFonts w:ascii="Times New Roman" w:hAnsi="Times New Roman" w:cs="Times New Roman"/>
                <w:sz w:val="21"/>
                <w:szCs w:val="21"/>
                <w:lang w:eastAsia="zh-CN"/>
              </w:rPr>
              <w:t>1.2-</w:t>
            </w:r>
            <w:r>
              <w:rPr>
                <w:rFonts w:ascii="Times New Roman" w:hAnsi="Times New Roman" w:cs="Times New Roman"/>
                <w:spacing w:val="-7"/>
                <w:sz w:val="21"/>
                <w:szCs w:val="21"/>
                <w:lang w:eastAsia="zh-CN"/>
              </w:rPr>
              <w:t>二氯乙烷、</w:t>
            </w:r>
            <w:r>
              <w:rPr>
                <w:rFonts w:ascii="Times New Roman" w:hAnsi="Times New Roman" w:cs="Times New Roman"/>
                <w:sz w:val="21"/>
                <w:szCs w:val="21"/>
                <w:lang w:eastAsia="zh-CN"/>
              </w:rPr>
              <w:t>1.1-</w:t>
            </w:r>
            <w:r>
              <w:rPr>
                <w:rFonts w:ascii="Times New Roman" w:hAnsi="Times New Roman" w:cs="Times New Roman"/>
                <w:spacing w:val="-6"/>
                <w:sz w:val="21"/>
                <w:szCs w:val="21"/>
                <w:lang w:eastAsia="zh-CN"/>
              </w:rPr>
              <w:t>二氯乙烯、顺</w:t>
            </w:r>
            <w:r>
              <w:rPr>
                <w:rFonts w:ascii="Times New Roman" w:hAnsi="Times New Roman" w:cs="Times New Roman"/>
                <w:sz w:val="21"/>
                <w:szCs w:val="21"/>
                <w:lang w:eastAsia="zh-CN"/>
              </w:rPr>
              <w:t>-1.2</w:t>
            </w:r>
            <w:r>
              <w:rPr>
                <w:rFonts w:ascii="Times New Roman" w:hAnsi="Times New Roman" w:cs="Times New Roman"/>
                <w:spacing w:val="-6"/>
                <w:sz w:val="21"/>
                <w:szCs w:val="21"/>
                <w:lang w:eastAsia="zh-CN"/>
              </w:rPr>
              <w:t xml:space="preserve"> </w:t>
            </w:r>
            <w:r>
              <w:rPr>
                <w:rFonts w:ascii="Times New Roman" w:hAnsi="Times New Roman" w:cs="Times New Roman"/>
                <w:sz w:val="21"/>
                <w:szCs w:val="21"/>
                <w:lang w:eastAsia="zh-CN"/>
              </w:rPr>
              <w:t>二氯乙烯、反</w:t>
            </w:r>
            <w:r>
              <w:rPr>
                <w:rFonts w:ascii="Times New Roman" w:hAnsi="Times New Roman" w:cs="Times New Roman"/>
                <w:sz w:val="21"/>
                <w:szCs w:val="21"/>
                <w:lang w:eastAsia="zh-CN"/>
              </w:rPr>
              <w:t>-1.2-</w:t>
            </w:r>
            <w:r>
              <w:rPr>
                <w:rFonts w:ascii="Times New Roman" w:hAnsi="Times New Roman" w:cs="Times New Roman"/>
                <w:sz w:val="21"/>
                <w:szCs w:val="21"/>
                <w:lang w:eastAsia="zh-CN"/>
              </w:rPr>
              <w:t>二氯乙烯、二氯甲烷、</w:t>
            </w:r>
            <w:r>
              <w:rPr>
                <w:rFonts w:ascii="Times New Roman" w:hAnsi="Times New Roman" w:cs="Times New Roman"/>
                <w:sz w:val="21"/>
                <w:szCs w:val="21"/>
                <w:lang w:eastAsia="zh-CN"/>
              </w:rPr>
              <w:t>1.2-</w:t>
            </w:r>
            <w:r>
              <w:rPr>
                <w:rFonts w:ascii="Times New Roman" w:hAnsi="Times New Roman" w:cs="Times New Roman"/>
                <w:sz w:val="21"/>
                <w:szCs w:val="21"/>
                <w:lang w:eastAsia="zh-CN"/>
              </w:rPr>
              <w:t>二氯丙烷、</w:t>
            </w:r>
            <w:r>
              <w:rPr>
                <w:rFonts w:ascii="Times New Roman" w:hAnsi="Times New Roman" w:cs="Times New Roman"/>
                <w:sz w:val="21"/>
                <w:szCs w:val="21"/>
                <w:lang w:eastAsia="zh-CN"/>
              </w:rPr>
              <w:t xml:space="preserve">1.1.1.2- </w:t>
            </w:r>
            <w:r>
              <w:rPr>
                <w:rFonts w:ascii="Times New Roman" w:hAnsi="Times New Roman" w:cs="Times New Roman"/>
                <w:sz w:val="21"/>
                <w:szCs w:val="21"/>
                <w:lang w:eastAsia="zh-CN"/>
              </w:rPr>
              <w:t>四氯乙烷、</w:t>
            </w:r>
            <w:r>
              <w:rPr>
                <w:rFonts w:ascii="Times New Roman" w:hAnsi="Times New Roman" w:cs="Times New Roman"/>
                <w:sz w:val="21"/>
                <w:szCs w:val="21"/>
                <w:lang w:eastAsia="zh-CN"/>
              </w:rPr>
              <w:t>1.1.2.2-</w:t>
            </w:r>
            <w:r>
              <w:rPr>
                <w:rFonts w:ascii="Times New Roman" w:hAnsi="Times New Roman" w:cs="Times New Roman"/>
                <w:sz w:val="21"/>
                <w:szCs w:val="21"/>
                <w:lang w:eastAsia="zh-CN"/>
              </w:rPr>
              <w:t>四氯乙烷、四氯乙烯、</w:t>
            </w:r>
            <w:r>
              <w:rPr>
                <w:rFonts w:ascii="Times New Roman" w:hAnsi="Times New Roman" w:cs="Times New Roman"/>
                <w:sz w:val="21"/>
                <w:szCs w:val="21"/>
                <w:lang w:eastAsia="zh-CN"/>
              </w:rPr>
              <w:t>1.1.1-</w:t>
            </w:r>
            <w:r>
              <w:rPr>
                <w:rFonts w:ascii="Times New Roman" w:hAnsi="Times New Roman" w:cs="Times New Roman"/>
                <w:sz w:val="21"/>
                <w:szCs w:val="21"/>
                <w:lang w:eastAsia="zh-CN"/>
              </w:rPr>
              <w:t>三氯乙烷、</w:t>
            </w:r>
            <w:r>
              <w:rPr>
                <w:rFonts w:ascii="Times New Roman" w:hAnsi="Times New Roman" w:cs="Times New Roman"/>
                <w:sz w:val="21"/>
                <w:szCs w:val="21"/>
                <w:lang w:eastAsia="zh-CN"/>
              </w:rPr>
              <w:t>1.1.2-</w:t>
            </w:r>
            <w:r>
              <w:rPr>
                <w:rFonts w:ascii="Times New Roman" w:hAnsi="Times New Roman" w:cs="Times New Roman"/>
                <w:spacing w:val="-2"/>
                <w:sz w:val="21"/>
                <w:szCs w:val="21"/>
                <w:lang w:eastAsia="zh-CN"/>
              </w:rPr>
              <w:t>三氯乙烷、三氯乙烯、</w:t>
            </w:r>
            <w:r>
              <w:rPr>
                <w:rFonts w:ascii="Times New Roman" w:hAnsi="Times New Roman" w:cs="Times New Roman"/>
                <w:sz w:val="21"/>
                <w:szCs w:val="21"/>
                <w:lang w:eastAsia="zh-CN"/>
              </w:rPr>
              <w:t>1.2.3-</w:t>
            </w:r>
            <w:r>
              <w:rPr>
                <w:rFonts w:ascii="Times New Roman" w:hAnsi="Times New Roman" w:cs="Times New Roman"/>
                <w:spacing w:val="-1"/>
                <w:sz w:val="21"/>
                <w:szCs w:val="21"/>
                <w:lang w:eastAsia="zh-CN"/>
              </w:rPr>
              <w:t>三氯丙烷、氯乙烯、苯、</w:t>
            </w:r>
            <w:r>
              <w:rPr>
                <w:rFonts w:ascii="Times New Roman" w:hAnsi="Times New Roman" w:cs="Times New Roman"/>
                <w:spacing w:val="-1"/>
                <w:sz w:val="21"/>
                <w:szCs w:val="21"/>
                <w:lang w:eastAsia="zh-CN"/>
              </w:rPr>
              <w:t xml:space="preserve"> </w:t>
            </w:r>
            <w:r>
              <w:rPr>
                <w:rFonts w:ascii="Times New Roman" w:hAnsi="Times New Roman" w:cs="Times New Roman"/>
                <w:spacing w:val="-2"/>
                <w:sz w:val="21"/>
                <w:szCs w:val="21"/>
                <w:lang w:eastAsia="zh-CN"/>
              </w:rPr>
              <w:t>氯苯、</w:t>
            </w:r>
            <w:r>
              <w:rPr>
                <w:rFonts w:ascii="Times New Roman" w:hAnsi="Times New Roman" w:cs="Times New Roman"/>
                <w:sz w:val="21"/>
                <w:szCs w:val="21"/>
                <w:lang w:eastAsia="zh-CN"/>
              </w:rPr>
              <w:t>1.2-</w:t>
            </w:r>
            <w:r>
              <w:rPr>
                <w:rFonts w:ascii="Times New Roman" w:hAnsi="Times New Roman" w:cs="Times New Roman"/>
                <w:sz w:val="21"/>
                <w:szCs w:val="21"/>
                <w:lang w:eastAsia="zh-CN"/>
              </w:rPr>
              <w:t>二氯苯、</w:t>
            </w:r>
            <w:r>
              <w:rPr>
                <w:rFonts w:ascii="Times New Roman" w:hAnsi="Times New Roman" w:cs="Times New Roman"/>
                <w:sz w:val="21"/>
                <w:szCs w:val="21"/>
                <w:lang w:eastAsia="zh-CN"/>
              </w:rPr>
              <w:t>1.4-</w:t>
            </w:r>
            <w:r>
              <w:rPr>
                <w:rFonts w:ascii="Times New Roman" w:hAnsi="Times New Roman" w:cs="Times New Roman"/>
                <w:spacing w:val="-2"/>
                <w:sz w:val="21"/>
                <w:szCs w:val="21"/>
                <w:lang w:eastAsia="zh-CN"/>
              </w:rPr>
              <w:t>二氯苯、乙苯、苯乙烯、甲苯、间二甲苯</w:t>
            </w:r>
            <w:r>
              <w:rPr>
                <w:rFonts w:ascii="Times New Roman" w:hAnsi="Times New Roman" w:cs="Times New Roman"/>
                <w:spacing w:val="-2"/>
                <w:sz w:val="21"/>
                <w:szCs w:val="21"/>
                <w:lang w:eastAsia="zh-CN"/>
              </w:rPr>
              <w:t>+</w:t>
            </w:r>
            <w:r>
              <w:rPr>
                <w:rFonts w:ascii="Times New Roman" w:hAnsi="Times New Roman" w:cs="Times New Roman"/>
                <w:spacing w:val="-8"/>
                <w:sz w:val="21"/>
                <w:szCs w:val="21"/>
                <w:lang w:eastAsia="zh-CN"/>
              </w:rPr>
              <w:t>对二甲苯、邻二甲苯、硝基苯、苯胺、</w:t>
            </w:r>
            <w:r>
              <w:rPr>
                <w:rFonts w:ascii="Times New Roman" w:hAnsi="Times New Roman" w:cs="Times New Roman"/>
                <w:sz w:val="21"/>
                <w:szCs w:val="21"/>
                <w:lang w:eastAsia="zh-CN"/>
              </w:rPr>
              <w:t>2-</w:t>
            </w:r>
            <w:r>
              <w:rPr>
                <w:rFonts w:ascii="Times New Roman" w:hAnsi="Times New Roman" w:cs="Times New Roman"/>
                <w:spacing w:val="-4"/>
                <w:sz w:val="21"/>
                <w:szCs w:val="21"/>
                <w:lang w:eastAsia="zh-CN"/>
              </w:rPr>
              <w:t>氯酚、苯并（</w:t>
            </w:r>
            <w:r>
              <w:rPr>
                <w:rFonts w:ascii="Times New Roman" w:hAnsi="Times New Roman" w:cs="Times New Roman"/>
                <w:spacing w:val="-4"/>
                <w:sz w:val="21"/>
                <w:szCs w:val="21"/>
                <w:lang w:eastAsia="zh-CN"/>
              </w:rPr>
              <w:t>a</w:t>
            </w:r>
            <w:r>
              <w:rPr>
                <w:rFonts w:ascii="Times New Roman" w:hAnsi="Times New Roman" w:cs="Times New Roman"/>
                <w:spacing w:val="-4"/>
                <w:sz w:val="21"/>
                <w:szCs w:val="21"/>
                <w:lang w:eastAsia="zh-CN"/>
              </w:rPr>
              <w:t>）蒽、苯并（</w:t>
            </w:r>
            <w:r>
              <w:rPr>
                <w:rFonts w:ascii="Times New Roman" w:hAnsi="Times New Roman" w:cs="Times New Roman"/>
                <w:spacing w:val="-4"/>
                <w:sz w:val="21"/>
                <w:szCs w:val="21"/>
                <w:lang w:eastAsia="zh-CN"/>
              </w:rPr>
              <w:t>a</w:t>
            </w:r>
            <w:r>
              <w:rPr>
                <w:rFonts w:ascii="Times New Roman" w:hAnsi="Times New Roman" w:cs="Times New Roman"/>
                <w:spacing w:val="-4"/>
                <w:sz w:val="21"/>
                <w:szCs w:val="21"/>
                <w:lang w:eastAsia="zh-CN"/>
              </w:rPr>
              <w:t>）芘、苯并（</w:t>
            </w:r>
            <w:r>
              <w:rPr>
                <w:rFonts w:ascii="Times New Roman" w:hAnsi="Times New Roman" w:cs="Times New Roman"/>
                <w:spacing w:val="-4"/>
                <w:sz w:val="21"/>
                <w:szCs w:val="21"/>
                <w:lang w:eastAsia="zh-CN"/>
              </w:rPr>
              <w:t>b</w:t>
            </w:r>
            <w:r>
              <w:rPr>
                <w:rFonts w:ascii="Times New Roman" w:hAnsi="Times New Roman" w:cs="Times New Roman"/>
                <w:spacing w:val="-4"/>
                <w:sz w:val="21"/>
                <w:szCs w:val="21"/>
                <w:lang w:eastAsia="zh-CN"/>
              </w:rPr>
              <w:t>）荧蒽、苯并（</w:t>
            </w:r>
            <w:r>
              <w:rPr>
                <w:rFonts w:ascii="Times New Roman" w:hAnsi="Times New Roman" w:cs="Times New Roman"/>
                <w:spacing w:val="-4"/>
                <w:sz w:val="21"/>
                <w:szCs w:val="21"/>
                <w:lang w:eastAsia="zh-CN"/>
              </w:rPr>
              <w:t>k</w:t>
            </w:r>
            <w:r>
              <w:rPr>
                <w:rFonts w:ascii="Times New Roman" w:hAnsi="Times New Roman" w:cs="Times New Roman"/>
                <w:spacing w:val="-4"/>
                <w:sz w:val="21"/>
                <w:szCs w:val="21"/>
                <w:lang w:eastAsia="zh-CN"/>
              </w:rPr>
              <w:t>）荧</w:t>
            </w:r>
            <w:r>
              <w:rPr>
                <w:rFonts w:ascii="Times New Roman" w:hAnsi="Times New Roman" w:cs="Times New Roman"/>
                <w:sz w:val="21"/>
                <w:szCs w:val="21"/>
                <w:lang w:eastAsia="zh-CN"/>
              </w:rPr>
              <w:t>蒽、䓛、二苯并（</w:t>
            </w:r>
            <w:r>
              <w:rPr>
                <w:rFonts w:ascii="Times New Roman" w:hAnsi="Times New Roman" w:cs="Times New Roman"/>
                <w:sz w:val="21"/>
                <w:szCs w:val="21"/>
                <w:lang w:eastAsia="zh-CN"/>
              </w:rPr>
              <w:t>a</w:t>
            </w:r>
            <w:r>
              <w:rPr>
                <w:rFonts w:ascii="Times New Roman" w:hAnsi="Times New Roman" w:cs="Times New Roman"/>
                <w:sz w:val="21"/>
                <w:szCs w:val="21"/>
                <w:lang w:eastAsia="zh-CN"/>
              </w:rPr>
              <w:t>，</w:t>
            </w:r>
            <w:r>
              <w:rPr>
                <w:rFonts w:ascii="Times New Roman" w:hAnsi="Times New Roman" w:cs="Times New Roman"/>
                <w:sz w:val="21"/>
                <w:szCs w:val="21"/>
                <w:lang w:eastAsia="zh-CN"/>
              </w:rPr>
              <w:t>h</w:t>
            </w:r>
            <w:r w:rsidR="00E97427">
              <w:rPr>
                <w:rFonts w:ascii="Times New Roman" w:hAnsi="Times New Roman" w:cs="Times New Roman"/>
                <w:sz w:val="21"/>
                <w:szCs w:val="21"/>
                <w:lang w:eastAsia="zh-CN"/>
              </w:rPr>
              <w:t>）</w:t>
            </w:r>
            <w:r>
              <w:rPr>
                <w:rFonts w:ascii="Times New Roman" w:hAnsi="Times New Roman" w:cs="Times New Roman"/>
                <w:sz w:val="21"/>
                <w:szCs w:val="21"/>
                <w:lang w:eastAsia="zh-CN"/>
              </w:rPr>
              <w:t>蒽、茚并</w:t>
            </w:r>
            <w:r w:rsidR="00E97427">
              <w:rPr>
                <w:rFonts w:ascii="Times New Roman" w:hAnsi="Times New Roman" w:cs="Times New Roman"/>
                <w:sz w:val="21"/>
                <w:szCs w:val="21"/>
                <w:lang w:eastAsia="zh-CN"/>
              </w:rPr>
              <w:t>（</w:t>
            </w:r>
            <w:r>
              <w:rPr>
                <w:rFonts w:ascii="Times New Roman" w:hAnsi="Times New Roman" w:cs="Times New Roman"/>
                <w:sz w:val="21"/>
                <w:szCs w:val="21"/>
                <w:lang w:eastAsia="zh-CN"/>
              </w:rPr>
              <w:t>1,2,3-cd</w:t>
            </w:r>
            <w:r w:rsidR="00E97427">
              <w:rPr>
                <w:rFonts w:ascii="Times New Roman" w:hAnsi="Times New Roman" w:cs="Times New Roman"/>
                <w:sz w:val="21"/>
                <w:szCs w:val="21"/>
                <w:lang w:eastAsia="zh-CN"/>
              </w:rPr>
              <w:t>）</w:t>
            </w:r>
            <w:r>
              <w:rPr>
                <w:rFonts w:ascii="Times New Roman" w:hAnsi="Times New Roman" w:cs="Times New Roman"/>
                <w:sz w:val="21"/>
                <w:szCs w:val="21"/>
                <w:lang w:eastAsia="zh-CN"/>
              </w:rPr>
              <w:t>芘、萘</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lang w:eastAsia="zh-CN"/>
              </w:rPr>
            </w:pPr>
          </w:p>
        </w:tc>
        <w:tc>
          <w:tcPr>
            <w:tcW w:w="1238" w:type="pct"/>
            <w:gridSpan w:val="2"/>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生态环境</w:t>
            </w:r>
          </w:p>
        </w:tc>
        <w:tc>
          <w:tcPr>
            <w:tcW w:w="3037" w:type="pct"/>
            <w:vAlign w:val="center"/>
          </w:tcPr>
          <w:p w:rsidR="006175A6" w:rsidRDefault="009B4BA7">
            <w:pPr>
              <w:pStyle w:val="60"/>
              <w:jc w:val="center"/>
              <w:rPr>
                <w:lang w:eastAsia="zh-CN"/>
              </w:rPr>
            </w:pPr>
            <w:r>
              <w:rPr>
                <w:lang w:eastAsia="zh-CN"/>
              </w:rPr>
              <w:t>土地利用、水土流失、陆生动植物、水生生物</w:t>
            </w:r>
          </w:p>
        </w:tc>
      </w:tr>
      <w:tr w:rsidR="006175A6">
        <w:trPr>
          <w:trHeight w:val="340"/>
        </w:trPr>
        <w:tc>
          <w:tcPr>
            <w:tcW w:w="725" w:type="pct"/>
            <w:vMerge w:val="restart"/>
            <w:vAlign w:val="center"/>
          </w:tcPr>
          <w:p w:rsidR="006175A6" w:rsidRDefault="009B4BA7">
            <w:pPr>
              <w:pStyle w:val="60"/>
            </w:pPr>
            <w:r>
              <w:t>环境影响评价</w:t>
            </w:r>
          </w:p>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大气</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TSP</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地表水</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position w:val="2"/>
                <w:sz w:val="21"/>
                <w:szCs w:val="21"/>
              </w:rPr>
              <w:t>pH</w:t>
            </w:r>
            <w:r>
              <w:rPr>
                <w:rFonts w:ascii="Times New Roman" w:hAnsi="Times New Roman" w:cs="Times New Roman"/>
                <w:position w:val="2"/>
                <w:sz w:val="21"/>
                <w:szCs w:val="21"/>
              </w:rPr>
              <w:t>、</w:t>
            </w:r>
            <w:r>
              <w:rPr>
                <w:rFonts w:ascii="Times New Roman" w:hAnsi="Times New Roman" w:cs="Times New Roman"/>
                <w:position w:val="2"/>
                <w:sz w:val="21"/>
                <w:szCs w:val="21"/>
              </w:rPr>
              <w:t>COD</w:t>
            </w:r>
            <w:r>
              <w:rPr>
                <w:rFonts w:ascii="Times New Roman" w:hAnsi="Times New Roman" w:cs="Times New Roman"/>
                <w:position w:val="2"/>
                <w:sz w:val="21"/>
                <w:szCs w:val="21"/>
              </w:rPr>
              <w:t>、</w:t>
            </w:r>
            <w:r>
              <w:rPr>
                <w:rFonts w:ascii="Times New Roman" w:hAnsi="Times New Roman" w:cs="Times New Roman"/>
                <w:position w:val="2"/>
                <w:sz w:val="21"/>
                <w:szCs w:val="21"/>
              </w:rPr>
              <w:t>SS</w:t>
            </w:r>
            <w:r>
              <w:rPr>
                <w:rFonts w:ascii="Times New Roman" w:hAnsi="Times New Roman" w:cs="Times New Roman"/>
                <w:position w:val="2"/>
                <w:sz w:val="21"/>
                <w:szCs w:val="21"/>
              </w:rPr>
              <w:t>、</w:t>
            </w:r>
            <w:r>
              <w:rPr>
                <w:rFonts w:ascii="Times New Roman" w:hAnsi="Times New Roman" w:cs="Times New Roman"/>
                <w:position w:val="2"/>
                <w:sz w:val="21"/>
                <w:szCs w:val="21"/>
              </w:rPr>
              <w:t>BOD</w:t>
            </w:r>
            <w:r>
              <w:rPr>
                <w:rFonts w:ascii="Times New Roman" w:hAnsi="Times New Roman" w:cs="Times New Roman"/>
                <w:position w:val="2"/>
                <w:sz w:val="21"/>
                <w:szCs w:val="21"/>
                <w:vertAlign w:val="subscript"/>
              </w:rPr>
              <w:t>5</w:t>
            </w:r>
            <w:r>
              <w:rPr>
                <w:rFonts w:ascii="Times New Roman" w:hAnsi="Times New Roman" w:cs="Times New Roman"/>
                <w:position w:val="2"/>
                <w:sz w:val="21"/>
                <w:szCs w:val="21"/>
              </w:rPr>
              <w:t>、</w:t>
            </w:r>
            <w:r>
              <w:rPr>
                <w:rFonts w:ascii="Times New Roman" w:hAnsi="Times New Roman" w:cs="Times New Roman"/>
                <w:position w:val="2"/>
                <w:sz w:val="21"/>
                <w:szCs w:val="21"/>
              </w:rPr>
              <w:t>NH</w:t>
            </w:r>
            <w:r>
              <w:rPr>
                <w:rFonts w:ascii="Times New Roman" w:hAnsi="Times New Roman" w:cs="Times New Roman" w:hint="eastAsia"/>
                <w:position w:val="2"/>
                <w:sz w:val="21"/>
                <w:szCs w:val="21"/>
                <w:vertAlign w:val="subscript"/>
                <w:lang w:eastAsia="zh-CN"/>
              </w:rPr>
              <w:t>3</w:t>
            </w:r>
            <w:r>
              <w:rPr>
                <w:rFonts w:ascii="Times New Roman" w:hAnsi="Times New Roman" w:cs="Times New Roman"/>
                <w:position w:val="2"/>
                <w:sz w:val="21"/>
                <w:szCs w:val="21"/>
              </w:rPr>
              <w:t>-N</w:t>
            </w:r>
            <w:r>
              <w:rPr>
                <w:rFonts w:ascii="Times New Roman" w:hAnsi="Times New Roman" w:cs="Times New Roman"/>
                <w:position w:val="2"/>
                <w:sz w:val="21"/>
                <w:szCs w:val="21"/>
                <w:vertAlign w:val="subscript"/>
              </w:rPr>
              <w:t>3</w:t>
            </w:r>
            <w:r>
              <w:rPr>
                <w:rFonts w:ascii="Times New Roman" w:hAnsi="Times New Roman" w:cs="Times New Roman"/>
                <w:position w:val="2"/>
                <w:sz w:val="21"/>
                <w:szCs w:val="21"/>
              </w:rPr>
              <w:t>、总磷、石油类</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地下水</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地下水水位</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固体废物</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弃土弃渣、生活垃圾</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厂界噪声</w:t>
            </w:r>
          </w:p>
        </w:tc>
        <w:tc>
          <w:tcPr>
            <w:tcW w:w="303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等效连续</w:t>
            </w:r>
            <w:r>
              <w:rPr>
                <w:rFonts w:ascii="Times New Roman" w:hAnsi="Times New Roman" w:cs="Times New Roman"/>
                <w:sz w:val="21"/>
                <w:szCs w:val="21"/>
              </w:rPr>
              <w:t>A</w:t>
            </w:r>
            <w:r>
              <w:rPr>
                <w:rFonts w:ascii="Times New Roman" w:hAnsi="Times New Roman" w:cs="Times New Roman"/>
                <w:sz w:val="21"/>
                <w:szCs w:val="21"/>
              </w:rPr>
              <w:t>声级</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生态环境</w:t>
            </w:r>
          </w:p>
        </w:tc>
        <w:tc>
          <w:tcPr>
            <w:tcW w:w="3037"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陆生生态、水生生态、水土流失、水文情势、局地气候、水库水温、河流水质、泥沙淤积、土地利用等</w:t>
            </w:r>
          </w:p>
        </w:tc>
      </w:tr>
      <w:tr w:rsidR="006175A6">
        <w:trPr>
          <w:trHeight w:val="340"/>
        </w:trPr>
        <w:tc>
          <w:tcPr>
            <w:tcW w:w="725" w:type="pct"/>
            <w:vMerge/>
            <w:vAlign w:val="center"/>
          </w:tcPr>
          <w:p w:rsidR="006175A6" w:rsidRDefault="006175A6">
            <w:pPr>
              <w:widowControl/>
              <w:spacing w:line="240" w:lineRule="auto"/>
              <w:ind w:firstLineChars="0" w:firstLine="0"/>
              <w:jc w:val="center"/>
              <w:rPr>
                <w:sz w:val="21"/>
                <w:lang w:eastAsia="zh-CN"/>
              </w:rPr>
            </w:pPr>
          </w:p>
        </w:tc>
        <w:tc>
          <w:tcPr>
            <w:tcW w:w="1238" w:type="pct"/>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社会环境</w:t>
            </w:r>
          </w:p>
        </w:tc>
        <w:tc>
          <w:tcPr>
            <w:tcW w:w="3037"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人群健康、社会经济等</w:t>
            </w:r>
          </w:p>
        </w:tc>
      </w:tr>
    </w:tbl>
    <w:p w:rsidR="006175A6" w:rsidRDefault="009B4BA7">
      <w:pPr>
        <w:pStyle w:val="2"/>
      </w:pPr>
      <w:bookmarkStart w:id="26" w:name="_Toc80170087"/>
      <w:r>
        <w:rPr>
          <w:rFonts w:hint="eastAsia"/>
        </w:rPr>
        <w:t>相关环境功能区划与评价标准</w:t>
      </w:r>
      <w:bookmarkEnd w:id="26"/>
    </w:p>
    <w:p w:rsidR="006175A6" w:rsidRDefault="009B4BA7">
      <w:pPr>
        <w:pStyle w:val="3"/>
      </w:pPr>
      <w:r>
        <w:rPr>
          <w:rFonts w:hint="eastAsia"/>
        </w:rPr>
        <w:t>环境功能区划</w:t>
      </w:r>
    </w:p>
    <w:p w:rsidR="006175A6" w:rsidRDefault="009B4BA7">
      <w:pPr>
        <w:ind w:firstLine="480"/>
      </w:pPr>
      <w:r>
        <w:rPr>
          <w:rFonts w:hint="eastAsia"/>
        </w:rPr>
        <w:t>建设项目所在地环境功能区划见</w:t>
      </w:r>
      <w:r>
        <w:fldChar w:fldCharType="begin"/>
      </w:r>
      <w:r>
        <w:instrText xml:space="preserve"> </w:instrText>
      </w:r>
      <w:r>
        <w:rPr>
          <w:rFonts w:hint="eastAsia"/>
        </w:rPr>
        <w:instrText>REF _Ref80000795 \h</w:instrText>
      </w:r>
      <w:r>
        <w:instrText xml:space="preserve"> </w:instrText>
      </w:r>
      <w:r>
        <w:fldChar w:fldCharType="separate"/>
      </w:r>
      <w:r w:rsidR="00E97427">
        <w:rPr>
          <w:rFonts w:hint="eastAsia"/>
        </w:rPr>
        <w:t>表</w:t>
      </w:r>
      <w:r w:rsidR="00E97427">
        <w:rPr>
          <w:rFonts w:hint="eastAsia"/>
        </w:rPr>
        <w:t xml:space="preserve"> </w:t>
      </w:r>
      <w:r w:rsidR="00E97427">
        <w:rPr>
          <w:noProof/>
        </w:rPr>
        <w:t>2.5</w:t>
      </w:r>
      <w:r w:rsidR="00E97427">
        <w:noBreakHyphen/>
      </w:r>
      <w:r w:rsidR="00E97427">
        <w:rPr>
          <w:noProof/>
        </w:rPr>
        <w:t>1</w:t>
      </w:r>
      <w:r>
        <w:fldChar w:fldCharType="end"/>
      </w:r>
      <w:r>
        <w:rPr>
          <w:rFonts w:hint="eastAsia"/>
        </w:rPr>
        <w:t>。</w:t>
      </w:r>
    </w:p>
    <w:p w:rsidR="006175A6" w:rsidRDefault="009B4BA7">
      <w:pPr>
        <w:pStyle w:val="a3"/>
      </w:pPr>
      <w:bookmarkStart w:id="27" w:name="_Ref80000795"/>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27"/>
      <w:r>
        <w:rPr>
          <w:rFonts w:hint="eastAsia"/>
        </w:rPr>
        <w:t xml:space="preserve">  </w:t>
      </w:r>
      <w:r>
        <w:rPr>
          <w:rFonts w:hint="eastAsia"/>
        </w:rPr>
        <w:t>项目所在地环境功能区划</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4118"/>
        <w:gridCol w:w="2776"/>
      </w:tblGrid>
      <w:tr w:rsidR="006175A6">
        <w:trPr>
          <w:trHeight w:val="340"/>
        </w:trPr>
        <w:tc>
          <w:tcPr>
            <w:tcW w:w="855" w:type="pct"/>
            <w:vAlign w:val="center"/>
          </w:tcPr>
          <w:p w:rsidR="006175A6" w:rsidRDefault="009B4BA7">
            <w:pPr>
              <w:pStyle w:val="TableParagraph"/>
              <w:rPr>
                <w:rFonts w:cs="Times New Roman"/>
                <w:sz w:val="21"/>
                <w:szCs w:val="21"/>
              </w:rPr>
            </w:pPr>
            <w:r>
              <w:rPr>
                <w:rFonts w:cs="Times New Roman" w:hint="eastAsia"/>
                <w:sz w:val="21"/>
                <w:szCs w:val="21"/>
              </w:rPr>
              <w:t>环境要素</w:t>
            </w:r>
          </w:p>
        </w:tc>
        <w:tc>
          <w:tcPr>
            <w:tcW w:w="2476" w:type="pct"/>
            <w:vAlign w:val="center"/>
          </w:tcPr>
          <w:p w:rsidR="006175A6" w:rsidRDefault="009B4BA7">
            <w:pPr>
              <w:pStyle w:val="TableParagraph"/>
              <w:rPr>
                <w:rFonts w:cs="Times New Roman"/>
                <w:sz w:val="21"/>
                <w:szCs w:val="21"/>
              </w:rPr>
            </w:pPr>
            <w:r>
              <w:rPr>
                <w:rFonts w:cs="Times New Roman" w:hint="eastAsia"/>
                <w:sz w:val="21"/>
                <w:szCs w:val="21"/>
              </w:rPr>
              <w:t>区域及范围</w:t>
            </w:r>
          </w:p>
        </w:tc>
        <w:tc>
          <w:tcPr>
            <w:tcW w:w="1669" w:type="pct"/>
            <w:vAlign w:val="center"/>
          </w:tcPr>
          <w:p w:rsidR="006175A6" w:rsidRDefault="009B4BA7">
            <w:pPr>
              <w:pStyle w:val="TableParagraph"/>
              <w:rPr>
                <w:rFonts w:cs="Times New Roman"/>
                <w:sz w:val="21"/>
                <w:szCs w:val="21"/>
              </w:rPr>
            </w:pPr>
            <w:r>
              <w:rPr>
                <w:rFonts w:cs="Times New Roman" w:hint="eastAsia"/>
                <w:sz w:val="21"/>
                <w:szCs w:val="21"/>
              </w:rPr>
              <w:t>功能类别</w:t>
            </w:r>
          </w:p>
        </w:tc>
      </w:tr>
      <w:tr w:rsidR="006175A6">
        <w:trPr>
          <w:trHeight w:val="340"/>
        </w:trPr>
        <w:tc>
          <w:tcPr>
            <w:tcW w:w="855" w:type="pct"/>
            <w:vAlign w:val="center"/>
          </w:tcPr>
          <w:p w:rsidR="006175A6" w:rsidRDefault="009B4BA7">
            <w:pPr>
              <w:pStyle w:val="TableParagraph"/>
              <w:rPr>
                <w:rFonts w:cs="Times New Roman"/>
                <w:sz w:val="21"/>
                <w:szCs w:val="21"/>
              </w:rPr>
            </w:pPr>
            <w:r>
              <w:rPr>
                <w:rFonts w:cs="Times New Roman" w:hint="eastAsia"/>
                <w:sz w:val="21"/>
                <w:szCs w:val="21"/>
              </w:rPr>
              <w:t>环境空气</w:t>
            </w:r>
          </w:p>
        </w:tc>
        <w:tc>
          <w:tcPr>
            <w:tcW w:w="2476"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项目所在地及周围区域</w:t>
            </w:r>
          </w:p>
        </w:tc>
        <w:tc>
          <w:tcPr>
            <w:tcW w:w="1669" w:type="pct"/>
            <w:vAlign w:val="center"/>
          </w:tcPr>
          <w:p w:rsidR="006175A6" w:rsidRDefault="009B4BA7">
            <w:pPr>
              <w:pStyle w:val="TableParagraph"/>
              <w:rPr>
                <w:rFonts w:cs="Times New Roman"/>
                <w:sz w:val="21"/>
                <w:szCs w:val="21"/>
              </w:rPr>
            </w:pPr>
            <w:r>
              <w:rPr>
                <w:rFonts w:cs="Times New Roman" w:hint="eastAsia"/>
                <w:sz w:val="21"/>
                <w:szCs w:val="21"/>
              </w:rPr>
              <w:t>二类环境功能区</w:t>
            </w:r>
          </w:p>
        </w:tc>
      </w:tr>
      <w:tr w:rsidR="006175A6">
        <w:trPr>
          <w:trHeight w:val="340"/>
        </w:trPr>
        <w:tc>
          <w:tcPr>
            <w:tcW w:w="855" w:type="pct"/>
            <w:vAlign w:val="center"/>
          </w:tcPr>
          <w:p w:rsidR="006175A6" w:rsidRDefault="009B4BA7">
            <w:pPr>
              <w:pStyle w:val="TableParagraph"/>
              <w:rPr>
                <w:rFonts w:cs="Times New Roman"/>
                <w:sz w:val="21"/>
                <w:szCs w:val="21"/>
              </w:rPr>
            </w:pPr>
            <w:r>
              <w:rPr>
                <w:rFonts w:cs="Times New Roman" w:hint="eastAsia"/>
                <w:sz w:val="21"/>
                <w:szCs w:val="21"/>
              </w:rPr>
              <w:t>地表水</w:t>
            </w:r>
          </w:p>
        </w:tc>
        <w:tc>
          <w:tcPr>
            <w:tcW w:w="2476" w:type="pct"/>
            <w:vAlign w:val="center"/>
          </w:tcPr>
          <w:p w:rsidR="006175A6" w:rsidRDefault="009B4BA7">
            <w:pPr>
              <w:pStyle w:val="TableParagraph"/>
              <w:rPr>
                <w:rFonts w:ascii="Times New Roman"/>
                <w:sz w:val="21"/>
                <w:szCs w:val="21"/>
                <w:lang w:eastAsia="zh-CN"/>
              </w:rPr>
            </w:pPr>
            <w:r>
              <w:rPr>
                <w:rFonts w:cs="Times New Roman" w:hint="eastAsia"/>
                <w:sz w:val="21"/>
                <w:szCs w:val="21"/>
                <w:lang w:eastAsia="zh-CN"/>
              </w:rPr>
              <w:t>门家河</w:t>
            </w:r>
          </w:p>
        </w:tc>
        <w:tc>
          <w:tcPr>
            <w:tcW w:w="1669" w:type="pct"/>
            <w:vAlign w:val="center"/>
          </w:tcPr>
          <w:p w:rsidR="006175A6" w:rsidRDefault="009B4BA7">
            <w:pPr>
              <w:pStyle w:val="TableParagraph"/>
              <w:rPr>
                <w:rFonts w:cs="Times New Roman"/>
                <w:sz w:val="21"/>
                <w:szCs w:val="21"/>
              </w:rPr>
            </w:pPr>
            <w:r>
              <w:rPr>
                <w:rFonts w:cs="Times New Roman" w:hint="eastAsia"/>
                <w:sz w:val="21"/>
                <w:szCs w:val="21"/>
              </w:rPr>
              <w:t>Ⅲ类水体</w:t>
            </w:r>
          </w:p>
        </w:tc>
      </w:tr>
      <w:tr w:rsidR="006175A6">
        <w:trPr>
          <w:trHeight w:val="340"/>
        </w:trPr>
        <w:tc>
          <w:tcPr>
            <w:tcW w:w="855" w:type="pct"/>
            <w:vAlign w:val="center"/>
          </w:tcPr>
          <w:p w:rsidR="006175A6" w:rsidRDefault="009B4BA7">
            <w:pPr>
              <w:pStyle w:val="TableParagraph"/>
              <w:rPr>
                <w:rFonts w:cs="Times New Roman"/>
                <w:sz w:val="21"/>
                <w:szCs w:val="21"/>
              </w:rPr>
            </w:pPr>
            <w:r>
              <w:rPr>
                <w:rFonts w:cs="Times New Roman" w:hint="eastAsia"/>
                <w:sz w:val="21"/>
                <w:szCs w:val="21"/>
              </w:rPr>
              <w:t>声环境</w:t>
            </w:r>
          </w:p>
        </w:tc>
        <w:tc>
          <w:tcPr>
            <w:tcW w:w="2476" w:type="pct"/>
            <w:vAlign w:val="center"/>
          </w:tcPr>
          <w:p w:rsidR="006175A6" w:rsidRDefault="009B4BA7">
            <w:pPr>
              <w:pStyle w:val="TableParagraph"/>
              <w:rPr>
                <w:rFonts w:cs="Times New Roman"/>
                <w:sz w:val="21"/>
                <w:szCs w:val="21"/>
              </w:rPr>
            </w:pPr>
            <w:r>
              <w:rPr>
                <w:rFonts w:cs="Times New Roman" w:hint="eastAsia"/>
                <w:sz w:val="21"/>
                <w:szCs w:val="21"/>
              </w:rPr>
              <w:t>项目所在区域</w:t>
            </w:r>
          </w:p>
        </w:tc>
        <w:tc>
          <w:tcPr>
            <w:tcW w:w="1669" w:type="pct"/>
            <w:vAlign w:val="center"/>
          </w:tcPr>
          <w:p w:rsidR="006175A6" w:rsidRDefault="009B4BA7">
            <w:pPr>
              <w:pStyle w:val="TableParagraph"/>
              <w:rPr>
                <w:rFonts w:cs="Times New Roman"/>
                <w:sz w:val="21"/>
                <w:szCs w:val="21"/>
              </w:rPr>
            </w:pPr>
            <w:r>
              <w:rPr>
                <w:rFonts w:ascii="Times New Roman" w:hint="eastAsia"/>
                <w:sz w:val="21"/>
                <w:szCs w:val="21"/>
                <w:lang w:eastAsia="zh-CN"/>
              </w:rPr>
              <w:t>1</w:t>
            </w:r>
            <w:r>
              <w:rPr>
                <w:rFonts w:cs="Times New Roman" w:hint="eastAsia"/>
                <w:sz w:val="21"/>
                <w:szCs w:val="21"/>
              </w:rPr>
              <w:t>类功能区</w:t>
            </w:r>
          </w:p>
        </w:tc>
      </w:tr>
      <w:tr w:rsidR="006175A6">
        <w:trPr>
          <w:trHeight w:val="340"/>
        </w:trPr>
        <w:tc>
          <w:tcPr>
            <w:tcW w:w="855" w:type="pct"/>
            <w:vAlign w:val="center"/>
          </w:tcPr>
          <w:p w:rsidR="006175A6" w:rsidRDefault="009B4BA7">
            <w:pPr>
              <w:pStyle w:val="TableParagraph"/>
              <w:rPr>
                <w:rFonts w:cs="Times New Roman"/>
                <w:sz w:val="21"/>
                <w:szCs w:val="21"/>
              </w:rPr>
            </w:pPr>
            <w:r>
              <w:rPr>
                <w:rFonts w:cs="Times New Roman" w:hint="eastAsia"/>
                <w:sz w:val="21"/>
                <w:szCs w:val="21"/>
              </w:rPr>
              <w:t>地下水</w:t>
            </w:r>
          </w:p>
        </w:tc>
        <w:tc>
          <w:tcPr>
            <w:tcW w:w="2476" w:type="pct"/>
            <w:vAlign w:val="center"/>
          </w:tcPr>
          <w:p w:rsidR="006175A6" w:rsidRDefault="009B4BA7">
            <w:pPr>
              <w:pStyle w:val="TableParagraph"/>
              <w:rPr>
                <w:rFonts w:cs="Times New Roman"/>
                <w:sz w:val="21"/>
                <w:szCs w:val="21"/>
              </w:rPr>
            </w:pPr>
            <w:r>
              <w:rPr>
                <w:rFonts w:cs="Times New Roman" w:hint="eastAsia"/>
                <w:sz w:val="21"/>
                <w:szCs w:val="21"/>
              </w:rPr>
              <w:t>项目所在区域</w:t>
            </w:r>
          </w:p>
        </w:tc>
        <w:tc>
          <w:tcPr>
            <w:tcW w:w="1669" w:type="pct"/>
            <w:vAlign w:val="center"/>
          </w:tcPr>
          <w:p w:rsidR="006175A6" w:rsidRDefault="009B4BA7">
            <w:pPr>
              <w:pStyle w:val="TableParagraph"/>
              <w:rPr>
                <w:rFonts w:cs="Times New Roman"/>
                <w:sz w:val="21"/>
                <w:szCs w:val="21"/>
              </w:rPr>
            </w:pPr>
            <w:r>
              <w:rPr>
                <w:rFonts w:cs="Times New Roman" w:hint="eastAsia"/>
                <w:sz w:val="21"/>
                <w:szCs w:val="21"/>
              </w:rPr>
              <w:t>Ⅲ类水体</w:t>
            </w:r>
          </w:p>
        </w:tc>
      </w:tr>
      <w:tr w:rsidR="006175A6">
        <w:trPr>
          <w:trHeight w:val="340"/>
        </w:trPr>
        <w:tc>
          <w:tcPr>
            <w:tcW w:w="855" w:type="pct"/>
            <w:vMerge w:val="restart"/>
            <w:vAlign w:val="center"/>
          </w:tcPr>
          <w:p w:rsidR="006175A6" w:rsidRDefault="009B4BA7">
            <w:pPr>
              <w:pStyle w:val="TableParagraph"/>
              <w:rPr>
                <w:rFonts w:cs="Times New Roman"/>
                <w:sz w:val="21"/>
                <w:szCs w:val="21"/>
              </w:rPr>
            </w:pPr>
            <w:r>
              <w:rPr>
                <w:rFonts w:cs="Times New Roman" w:hint="eastAsia"/>
                <w:sz w:val="21"/>
                <w:szCs w:val="21"/>
              </w:rPr>
              <w:lastRenderedPageBreak/>
              <w:t>土壤</w:t>
            </w:r>
          </w:p>
        </w:tc>
        <w:tc>
          <w:tcPr>
            <w:tcW w:w="2476"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坝址处</w:t>
            </w:r>
          </w:p>
        </w:tc>
        <w:tc>
          <w:tcPr>
            <w:tcW w:w="1669"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第二类用地（风险筛选值）</w:t>
            </w:r>
          </w:p>
        </w:tc>
      </w:tr>
      <w:tr w:rsidR="006175A6">
        <w:trPr>
          <w:trHeight w:val="340"/>
        </w:trPr>
        <w:tc>
          <w:tcPr>
            <w:tcW w:w="855" w:type="pct"/>
            <w:vMerge/>
            <w:vAlign w:val="center"/>
          </w:tcPr>
          <w:p w:rsidR="006175A6" w:rsidRDefault="006175A6">
            <w:pPr>
              <w:pStyle w:val="TableParagraph"/>
              <w:rPr>
                <w:rFonts w:cs="Times New Roman"/>
                <w:sz w:val="21"/>
                <w:szCs w:val="21"/>
                <w:lang w:eastAsia="zh-CN"/>
              </w:rPr>
            </w:pPr>
          </w:p>
        </w:tc>
        <w:tc>
          <w:tcPr>
            <w:tcW w:w="2476"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库区淹没区及周边林地</w:t>
            </w:r>
          </w:p>
        </w:tc>
        <w:tc>
          <w:tcPr>
            <w:tcW w:w="1669"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农用地</w:t>
            </w:r>
          </w:p>
        </w:tc>
      </w:tr>
    </w:tbl>
    <w:p w:rsidR="006175A6" w:rsidRDefault="009B4BA7">
      <w:pPr>
        <w:pStyle w:val="3"/>
      </w:pPr>
      <w:r>
        <w:rPr>
          <w:rFonts w:hint="eastAsia"/>
        </w:rPr>
        <w:t>环境质量标准</w:t>
      </w:r>
    </w:p>
    <w:p w:rsidR="006175A6" w:rsidRDefault="009B4BA7">
      <w:pPr>
        <w:ind w:firstLine="480"/>
      </w:pPr>
      <w:r>
        <w:rPr>
          <w:rFonts w:hint="eastAsia"/>
        </w:rPr>
        <w:t>根据区域环境功能区划，本评价拟采用环境质量标准见下表：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拟建项目采用的环境质量标准一览表</w:t>
      </w:r>
    </w:p>
    <w:tbl>
      <w:tblPr>
        <w:tblStyle w:val="31"/>
        <w:tblW w:w="8520" w:type="dxa"/>
        <w:tblLayout w:type="fixed"/>
        <w:tblLook w:val="04A0" w:firstRow="1" w:lastRow="0" w:firstColumn="1" w:lastColumn="0" w:noHBand="0" w:noVBand="1"/>
      </w:tblPr>
      <w:tblGrid>
        <w:gridCol w:w="737"/>
        <w:gridCol w:w="931"/>
        <w:gridCol w:w="4528"/>
        <w:gridCol w:w="2324"/>
      </w:tblGrid>
      <w:tr w:rsidR="006175A6">
        <w:trPr>
          <w:trHeight w:val="340"/>
        </w:trPr>
        <w:tc>
          <w:tcPr>
            <w:tcW w:w="1668" w:type="dxa"/>
            <w:gridSpan w:val="2"/>
            <w:tcBorders>
              <w:top w:val="single" w:sz="4" w:space="0" w:color="auto"/>
              <w:left w:val="single" w:sz="4" w:space="0" w:color="auto"/>
              <w:bottom w:val="single" w:sz="4" w:space="0" w:color="auto"/>
              <w:right w:val="single" w:sz="4" w:space="0" w:color="auto"/>
            </w:tcBorders>
          </w:tcPr>
          <w:p w:rsidR="006175A6" w:rsidRDefault="009B4BA7">
            <w:pPr>
              <w:spacing w:line="240" w:lineRule="auto"/>
              <w:ind w:firstLineChars="0" w:firstLine="0"/>
              <w:jc w:val="center"/>
              <w:rPr>
                <w:kern w:val="0"/>
                <w:sz w:val="21"/>
              </w:rPr>
            </w:pPr>
            <w:r>
              <w:rPr>
                <w:kern w:val="0"/>
                <w:sz w:val="21"/>
              </w:rPr>
              <w:t>项</w:t>
            </w:r>
            <w:r>
              <w:rPr>
                <w:kern w:val="0"/>
                <w:sz w:val="21"/>
              </w:rPr>
              <w:t xml:space="preserve"> </w:t>
            </w:r>
            <w:r>
              <w:rPr>
                <w:kern w:val="0"/>
                <w:sz w:val="21"/>
              </w:rPr>
              <w:t>目</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执</w:t>
            </w:r>
            <w:r>
              <w:rPr>
                <w:kern w:val="0"/>
                <w:sz w:val="21"/>
              </w:rPr>
              <w:t xml:space="preserve"> </w:t>
            </w:r>
            <w:r>
              <w:rPr>
                <w:kern w:val="0"/>
                <w:sz w:val="21"/>
              </w:rPr>
              <w:t>行</w:t>
            </w:r>
            <w:r>
              <w:rPr>
                <w:kern w:val="0"/>
                <w:sz w:val="21"/>
              </w:rPr>
              <w:t xml:space="preserve"> </w:t>
            </w:r>
            <w:r>
              <w:rPr>
                <w:kern w:val="0"/>
                <w:sz w:val="21"/>
              </w:rPr>
              <w:t>标</w:t>
            </w:r>
            <w:r>
              <w:rPr>
                <w:kern w:val="0"/>
                <w:sz w:val="21"/>
              </w:rPr>
              <w:t xml:space="preserve"> </w:t>
            </w:r>
            <w:r>
              <w:rPr>
                <w:kern w:val="0"/>
                <w:sz w:val="21"/>
              </w:rPr>
              <w:t>准</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标准分级或分类</w:t>
            </w:r>
          </w:p>
        </w:tc>
      </w:tr>
      <w:tr w:rsidR="006175A6">
        <w:trPr>
          <w:trHeight w:val="340"/>
        </w:trPr>
        <w:tc>
          <w:tcPr>
            <w:tcW w:w="1668" w:type="dxa"/>
            <w:gridSpan w:val="2"/>
            <w:tcBorders>
              <w:top w:val="nil"/>
              <w:left w:val="single" w:sz="4" w:space="0" w:color="auto"/>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环境空气</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《环境空气质量标准》</w:t>
            </w:r>
            <w:r>
              <w:rPr>
                <w:rFonts w:hint="eastAsia"/>
                <w:kern w:val="0"/>
                <w:sz w:val="21"/>
              </w:rPr>
              <w:t>（</w:t>
            </w:r>
            <w:r>
              <w:rPr>
                <w:kern w:val="0"/>
                <w:sz w:val="21"/>
              </w:rPr>
              <w:t>GB3095-2012</w:t>
            </w:r>
            <w:r>
              <w:rPr>
                <w:rFonts w:hint="eastAsia"/>
                <w:kern w:val="0"/>
                <w:sz w:val="21"/>
              </w:rPr>
              <w:t>）</w:t>
            </w:r>
            <w:r>
              <w:rPr>
                <w:kern w:val="0"/>
                <w:sz w:val="21"/>
              </w:rPr>
              <w:t>及其修改单</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二级</w:t>
            </w:r>
          </w:p>
        </w:tc>
      </w:tr>
      <w:tr w:rsidR="006175A6">
        <w:trPr>
          <w:trHeight w:val="340"/>
        </w:trPr>
        <w:tc>
          <w:tcPr>
            <w:tcW w:w="1668" w:type="dxa"/>
            <w:gridSpan w:val="2"/>
            <w:tcBorders>
              <w:top w:val="single" w:sz="4" w:space="0" w:color="auto"/>
              <w:left w:val="single" w:sz="4" w:space="0" w:color="auto"/>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地表水</w:t>
            </w:r>
            <w:r>
              <w:rPr>
                <w:kern w:val="0"/>
                <w:sz w:val="21"/>
              </w:rPr>
              <w:t>-</w:t>
            </w:r>
            <w:r>
              <w:rPr>
                <w:rFonts w:hint="eastAsia"/>
                <w:kern w:val="0"/>
                <w:sz w:val="21"/>
              </w:rPr>
              <w:t>门家河</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《地表水环境质量标准》</w:t>
            </w:r>
            <w:r>
              <w:rPr>
                <w:rFonts w:hint="eastAsia"/>
                <w:kern w:val="0"/>
                <w:sz w:val="21"/>
              </w:rPr>
              <w:t>（</w:t>
            </w:r>
            <w:r>
              <w:rPr>
                <w:kern w:val="0"/>
                <w:sz w:val="21"/>
              </w:rPr>
              <w:t>GB3838-2002</w:t>
            </w:r>
            <w:r>
              <w:rPr>
                <w:rFonts w:hint="eastAsia"/>
                <w:kern w:val="0"/>
                <w:sz w:val="21"/>
              </w:rPr>
              <w:t>）</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III</w:t>
            </w:r>
            <w:r>
              <w:rPr>
                <w:rFonts w:ascii="宋体" w:hAnsi="宋体"/>
                <w:kern w:val="0"/>
                <w:sz w:val="21"/>
              </w:rPr>
              <w:t>类</w:t>
            </w:r>
          </w:p>
        </w:tc>
      </w:tr>
      <w:tr w:rsidR="006175A6">
        <w:trPr>
          <w:trHeight w:val="340"/>
        </w:trPr>
        <w:tc>
          <w:tcPr>
            <w:tcW w:w="1668" w:type="dxa"/>
            <w:gridSpan w:val="2"/>
            <w:tcBorders>
              <w:top w:val="single" w:sz="4" w:space="0" w:color="auto"/>
              <w:left w:val="single" w:sz="4" w:space="0" w:color="auto"/>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地下水</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《地下水质量标准》</w:t>
            </w:r>
            <w:r>
              <w:rPr>
                <w:rFonts w:hint="eastAsia"/>
                <w:kern w:val="0"/>
                <w:sz w:val="21"/>
              </w:rPr>
              <w:t>（</w:t>
            </w:r>
            <w:r>
              <w:rPr>
                <w:kern w:val="0"/>
                <w:sz w:val="21"/>
              </w:rPr>
              <w:t>GB/T14848-2017</w:t>
            </w:r>
            <w:r>
              <w:rPr>
                <w:rFonts w:hint="eastAsia"/>
                <w:kern w:val="0"/>
                <w:sz w:val="21"/>
              </w:rPr>
              <w:t>）</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III</w:t>
            </w:r>
            <w:r>
              <w:rPr>
                <w:rFonts w:ascii="宋体" w:hAnsi="宋体"/>
                <w:kern w:val="0"/>
                <w:sz w:val="21"/>
              </w:rPr>
              <w:t>类</w:t>
            </w:r>
          </w:p>
        </w:tc>
      </w:tr>
      <w:tr w:rsidR="006175A6">
        <w:trPr>
          <w:trHeight w:val="340"/>
        </w:trPr>
        <w:tc>
          <w:tcPr>
            <w:tcW w:w="1668" w:type="dxa"/>
            <w:gridSpan w:val="2"/>
            <w:tcBorders>
              <w:top w:val="single" w:sz="4" w:space="0" w:color="auto"/>
              <w:left w:val="single" w:sz="4" w:space="0" w:color="auto"/>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环境噪声</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《声环境质量标准》</w:t>
            </w:r>
            <w:r>
              <w:rPr>
                <w:rFonts w:hint="eastAsia"/>
                <w:kern w:val="0"/>
                <w:sz w:val="21"/>
              </w:rPr>
              <w:t>（</w:t>
            </w:r>
            <w:r>
              <w:rPr>
                <w:kern w:val="0"/>
                <w:sz w:val="21"/>
              </w:rPr>
              <w:t>GB3096-2008</w:t>
            </w:r>
            <w:r>
              <w:rPr>
                <w:rFonts w:hint="eastAsia"/>
                <w:kern w:val="0"/>
                <w:sz w:val="21"/>
              </w:rPr>
              <w:t>）</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rFonts w:hint="eastAsia"/>
                <w:kern w:val="0"/>
                <w:sz w:val="21"/>
              </w:rPr>
              <w:t>1</w:t>
            </w:r>
            <w:r>
              <w:rPr>
                <w:rFonts w:ascii="宋体" w:hAnsi="宋体"/>
                <w:kern w:val="0"/>
                <w:sz w:val="21"/>
              </w:rPr>
              <w:t>类</w:t>
            </w:r>
          </w:p>
        </w:tc>
      </w:tr>
      <w:tr w:rsidR="006175A6">
        <w:trPr>
          <w:trHeight w:val="340"/>
        </w:trPr>
        <w:tc>
          <w:tcPr>
            <w:tcW w:w="737" w:type="dxa"/>
            <w:vMerge w:val="restart"/>
            <w:tcBorders>
              <w:top w:val="single" w:sz="4" w:space="0" w:color="auto"/>
              <w:left w:val="single" w:sz="4" w:space="0" w:color="auto"/>
              <w:right w:val="single" w:sz="4" w:space="0" w:color="000000"/>
            </w:tcBorders>
          </w:tcPr>
          <w:p w:rsidR="006175A6" w:rsidRDefault="009B4BA7">
            <w:pPr>
              <w:autoSpaceDE w:val="0"/>
              <w:autoSpaceDN w:val="0"/>
              <w:spacing w:line="240" w:lineRule="auto"/>
              <w:ind w:firstLineChars="0" w:firstLine="0"/>
              <w:jc w:val="center"/>
              <w:textAlignment w:val="bottom"/>
              <w:rPr>
                <w:sz w:val="21"/>
              </w:rPr>
            </w:pPr>
            <w:r>
              <w:rPr>
                <w:kern w:val="0"/>
                <w:sz w:val="21"/>
              </w:rPr>
              <w:t>土壤</w:t>
            </w:r>
          </w:p>
        </w:tc>
        <w:tc>
          <w:tcPr>
            <w:tcW w:w="931" w:type="dxa"/>
            <w:tcBorders>
              <w:top w:val="single" w:sz="4" w:space="0" w:color="auto"/>
              <w:left w:val="single" w:sz="4" w:space="0" w:color="000000"/>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rFonts w:hint="eastAsia"/>
                <w:sz w:val="21"/>
              </w:rPr>
              <w:t>坝址</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《土壤环境质量建设用地土壤污染风险管控标准》</w:t>
            </w:r>
            <w:r>
              <w:rPr>
                <w:rFonts w:hint="eastAsia"/>
                <w:kern w:val="0"/>
                <w:sz w:val="21"/>
              </w:rPr>
              <w:t>（</w:t>
            </w:r>
            <w:r>
              <w:rPr>
                <w:kern w:val="0"/>
                <w:sz w:val="21"/>
              </w:rPr>
              <w:t>GB36600-2018</w:t>
            </w:r>
            <w:r>
              <w:rPr>
                <w:rFonts w:hint="eastAsia"/>
                <w:kern w:val="0"/>
                <w:sz w:val="21"/>
              </w:rPr>
              <w:t>）</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sz w:val="21"/>
              </w:rPr>
            </w:pPr>
            <w:r>
              <w:rPr>
                <w:kern w:val="0"/>
                <w:sz w:val="21"/>
              </w:rPr>
              <w:t>表</w:t>
            </w:r>
            <w:r>
              <w:rPr>
                <w:kern w:val="0"/>
                <w:sz w:val="21"/>
              </w:rPr>
              <w:t>1</w:t>
            </w:r>
            <w:r>
              <w:rPr>
                <w:rFonts w:ascii="宋体" w:hAnsi="宋体"/>
                <w:kern w:val="0"/>
                <w:sz w:val="21"/>
              </w:rPr>
              <w:t>第二类用地筛选值标准</w:t>
            </w:r>
          </w:p>
        </w:tc>
      </w:tr>
      <w:tr w:rsidR="006175A6">
        <w:trPr>
          <w:trHeight w:val="340"/>
        </w:trPr>
        <w:tc>
          <w:tcPr>
            <w:tcW w:w="737" w:type="dxa"/>
            <w:vMerge/>
            <w:tcBorders>
              <w:left w:val="single" w:sz="4" w:space="0" w:color="auto"/>
              <w:bottom w:val="single" w:sz="4" w:space="0" w:color="auto"/>
              <w:right w:val="single" w:sz="4" w:space="0" w:color="000000"/>
            </w:tcBorders>
          </w:tcPr>
          <w:p w:rsidR="006175A6" w:rsidRDefault="006175A6">
            <w:pPr>
              <w:autoSpaceDE w:val="0"/>
              <w:autoSpaceDN w:val="0"/>
              <w:spacing w:line="240" w:lineRule="auto"/>
              <w:ind w:firstLineChars="0" w:firstLine="0"/>
              <w:jc w:val="center"/>
              <w:textAlignment w:val="bottom"/>
              <w:rPr>
                <w:kern w:val="0"/>
                <w:sz w:val="21"/>
              </w:rPr>
            </w:pPr>
          </w:p>
        </w:tc>
        <w:tc>
          <w:tcPr>
            <w:tcW w:w="931" w:type="dxa"/>
            <w:tcBorders>
              <w:top w:val="single" w:sz="4" w:space="0" w:color="auto"/>
              <w:left w:val="single" w:sz="4" w:space="0" w:color="000000"/>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kern w:val="0"/>
                <w:sz w:val="21"/>
              </w:rPr>
            </w:pPr>
            <w:r>
              <w:rPr>
                <w:rFonts w:hint="eastAsia"/>
                <w:kern w:val="0"/>
                <w:sz w:val="21"/>
              </w:rPr>
              <w:t>库区及周边</w:t>
            </w:r>
          </w:p>
        </w:tc>
        <w:tc>
          <w:tcPr>
            <w:tcW w:w="4528"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kern w:val="0"/>
                <w:sz w:val="21"/>
              </w:rPr>
            </w:pPr>
            <w:r>
              <w:rPr>
                <w:rFonts w:hint="eastAsia"/>
                <w:kern w:val="0"/>
                <w:sz w:val="21"/>
              </w:rPr>
              <w:t>《土壤环境质量</w:t>
            </w:r>
            <w:r>
              <w:rPr>
                <w:rFonts w:hint="eastAsia"/>
                <w:kern w:val="0"/>
                <w:sz w:val="21"/>
              </w:rPr>
              <w:t xml:space="preserve"> </w:t>
            </w:r>
            <w:r>
              <w:rPr>
                <w:rFonts w:hint="eastAsia"/>
                <w:kern w:val="0"/>
                <w:sz w:val="21"/>
              </w:rPr>
              <w:t>农用地土壤污染风险管控标准（试行）》（</w:t>
            </w:r>
            <w:r>
              <w:rPr>
                <w:rFonts w:hint="eastAsia"/>
                <w:kern w:val="0"/>
                <w:sz w:val="21"/>
              </w:rPr>
              <w:t>GB 15618-2018</w:t>
            </w:r>
            <w:r>
              <w:rPr>
                <w:rFonts w:hint="eastAsia"/>
                <w:kern w:val="0"/>
                <w:sz w:val="21"/>
              </w:rPr>
              <w:t>）</w:t>
            </w:r>
          </w:p>
        </w:tc>
        <w:tc>
          <w:tcPr>
            <w:tcW w:w="2324" w:type="dxa"/>
            <w:tcBorders>
              <w:top w:val="single" w:sz="4" w:space="0" w:color="auto"/>
              <w:left w:val="nil"/>
              <w:bottom w:val="single" w:sz="4" w:space="0" w:color="auto"/>
              <w:right w:val="single" w:sz="4" w:space="0" w:color="auto"/>
            </w:tcBorders>
          </w:tcPr>
          <w:p w:rsidR="006175A6" w:rsidRDefault="009B4BA7">
            <w:pPr>
              <w:autoSpaceDE w:val="0"/>
              <w:autoSpaceDN w:val="0"/>
              <w:spacing w:line="240" w:lineRule="auto"/>
              <w:ind w:firstLineChars="0" w:firstLine="0"/>
              <w:jc w:val="center"/>
              <w:textAlignment w:val="bottom"/>
              <w:rPr>
                <w:kern w:val="0"/>
                <w:sz w:val="21"/>
              </w:rPr>
            </w:pPr>
            <w:r>
              <w:rPr>
                <w:rFonts w:hint="eastAsia"/>
                <w:kern w:val="0"/>
                <w:sz w:val="21"/>
              </w:rPr>
              <w:t>6.5&lt; pH</w:t>
            </w:r>
            <w:r>
              <w:rPr>
                <w:rFonts w:hint="eastAsia"/>
                <w:kern w:val="0"/>
                <w:sz w:val="21"/>
              </w:rPr>
              <w:t>≤</w:t>
            </w:r>
            <w:r>
              <w:rPr>
                <w:rFonts w:hint="eastAsia"/>
                <w:kern w:val="0"/>
                <w:sz w:val="21"/>
              </w:rPr>
              <w:t>7.5</w:t>
            </w:r>
          </w:p>
        </w:tc>
      </w:tr>
    </w:tbl>
    <w:p w:rsidR="006175A6" w:rsidRDefault="009B4BA7">
      <w:pPr>
        <w:ind w:firstLine="480"/>
      </w:pPr>
      <w:r>
        <w:rPr>
          <w:rFonts w:hint="eastAsia"/>
        </w:rPr>
        <w:t>执行标准详细情况见下表：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环境质量标准一览表</w:t>
      </w:r>
    </w:p>
    <w:tbl>
      <w:tblPr>
        <w:tblStyle w:val="31"/>
        <w:tblW w:w="8522" w:type="dxa"/>
        <w:jc w:val="center"/>
        <w:tblLayout w:type="fixed"/>
        <w:tblLook w:val="04A0" w:firstRow="1" w:lastRow="0" w:firstColumn="1" w:lastColumn="0" w:noHBand="0" w:noVBand="1"/>
      </w:tblPr>
      <w:tblGrid>
        <w:gridCol w:w="1710"/>
        <w:gridCol w:w="1709"/>
        <w:gridCol w:w="803"/>
        <w:gridCol w:w="989"/>
        <w:gridCol w:w="622"/>
        <w:gridCol w:w="1186"/>
        <w:gridCol w:w="1503"/>
      </w:tblGrid>
      <w:tr w:rsidR="006175A6">
        <w:trPr>
          <w:trHeight w:val="340"/>
          <w:jc w:val="center"/>
        </w:trPr>
        <w:tc>
          <w:tcPr>
            <w:tcW w:w="1710" w:type="dxa"/>
            <w:vMerge w:val="restart"/>
            <w:tcBorders>
              <w:top w:val="single" w:sz="4" w:space="0" w:color="auto"/>
              <w:left w:val="single" w:sz="4" w:space="0" w:color="auto"/>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标准号</w:t>
            </w:r>
          </w:p>
        </w:tc>
        <w:tc>
          <w:tcPr>
            <w:tcW w:w="1709" w:type="dxa"/>
            <w:vMerge w:val="restar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标准名称</w:t>
            </w:r>
          </w:p>
        </w:tc>
        <w:tc>
          <w:tcPr>
            <w:tcW w:w="803" w:type="dxa"/>
            <w:vMerge w:val="restar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评价对象</w:t>
            </w:r>
          </w:p>
        </w:tc>
        <w:tc>
          <w:tcPr>
            <w:tcW w:w="4300" w:type="dxa"/>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执行标准</w:t>
            </w:r>
          </w:p>
        </w:tc>
      </w:tr>
      <w:tr w:rsidR="006175A6">
        <w:trPr>
          <w:trHeight w:val="340"/>
          <w:jc w:val="center"/>
        </w:trPr>
        <w:tc>
          <w:tcPr>
            <w:tcW w:w="1710" w:type="dxa"/>
            <w:vMerge/>
            <w:tcBorders>
              <w:top w:val="single" w:sz="4" w:space="0" w:color="auto"/>
              <w:left w:val="single" w:sz="4" w:space="0" w:color="auto"/>
              <w:bottom w:val="single" w:sz="4" w:space="0" w:color="auto"/>
              <w:right w:val="single" w:sz="4" w:space="0" w:color="auto"/>
            </w:tcBorders>
          </w:tcPr>
          <w:p w:rsidR="006175A6" w:rsidRDefault="006175A6">
            <w:pPr>
              <w:widowControl/>
              <w:spacing w:line="240" w:lineRule="auto"/>
              <w:ind w:firstLineChars="0" w:firstLine="0"/>
              <w:jc w:val="center"/>
              <w:rPr>
                <w:sz w:val="21"/>
              </w:rPr>
            </w:pPr>
          </w:p>
        </w:tc>
        <w:tc>
          <w:tcPr>
            <w:tcW w:w="1709" w:type="dxa"/>
            <w:vMerge/>
            <w:tcBorders>
              <w:top w:val="single" w:sz="4" w:space="0" w:color="auto"/>
              <w:left w:val="nil"/>
              <w:bottom w:val="single" w:sz="4" w:space="0" w:color="auto"/>
              <w:right w:val="single" w:sz="4" w:space="0" w:color="auto"/>
            </w:tcBorders>
          </w:tcPr>
          <w:p w:rsidR="006175A6" w:rsidRDefault="006175A6">
            <w:pPr>
              <w:widowControl/>
              <w:spacing w:line="240" w:lineRule="auto"/>
              <w:ind w:firstLineChars="0" w:firstLine="0"/>
              <w:jc w:val="center"/>
              <w:rPr>
                <w:sz w:val="21"/>
              </w:rPr>
            </w:pPr>
          </w:p>
        </w:tc>
        <w:tc>
          <w:tcPr>
            <w:tcW w:w="803" w:type="dxa"/>
            <w:vMerge/>
            <w:tcBorders>
              <w:top w:val="single" w:sz="4" w:space="0" w:color="auto"/>
              <w:left w:val="nil"/>
              <w:bottom w:val="single" w:sz="4" w:space="0" w:color="auto"/>
              <w:right w:val="single" w:sz="4" w:space="0" w:color="auto"/>
            </w:tcBorders>
          </w:tcPr>
          <w:p w:rsidR="006175A6" w:rsidRDefault="006175A6">
            <w:pPr>
              <w:widowControl/>
              <w:spacing w:line="240" w:lineRule="auto"/>
              <w:ind w:firstLineChars="0" w:firstLine="0"/>
              <w:jc w:val="center"/>
              <w:rPr>
                <w:sz w:val="21"/>
              </w:rPr>
            </w:pPr>
          </w:p>
        </w:tc>
        <w:tc>
          <w:tcPr>
            <w:tcW w:w="989"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级</w:t>
            </w:r>
            <w:r>
              <w:rPr>
                <w:rFonts w:hint="eastAsia"/>
                <w:kern w:val="0"/>
                <w:sz w:val="21"/>
              </w:rPr>
              <w:t>（</w:t>
            </w:r>
            <w:r>
              <w:rPr>
                <w:kern w:val="0"/>
                <w:sz w:val="21"/>
              </w:rPr>
              <w:t>类</w:t>
            </w:r>
            <w:r>
              <w:rPr>
                <w:rFonts w:hint="eastAsia"/>
                <w:kern w:val="0"/>
                <w:sz w:val="21"/>
              </w:rPr>
              <w:t>）</w:t>
            </w:r>
            <w:r>
              <w:rPr>
                <w:kern w:val="0"/>
                <w:sz w:val="21"/>
              </w:rPr>
              <w:t>别</w:t>
            </w: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指</w:t>
            </w:r>
            <w:r>
              <w:rPr>
                <w:kern w:val="0"/>
                <w:sz w:val="21"/>
              </w:rPr>
              <w:t xml:space="preserve">  </w:t>
            </w:r>
            <w:r>
              <w:rPr>
                <w:kern w:val="0"/>
                <w:sz w:val="21"/>
              </w:rPr>
              <w:t>标</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jc w:val="center"/>
              <w:rPr>
                <w:sz w:val="21"/>
              </w:rPr>
            </w:pPr>
            <w:r>
              <w:rPr>
                <w:kern w:val="0"/>
                <w:sz w:val="21"/>
              </w:rPr>
              <w:t>标准限值</w:t>
            </w:r>
          </w:p>
        </w:tc>
      </w:tr>
      <w:tr w:rsidR="006175A6">
        <w:trPr>
          <w:trHeight w:val="340"/>
          <w:jc w:val="center"/>
        </w:trPr>
        <w:tc>
          <w:tcPr>
            <w:tcW w:w="1710"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GB3095-2012</w:t>
            </w:r>
          </w:p>
        </w:tc>
        <w:tc>
          <w:tcPr>
            <w:tcW w:w="170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环境空气质量标准</w:t>
            </w:r>
          </w:p>
        </w:tc>
        <w:tc>
          <w:tcPr>
            <w:tcW w:w="803"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环境空气</w:t>
            </w:r>
          </w:p>
        </w:tc>
        <w:tc>
          <w:tcPr>
            <w:tcW w:w="98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二级</w:t>
            </w: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SO</w:t>
            </w:r>
            <w:r>
              <w:rPr>
                <w:kern w:val="0"/>
                <w:sz w:val="21"/>
                <w:vertAlign w:val="subscript"/>
              </w:rPr>
              <w:t>2</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年均值</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≤0.06mg/m</w:t>
            </w:r>
            <w:r>
              <w:rPr>
                <w:kern w:val="0"/>
                <w:sz w:val="21"/>
                <w:vertAlign w:val="superscript"/>
              </w:rPr>
              <w:t>3</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NO</w:t>
            </w:r>
            <w:r>
              <w:rPr>
                <w:kern w:val="0"/>
                <w:sz w:val="21"/>
                <w:vertAlign w:val="subscript"/>
              </w:rPr>
              <w:t>2</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年均值</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≤0.04mg/m</w:t>
            </w:r>
            <w:r>
              <w:rPr>
                <w:kern w:val="0"/>
                <w:sz w:val="21"/>
                <w:vertAlign w:val="superscript"/>
              </w:rPr>
              <w:t>3</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vertAlign w:val="subscript"/>
              </w:rPr>
            </w:pPr>
            <w:r>
              <w:rPr>
                <w:kern w:val="0"/>
                <w:sz w:val="21"/>
              </w:rPr>
              <w:t>PM</w:t>
            </w:r>
            <w:r>
              <w:rPr>
                <w:kern w:val="0"/>
                <w:sz w:val="21"/>
                <w:vertAlign w:val="subscript"/>
              </w:rPr>
              <w:t>10</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年均值</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≤0.07mg/m</w:t>
            </w:r>
            <w:r>
              <w:rPr>
                <w:kern w:val="0"/>
                <w:sz w:val="21"/>
                <w:vertAlign w:val="superscript"/>
              </w:rPr>
              <w:t>3</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PM</w:t>
            </w:r>
            <w:r>
              <w:rPr>
                <w:kern w:val="0"/>
                <w:sz w:val="21"/>
                <w:vertAlign w:val="subscript"/>
              </w:rPr>
              <w:t>2.5</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年均值</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≤0.035mg/m</w:t>
            </w:r>
            <w:r>
              <w:rPr>
                <w:kern w:val="0"/>
                <w:sz w:val="21"/>
                <w:vertAlign w:val="superscript"/>
              </w:rPr>
              <w:t>3</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CO</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24</w:t>
            </w:r>
            <w:r>
              <w:rPr>
                <w:rFonts w:ascii="宋体" w:hAnsi="宋体"/>
                <w:kern w:val="0"/>
                <w:sz w:val="21"/>
              </w:rPr>
              <w:t>小时平均</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≤4.0mg/m</w:t>
            </w:r>
            <w:r>
              <w:rPr>
                <w:kern w:val="0"/>
                <w:sz w:val="21"/>
                <w:vertAlign w:val="superscript"/>
              </w:rPr>
              <w:t>3</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622"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vertAlign w:val="superscript"/>
              </w:rPr>
            </w:pPr>
            <w:r>
              <w:rPr>
                <w:kern w:val="0"/>
                <w:sz w:val="21"/>
              </w:rPr>
              <w:t>O</w:t>
            </w:r>
            <w:r>
              <w:rPr>
                <w:kern w:val="0"/>
                <w:sz w:val="21"/>
                <w:vertAlign w:val="subscript"/>
              </w:rPr>
              <w:t>3</w:t>
            </w:r>
          </w:p>
        </w:tc>
        <w:tc>
          <w:tcPr>
            <w:tcW w:w="1186"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日最大</w:t>
            </w:r>
            <w:r>
              <w:rPr>
                <w:kern w:val="0"/>
                <w:sz w:val="21"/>
              </w:rPr>
              <w:t>8</w:t>
            </w:r>
            <w:r>
              <w:rPr>
                <w:rFonts w:ascii="宋体" w:hAnsi="宋体"/>
                <w:kern w:val="0"/>
                <w:sz w:val="21"/>
              </w:rPr>
              <w:t>小时平均</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≤0.16mg/m</w:t>
            </w:r>
            <w:r>
              <w:rPr>
                <w:kern w:val="0"/>
                <w:sz w:val="21"/>
                <w:vertAlign w:val="superscript"/>
              </w:rPr>
              <w:t>3</w:t>
            </w:r>
          </w:p>
        </w:tc>
      </w:tr>
      <w:tr w:rsidR="006175A6">
        <w:trPr>
          <w:trHeight w:val="340"/>
          <w:jc w:val="center"/>
        </w:trPr>
        <w:tc>
          <w:tcPr>
            <w:tcW w:w="1710"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GB3838-2002</w:t>
            </w:r>
          </w:p>
        </w:tc>
        <w:tc>
          <w:tcPr>
            <w:tcW w:w="170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地表水环境质量标准</w:t>
            </w:r>
          </w:p>
        </w:tc>
        <w:tc>
          <w:tcPr>
            <w:tcW w:w="803"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sz w:val="21"/>
              </w:rPr>
              <w:t>两岔口上游河段以及下游门家河</w:t>
            </w:r>
          </w:p>
        </w:tc>
        <w:tc>
          <w:tcPr>
            <w:tcW w:w="98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rFonts w:ascii="宋体" w:hAnsi="宋体" w:cs="宋体" w:hint="eastAsia"/>
                <w:kern w:val="0"/>
                <w:sz w:val="21"/>
              </w:rPr>
              <w:t>Ⅲ</w:t>
            </w:r>
            <w:r>
              <w:rPr>
                <w:rFonts w:ascii="宋体" w:hAnsi="宋体"/>
                <w:kern w:val="0"/>
                <w:sz w:val="21"/>
              </w:rPr>
              <w:t>类</w:t>
            </w: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kern w:val="0"/>
                <w:sz w:val="21"/>
              </w:rPr>
              <w:t>水温</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sz w:val="21"/>
              </w:rPr>
              <w:t>人为造成的环境水温变化应限制在</w:t>
            </w:r>
            <w:r>
              <w:rPr>
                <w:rFonts w:hint="eastAsia"/>
                <w:sz w:val="21"/>
              </w:rPr>
              <w:t>:</w:t>
            </w:r>
          </w:p>
          <w:p w:rsidR="006175A6" w:rsidRDefault="009B4BA7">
            <w:pPr>
              <w:spacing w:line="240" w:lineRule="auto"/>
              <w:ind w:firstLineChars="0" w:firstLine="0"/>
              <w:rPr>
                <w:sz w:val="21"/>
              </w:rPr>
            </w:pPr>
            <w:r>
              <w:rPr>
                <w:rFonts w:hint="eastAsia"/>
                <w:sz w:val="21"/>
              </w:rPr>
              <w:t>周平均最大温升≤</w:t>
            </w:r>
            <w:r>
              <w:rPr>
                <w:rFonts w:hint="eastAsia"/>
                <w:sz w:val="21"/>
              </w:rPr>
              <w:t>1</w:t>
            </w:r>
            <w:r>
              <w:rPr>
                <w:rFonts w:hint="eastAsia"/>
                <w:sz w:val="21"/>
              </w:rPr>
              <w:t>℃</w:t>
            </w:r>
          </w:p>
          <w:p w:rsidR="006175A6" w:rsidRDefault="009B4BA7">
            <w:pPr>
              <w:spacing w:line="240" w:lineRule="auto"/>
              <w:ind w:firstLineChars="0" w:firstLine="0"/>
              <w:rPr>
                <w:sz w:val="21"/>
              </w:rPr>
            </w:pPr>
            <w:r>
              <w:rPr>
                <w:rFonts w:hint="eastAsia"/>
                <w:sz w:val="21"/>
              </w:rPr>
              <w:t>周平均最大温降≤</w:t>
            </w:r>
            <w:r>
              <w:rPr>
                <w:rFonts w:hint="eastAsia"/>
                <w:sz w:val="21"/>
              </w:rPr>
              <w:t>2</w:t>
            </w:r>
            <w:r>
              <w:rPr>
                <w:rFonts w:hint="eastAsia"/>
                <w:sz w:val="21"/>
              </w:rPr>
              <w:t>℃</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spacing w:line="240" w:lineRule="auto"/>
              <w:ind w:firstLineChars="0" w:firstLine="0"/>
              <w:rPr>
                <w:kern w:val="0"/>
                <w:sz w:val="21"/>
              </w:rPr>
            </w:pPr>
          </w:p>
        </w:tc>
        <w:tc>
          <w:tcPr>
            <w:tcW w:w="1709" w:type="dxa"/>
            <w:vMerge/>
            <w:tcBorders>
              <w:top w:val="nil"/>
              <w:left w:val="nil"/>
              <w:bottom w:val="single" w:sz="4" w:space="0" w:color="auto"/>
              <w:right w:val="single" w:sz="4" w:space="0" w:color="auto"/>
            </w:tcBorders>
          </w:tcPr>
          <w:p w:rsidR="006175A6" w:rsidRDefault="006175A6">
            <w:pPr>
              <w:spacing w:line="240" w:lineRule="auto"/>
              <w:ind w:firstLineChars="0" w:firstLine="0"/>
              <w:rPr>
                <w:kern w:val="0"/>
                <w:sz w:val="21"/>
              </w:rPr>
            </w:pPr>
          </w:p>
        </w:tc>
        <w:tc>
          <w:tcPr>
            <w:tcW w:w="803" w:type="dxa"/>
            <w:vMerge/>
            <w:tcBorders>
              <w:top w:val="nil"/>
              <w:left w:val="nil"/>
              <w:bottom w:val="single" w:sz="4" w:space="0" w:color="auto"/>
              <w:right w:val="single" w:sz="4" w:space="0" w:color="auto"/>
            </w:tcBorders>
          </w:tcPr>
          <w:p w:rsidR="006175A6" w:rsidRDefault="006175A6">
            <w:pPr>
              <w:spacing w:line="240" w:lineRule="auto"/>
              <w:ind w:firstLineChars="0" w:firstLine="0"/>
              <w:rPr>
                <w:sz w:val="21"/>
              </w:rPr>
            </w:pPr>
          </w:p>
        </w:tc>
        <w:tc>
          <w:tcPr>
            <w:tcW w:w="989" w:type="dxa"/>
            <w:vMerge/>
            <w:tcBorders>
              <w:top w:val="nil"/>
              <w:left w:val="nil"/>
              <w:bottom w:val="single" w:sz="4" w:space="0" w:color="auto"/>
              <w:right w:val="single" w:sz="4" w:space="0" w:color="auto"/>
            </w:tcBorders>
          </w:tcPr>
          <w:p w:rsidR="006175A6" w:rsidRDefault="006175A6">
            <w:pPr>
              <w:spacing w:line="240" w:lineRule="auto"/>
              <w:ind w:firstLineChars="0" w:firstLine="0"/>
              <w:rPr>
                <w:rFonts w:ascii="宋体" w:hAnsi="宋体" w:cs="宋体"/>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pH</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6~9</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spacing w:line="240" w:lineRule="auto"/>
              <w:ind w:firstLineChars="0" w:firstLine="0"/>
              <w:rPr>
                <w:kern w:val="0"/>
                <w:sz w:val="21"/>
              </w:rPr>
            </w:pPr>
          </w:p>
        </w:tc>
        <w:tc>
          <w:tcPr>
            <w:tcW w:w="1709" w:type="dxa"/>
            <w:vMerge/>
            <w:tcBorders>
              <w:top w:val="nil"/>
              <w:left w:val="nil"/>
              <w:bottom w:val="single" w:sz="4" w:space="0" w:color="auto"/>
              <w:right w:val="single" w:sz="4" w:space="0" w:color="auto"/>
            </w:tcBorders>
          </w:tcPr>
          <w:p w:rsidR="006175A6" w:rsidRDefault="006175A6">
            <w:pPr>
              <w:spacing w:line="240" w:lineRule="auto"/>
              <w:ind w:firstLineChars="0" w:firstLine="0"/>
              <w:rPr>
                <w:kern w:val="0"/>
                <w:sz w:val="21"/>
              </w:rPr>
            </w:pPr>
          </w:p>
        </w:tc>
        <w:tc>
          <w:tcPr>
            <w:tcW w:w="803" w:type="dxa"/>
            <w:vMerge/>
            <w:tcBorders>
              <w:top w:val="nil"/>
              <w:left w:val="nil"/>
              <w:bottom w:val="single" w:sz="4" w:space="0" w:color="auto"/>
              <w:right w:val="single" w:sz="4" w:space="0" w:color="auto"/>
            </w:tcBorders>
          </w:tcPr>
          <w:p w:rsidR="006175A6" w:rsidRDefault="006175A6">
            <w:pPr>
              <w:spacing w:line="240" w:lineRule="auto"/>
              <w:ind w:firstLineChars="0" w:firstLine="0"/>
              <w:rPr>
                <w:sz w:val="21"/>
              </w:rPr>
            </w:pPr>
          </w:p>
        </w:tc>
        <w:tc>
          <w:tcPr>
            <w:tcW w:w="989" w:type="dxa"/>
            <w:vMerge/>
            <w:tcBorders>
              <w:top w:val="nil"/>
              <w:left w:val="nil"/>
              <w:bottom w:val="single" w:sz="4" w:space="0" w:color="auto"/>
              <w:right w:val="single" w:sz="4" w:space="0" w:color="auto"/>
            </w:tcBorders>
          </w:tcPr>
          <w:p w:rsidR="006175A6" w:rsidRDefault="006175A6">
            <w:pPr>
              <w:spacing w:line="240" w:lineRule="auto"/>
              <w:ind w:firstLineChars="0" w:firstLine="0"/>
              <w:rPr>
                <w:rFonts w:ascii="宋体" w:hAnsi="宋体" w:cs="宋体"/>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DO</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spacing w:line="240" w:lineRule="auto"/>
              <w:ind w:firstLineChars="0" w:firstLine="0"/>
              <w:rPr>
                <w:kern w:val="0"/>
                <w:sz w:val="21"/>
              </w:rPr>
            </w:pPr>
          </w:p>
        </w:tc>
        <w:tc>
          <w:tcPr>
            <w:tcW w:w="1709" w:type="dxa"/>
            <w:vMerge/>
            <w:tcBorders>
              <w:top w:val="nil"/>
              <w:left w:val="nil"/>
              <w:bottom w:val="single" w:sz="4" w:space="0" w:color="auto"/>
              <w:right w:val="single" w:sz="4" w:space="0" w:color="auto"/>
            </w:tcBorders>
          </w:tcPr>
          <w:p w:rsidR="006175A6" w:rsidRDefault="006175A6">
            <w:pPr>
              <w:spacing w:line="240" w:lineRule="auto"/>
              <w:ind w:firstLineChars="0" w:firstLine="0"/>
              <w:rPr>
                <w:kern w:val="0"/>
                <w:sz w:val="21"/>
              </w:rPr>
            </w:pPr>
          </w:p>
        </w:tc>
        <w:tc>
          <w:tcPr>
            <w:tcW w:w="803" w:type="dxa"/>
            <w:vMerge/>
            <w:tcBorders>
              <w:top w:val="nil"/>
              <w:left w:val="nil"/>
              <w:bottom w:val="single" w:sz="4" w:space="0" w:color="auto"/>
              <w:right w:val="single" w:sz="4" w:space="0" w:color="auto"/>
            </w:tcBorders>
          </w:tcPr>
          <w:p w:rsidR="006175A6" w:rsidRDefault="006175A6">
            <w:pPr>
              <w:spacing w:line="240" w:lineRule="auto"/>
              <w:ind w:firstLineChars="0" w:firstLine="0"/>
              <w:rPr>
                <w:sz w:val="21"/>
              </w:rPr>
            </w:pPr>
          </w:p>
        </w:tc>
        <w:tc>
          <w:tcPr>
            <w:tcW w:w="989" w:type="dxa"/>
            <w:vMerge/>
            <w:tcBorders>
              <w:top w:val="nil"/>
              <w:left w:val="nil"/>
              <w:bottom w:val="single" w:sz="4" w:space="0" w:color="auto"/>
              <w:right w:val="single" w:sz="4" w:space="0" w:color="auto"/>
            </w:tcBorders>
          </w:tcPr>
          <w:p w:rsidR="006175A6" w:rsidRDefault="006175A6">
            <w:pPr>
              <w:spacing w:line="240" w:lineRule="auto"/>
              <w:ind w:firstLineChars="0" w:firstLine="0"/>
              <w:rPr>
                <w:rFonts w:ascii="宋体" w:hAnsi="宋体" w:cs="宋体"/>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sz w:val="21"/>
              </w:rPr>
              <w:t>高锰酸盐指数</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w:t>
            </w:r>
            <w:r>
              <w:rPr>
                <w:rFonts w:hint="eastAsia"/>
                <w:kern w:val="0"/>
                <w:sz w:val="21"/>
              </w:rPr>
              <w:t>6</w:t>
            </w:r>
            <w:r>
              <w:rPr>
                <w:kern w:val="0"/>
                <w:sz w:val="21"/>
              </w:rPr>
              <w:t>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spacing w:line="240" w:lineRule="auto"/>
              <w:ind w:firstLineChars="0" w:firstLine="0"/>
              <w:rPr>
                <w:kern w:val="0"/>
                <w:sz w:val="21"/>
              </w:rPr>
            </w:pPr>
          </w:p>
        </w:tc>
        <w:tc>
          <w:tcPr>
            <w:tcW w:w="1709" w:type="dxa"/>
            <w:vMerge/>
            <w:tcBorders>
              <w:top w:val="nil"/>
              <w:left w:val="nil"/>
              <w:bottom w:val="single" w:sz="4" w:space="0" w:color="auto"/>
              <w:right w:val="single" w:sz="4" w:space="0" w:color="auto"/>
            </w:tcBorders>
          </w:tcPr>
          <w:p w:rsidR="006175A6" w:rsidRDefault="006175A6">
            <w:pPr>
              <w:spacing w:line="240" w:lineRule="auto"/>
              <w:ind w:firstLineChars="0" w:firstLine="0"/>
              <w:rPr>
                <w:kern w:val="0"/>
                <w:sz w:val="21"/>
              </w:rPr>
            </w:pPr>
          </w:p>
        </w:tc>
        <w:tc>
          <w:tcPr>
            <w:tcW w:w="803" w:type="dxa"/>
            <w:vMerge/>
            <w:tcBorders>
              <w:top w:val="nil"/>
              <w:left w:val="nil"/>
              <w:bottom w:val="single" w:sz="4" w:space="0" w:color="auto"/>
              <w:right w:val="single" w:sz="4" w:space="0" w:color="auto"/>
            </w:tcBorders>
          </w:tcPr>
          <w:p w:rsidR="006175A6" w:rsidRDefault="006175A6">
            <w:pPr>
              <w:spacing w:line="240" w:lineRule="auto"/>
              <w:ind w:firstLineChars="0" w:firstLine="0"/>
              <w:rPr>
                <w:sz w:val="21"/>
              </w:rPr>
            </w:pPr>
          </w:p>
        </w:tc>
        <w:tc>
          <w:tcPr>
            <w:tcW w:w="989" w:type="dxa"/>
            <w:vMerge/>
            <w:tcBorders>
              <w:top w:val="nil"/>
              <w:left w:val="nil"/>
              <w:bottom w:val="single" w:sz="4" w:space="0" w:color="auto"/>
              <w:right w:val="single" w:sz="4" w:space="0" w:color="auto"/>
            </w:tcBorders>
          </w:tcPr>
          <w:p w:rsidR="006175A6" w:rsidRDefault="006175A6">
            <w:pPr>
              <w:spacing w:line="240" w:lineRule="auto"/>
              <w:ind w:firstLineChars="0" w:firstLine="0"/>
              <w:rPr>
                <w:rFonts w:ascii="宋体" w:hAnsi="宋体" w:cs="宋体"/>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BOD</w:t>
            </w:r>
            <w:r>
              <w:rPr>
                <w:kern w:val="0"/>
                <w:sz w:val="21"/>
                <w:vertAlign w:val="subscript"/>
              </w:rPr>
              <w:t>5</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≤4.0mg/L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氨氮</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pacing w:val="-4"/>
                <w:sz w:val="21"/>
              </w:rPr>
            </w:pPr>
            <w:r>
              <w:rPr>
                <w:kern w:val="0"/>
                <w:sz w:val="21"/>
              </w:rPr>
              <w:t>TP</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≤0.2mg/L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textAlignment w:val="bottom"/>
              <w:rPr>
                <w:color w:val="000000"/>
                <w:sz w:val="22"/>
                <w:szCs w:val="22"/>
              </w:rPr>
            </w:pPr>
            <w:r>
              <w:rPr>
                <w:color w:val="000000"/>
                <w:sz w:val="22"/>
                <w:szCs w:val="22"/>
              </w:rPr>
              <w:t>粪大肠菌群</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pPr>
            <w:r>
              <w:rPr>
                <w:kern w:val="0"/>
                <w:sz w:val="21"/>
              </w:rPr>
              <w:t>≤</w:t>
            </w:r>
            <w:r>
              <w:rPr>
                <w:color w:val="000000"/>
                <w:sz w:val="22"/>
                <w:szCs w:val="22"/>
              </w:rPr>
              <w:t>10000</w:t>
            </w:r>
            <w:r>
              <w:rPr>
                <w:rFonts w:ascii="宋体" w:hAnsi="宋体"/>
                <w:color w:val="000000"/>
                <w:sz w:val="22"/>
                <w:szCs w:val="22"/>
              </w:rPr>
              <w:t>个</w:t>
            </w:r>
            <w:r>
              <w:rPr>
                <w:color w:val="000000"/>
                <w:sz w:val="22"/>
                <w:szCs w:val="22"/>
              </w:rPr>
              <w:t>/L</w:t>
            </w:r>
          </w:p>
        </w:tc>
      </w:tr>
      <w:tr w:rsidR="006175A6">
        <w:trPr>
          <w:trHeight w:val="340"/>
          <w:jc w:val="center"/>
        </w:trPr>
        <w:tc>
          <w:tcPr>
            <w:tcW w:w="1710"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GB/T14848-2017</w:t>
            </w:r>
          </w:p>
        </w:tc>
        <w:tc>
          <w:tcPr>
            <w:tcW w:w="170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地下水质量标准</w:t>
            </w:r>
          </w:p>
        </w:tc>
        <w:tc>
          <w:tcPr>
            <w:tcW w:w="803"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地下水环境</w:t>
            </w:r>
          </w:p>
        </w:tc>
        <w:tc>
          <w:tcPr>
            <w:tcW w:w="98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rFonts w:ascii="宋体" w:hAnsi="宋体" w:cs="宋体" w:hint="eastAsia"/>
                <w:kern w:val="0"/>
                <w:sz w:val="21"/>
              </w:rPr>
              <w:t>Ⅲ</w:t>
            </w:r>
            <w:r>
              <w:rPr>
                <w:rFonts w:ascii="宋体" w:hAnsi="宋体"/>
                <w:kern w:val="0"/>
                <w:sz w:val="21"/>
              </w:rPr>
              <w:t>类</w:t>
            </w: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pH</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6.5</w:t>
            </w:r>
            <w:r>
              <w:rPr>
                <w:rFonts w:ascii="宋体" w:hAnsi="宋体"/>
                <w:kern w:val="0"/>
                <w:sz w:val="21"/>
              </w:rPr>
              <w:t>～</w:t>
            </w:r>
            <w:r>
              <w:rPr>
                <w:kern w:val="0"/>
                <w:sz w:val="21"/>
              </w:rPr>
              <w:t>8.5</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氨氮</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≤0.5mg/L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textAlignment w:val="center"/>
              <w:rPr>
                <w:kern w:val="0"/>
                <w:sz w:val="21"/>
              </w:rPr>
            </w:pPr>
            <w:r>
              <w:rPr>
                <w:kern w:val="0"/>
                <w:sz w:val="21"/>
              </w:rPr>
              <w:t>硝酸盐氮</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≤20mg/L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textAlignment w:val="center"/>
              <w:rPr>
                <w:kern w:val="0"/>
                <w:sz w:val="21"/>
              </w:rPr>
            </w:pPr>
            <w:r>
              <w:rPr>
                <w:kern w:val="0"/>
                <w:sz w:val="21"/>
              </w:rPr>
              <w:t>亚硝酸盐氮</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≤1.0mg/L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textAlignment w:val="center"/>
              <w:rPr>
                <w:kern w:val="0"/>
                <w:sz w:val="21"/>
              </w:rPr>
            </w:pPr>
            <w:r>
              <w:rPr>
                <w:kern w:val="0"/>
                <w:sz w:val="21"/>
              </w:rPr>
              <w:t>挥发性酚类</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≤0.002mg/L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氰化物</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≤0.05mg/L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砷</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≤0.01mg/L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汞</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≤0.001mg/L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铬</w:t>
            </w:r>
            <w:r>
              <w:rPr>
                <w:rFonts w:hint="eastAsia"/>
                <w:kern w:val="0"/>
                <w:sz w:val="21"/>
              </w:rPr>
              <w:t>（</w:t>
            </w:r>
            <w:r>
              <w:rPr>
                <w:kern w:val="0"/>
                <w:sz w:val="21"/>
              </w:rPr>
              <w:t>六价</w:t>
            </w:r>
            <w:r>
              <w:rPr>
                <w:rFonts w:hint="eastAsia"/>
                <w:kern w:val="0"/>
                <w:sz w:val="21"/>
              </w:rPr>
              <w:t>）</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≤0.05mg/L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总硬度</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≤450mg/L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铅</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≤0.01mg/L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氟化物</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≤1.0mg/L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镉</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≤0.005mg/L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铁</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≤0.3mg/L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锰</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≤0.1mg/L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溶解性总固体</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≤1000mg/L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耗氧量</w:t>
            </w:r>
            <w:r>
              <w:rPr>
                <w:rFonts w:hint="eastAsia"/>
                <w:kern w:val="0"/>
                <w:sz w:val="21"/>
              </w:rPr>
              <w:t>（</w:t>
            </w:r>
            <w:r>
              <w:rPr>
                <w:kern w:val="0"/>
                <w:sz w:val="21"/>
              </w:rPr>
              <w:t>COD</w:t>
            </w:r>
            <w:r>
              <w:rPr>
                <w:kern w:val="0"/>
                <w:sz w:val="21"/>
                <w:vertAlign w:val="subscript"/>
              </w:rPr>
              <w:t>Mn</w:t>
            </w:r>
            <w:r>
              <w:rPr>
                <w:rFonts w:hint="eastAsia"/>
                <w:kern w:val="0"/>
                <w:sz w:val="21"/>
              </w:rPr>
              <w:t>）</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≤3.0mg/L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硫酸盐</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≤250mg/L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氯化物</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≤250mg/L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总大肠菌群</w:t>
            </w:r>
          </w:p>
        </w:tc>
        <w:tc>
          <w:tcPr>
            <w:tcW w:w="1503" w:type="dxa"/>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sz w:val="21"/>
              </w:rPr>
            </w:pPr>
            <w:r>
              <w:rPr>
                <w:kern w:val="0"/>
                <w:sz w:val="21"/>
              </w:rPr>
              <w:t>≤3.0MNP/</w:t>
            </w:r>
            <w:r w:rsidR="00B61D4A">
              <w:rPr>
                <w:rFonts w:hint="eastAsia"/>
                <w:kern w:val="0"/>
                <w:sz w:val="21"/>
              </w:rPr>
              <w:t>100m</w:t>
            </w:r>
            <w:r>
              <w:rPr>
                <w:kern w:val="0"/>
                <w:sz w:val="21"/>
              </w:rPr>
              <w:t>L</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widowControl/>
              <w:spacing w:line="240" w:lineRule="auto"/>
              <w:ind w:firstLineChars="0" w:firstLine="0"/>
              <w:rPr>
                <w:kern w:val="0"/>
                <w:sz w:val="21"/>
              </w:rPr>
            </w:pPr>
            <w:r>
              <w:rPr>
                <w:kern w:val="0"/>
                <w:sz w:val="21"/>
              </w:rPr>
              <w:t>细菌总数</w:t>
            </w:r>
          </w:p>
        </w:tc>
        <w:tc>
          <w:tcPr>
            <w:tcW w:w="1503" w:type="dxa"/>
            <w:tcBorders>
              <w:top w:val="single" w:sz="4" w:space="0" w:color="auto"/>
              <w:left w:val="nil"/>
              <w:bottom w:val="single" w:sz="4" w:space="0" w:color="auto"/>
              <w:right w:val="single" w:sz="4" w:space="0" w:color="auto"/>
            </w:tcBorders>
          </w:tcPr>
          <w:p w:rsidR="006175A6" w:rsidRDefault="009B4BA7" w:rsidP="00B61D4A">
            <w:pPr>
              <w:widowControl/>
              <w:spacing w:line="240" w:lineRule="auto"/>
              <w:ind w:firstLineChars="0" w:firstLine="0"/>
              <w:rPr>
                <w:sz w:val="21"/>
              </w:rPr>
            </w:pPr>
            <w:r>
              <w:rPr>
                <w:kern w:val="0"/>
                <w:sz w:val="21"/>
              </w:rPr>
              <w:t>≤100</w:t>
            </w:r>
            <w:r w:rsidR="00B61D4A">
              <w:t xml:space="preserve"> </w:t>
            </w:r>
            <w:r w:rsidR="00B61D4A" w:rsidRPr="00B61D4A">
              <w:rPr>
                <w:kern w:val="0"/>
                <w:sz w:val="21"/>
              </w:rPr>
              <w:t>CFU/mL</w:t>
            </w:r>
          </w:p>
        </w:tc>
      </w:tr>
      <w:tr w:rsidR="006175A6">
        <w:trPr>
          <w:trHeight w:val="340"/>
          <w:jc w:val="center"/>
        </w:trPr>
        <w:tc>
          <w:tcPr>
            <w:tcW w:w="1710" w:type="dxa"/>
            <w:tcBorders>
              <w:top w:val="single" w:sz="4" w:space="0" w:color="auto"/>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GB3096-2008</w:t>
            </w:r>
          </w:p>
        </w:tc>
        <w:tc>
          <w:tcPr>
            <w:tcW w:w="1709"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声环境质量标准</w:t>
            </w:r>
          </w:p>
        </w:tc>
        <w:tc>
          <w:tcPr>
            <w:tcW w:w="8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kern w:val="0"/>
                <w:sz w:val="21"/>
              </w:rPr>
              <w:t>坝址</w:t>
            </w:r>
          </w:p>
        </w:tc>
        <w:tc>
          <w:tcPr>
            <w:tcW w:w="989"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kern w:val="0"/>
                <w:sz w:val="21"/>
              </w:rPr>
              <w:t>1</w:t>
            </w:r>
            <w:r>
              <w:rPr>
                <w:rFonts w:ascii="宋体" w:hAnsi="宋体"/>
                <w:kern w:val="0"/>
                <w:sz w:val="21"/>
              </w:rPr>
              <w:t>类</w:t>
            </w:r>
          </w:p>
        </w:tc>
        <w:tc>
          <w:tcPr>
            <w:tcW w:w="3311" w:type="dxa"/>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昼间</w:t>
            </w:r>
            <w:r>
              <w:rPr>
                <w:rFonts w:hint="eastAsia"/>
                <w:kern w:val="0"/>
                <w:sz w:val="21"/>
              </w:rPr>
              <w:t>5</w:t>
            </w:r>
            <w:r>
              <w:rPr>
                <w:kern w:val="0"/>
                <w:sz w:val="21"/>
              </w:rPr>
              <w:t>5dB</w:t>
            </w:r>
            <w:r>
              <w:rPr>
                <w:rFonts w:hint="eastAsia"/>
                <w:kern w:val="0"/>
                <w:sz w:val="21"/>
              </w:rPr>
              <w:t>（</w:t>
            </w:r>
            <w:r>
              <w:rPr>
                <w:kern w:val="0"/>
                <w:sz w:val="21"/>
              </w:rPr>
              <w:t>A</w:t>
            </w:r>
            <w:r>
              <w:rPr>
                <w:rFonts w:hint="eastAsia"/>
                <w:kern w:val="0"/>
                <w:sz w:val="21"/>
              </w:rPr>
              <w:t>）</w:t>
            </w:r>
            <w:r>
              <w:rPr>
                <w:kern w:val="0"/>
                <w:sz w:val="21"/>
              </w:rPr>
              <w:t>、夜间</w:t>
            </w:r>
            <w:r>
              <w:rPr>
                <w:rFonts w:hint="eastAsia"/>
                <w:kern w:val="0"/>
                <w:sz w:val="21"/>
              </w:rPr>
              <w:t>4</w:t>
            </w:r>
            <w:r>
              <w:rPr>
                <w:kern w:val="0"/>
                <w:sz w:val="21"/>
              </w:rPr>
              <w:t>5dB</w:t>
            </w:r>
            <w:r>
              <w:rPr>
                <w:rFonts w:hint="eastAsia"/>
                <w:kern w:val="0"/>
                <w:sz w:val="21"/>
              </w:rPr>
              <w:t>（</w:t>
            </w:r>
            <w:r>
              <w:rPr>
                <w:kern w:val="0"/>
                <w:sz w:val="21"/>
              </w:rPr>
              <w:t>A</w:t>
            </w:r>
            <w:r>
              <w:rPr>
                <w:rFonts w:hint="eastAsia"/>
                <w:kern w:val="0"/>
                <w:sz w:val="21"/>
              </w:rPr>
              <w:t>）</w:t>
            </w:r>
          </w:p>
        </w:tc>
      </w:tr>
      <w:tr w:rsidR="006175A6">
        <w:trPr>
          <w:trHeight w:val="340"/>
          <w:jc w:val="center"/>
        </w:trPr>
        <w:tc>
          <w:tcPr>
            <w:tcW w:w="1710"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GB36600-2018</w:t>
            </w:r>
          </w:p>
        </w:tc>
        <w:tc>
          <w:tcPr>
            <w:tcW w:w="170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《土壤环境质量</w:t>
            </w:r>
            <w:r>
              <w:rPr>
                <w:kern w:val="0"/>
                <w:sz w:val="21"/>
              </w:rPr>
              <w:t xml:space="preserve"> </w:t>
            </w:r>
            <w:r>
              <w:rPr>
                <w:kern w:val="0"/>
                <w:sz w:val="21"/>
              </w:rPr>
              <w:t>建设用地土壤污染风险管控标准</w:t>
            </w:r>
            <w:r>
              <w:rPr>
                <w:rFonts w:hint="eastAsia"/>
                <w:kern w:val="0"/>
                <w:sz w:val="21"/>
              </w:rPr>
              <w:t>（</w:t>
            </w:r>
            <w:r>
              <w:rPr>
                <w:kern w:val="0"/>
                <w:sz w:val="21"/>
              </w:rPr>
              <w:t>试行</w:t>
            </w:r>
            <w:r>
              <w:rPr>
                <w:rFonts w:hint="eastAsia"/>
                <w:kern w:val="0"/>
                <w:sz w:val="21"/>
              </w:rPr>
              <w:t>）</w:t>
            </w:r>
            <w:r>
              <w:rPr>
                <w:kern w:val="0"/>
                <w:sz w:val="21"/>
              </w:rPr>
              <w:t>》</w:t>
            </w:r>
          </w:p>
        </w:tc>
        <w:tc>
          <w:tcPr>
            <w:tcW w:w="803"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rFonts w:hint="eastAsia"/>
                <w:kern w:val="0"/>
                <w:sz w:val="21"/>
              </w:rPr>
              <w:t>坝址</w:t>
            </w:r>
            <w:r>
              <w:rPr>
                <w:kern w:val="0"/>
                <w:sz w:val="21"/>
              </w:rPr>
              <w:t>土壤环境</w:t>
            </w:r>
          </w:p>
        </w:tc>
        <w:tc>
          <w:tcPr>
            <w:tcW w:w="98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highlight w:val="yellow"/>
              </w:rPr>
            </w:pPr>
            <w:r>
              <w:rPr>
                <w:kern w:val="0"/>
                <w:sz w:val="21"/>
              </w:rPr>
              <w:t>第二类用地筛选值</w:t>
            </w: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镉</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铬</w:t>
            </w:r>
            <w:r>
              <w:rPr>
                <w:rFonts w:hint="eastAsia"/>
                <w:kern w:val="0"/>
                <w:sz w:val="21"/>
              </w:rPr>
              <w:t>（</w:t>
            </w:r>
            <w:r>
              <w:rPr>
                <w:kern w:val="0"/>
                <w:sz w:val="21"/>
              </w:rPr>
              <w:t>六价</w:t>
            </w:r>
            <w:r>
              <w:rPr>
                <w:rFonts w:hint="eastAsia"/>
                <w:kern w:val="0"/>
                <w:sz w:val="21"/>
              </w:rPr>
              <w:t>）</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≤5.7mg/kg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铜</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≤18000mg/kg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铅</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≤800mg/kg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汞</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≤38mg/kg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镍</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≤900mg/kg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四氯化碳</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氯仿</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≤0.9mg/kg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氯甲烷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≤37mg/kg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w:t>
            </w:r>
            <w:r>
              <w:rPr>
                <w:rFonts w:ascii="宋体" w:hAnsi="宋体"/>
                <w:kern w:val="0"/>
                <w:sz w:val="21"/>
              </w:rPr>
              <w:t>二氯乙烷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≤9mg/kg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w:t>
            </w:r>
            <w:r>
              <w:rPr>
                <w:rFonts w:ascii="宋体" w:hAnsi="宋体"/>
                <w:kern w:val="0"/>
                <w:sz w:val="21"/>
              </w:rPr>
              <w:t>二氯乙烷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w:t>
            </w:r>
            <w:r>
              <w:rPr>
                <w:rFonts w:ascii="宋体" w:hAnsi="宋体"/>
                <w:kern w:val="0"/>
                <w:sz w:val="21"/>
              </w:rPr>
              <w:t>二氯乙烯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≤66mg/kg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顺</w:t>
            </w:r>
            <w:r>
              <w:rPr>
                <w:kern w:val="0"/>
                <w:sz w:val="21"/>
              </w:rPr>
              <w:t>-1,2-</w:t>
            </w:r>
            <w:r>
              <w:rPr>
                <w:rFonts w:ascii="宋体" w:hAnsi="宋体"/>
                <w:kern w:val="0"/>
                <w:sz w:val="21"/>
              </w:rPr>
              <w:t>二氯乙烯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≤596mg/kg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反</w:t>
            </w:r>
            <w:r>
              <w:rPr>
                <w:kern w:val="0"/>
                <w:sz w:val="21"/>
              </w:rPr>
              <w:t>-1,2-</w:t>
            </w:r>
            <w:r>
              <w:rPr>
                <w:rFonts w:ascii="宋体" w:hAnsi="宋体"/>
                <w:kern w:val="0"/>
                <w:sz w:val="21"/>
              </w:rPr>
              <w:t>二氯乙烯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≤54mg/kg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二氯甲烷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≤616mg/kg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w:t>
            </w:r>
            <w:r>
              <w:rPr>
                <w:rFonts w:ascii="宋体" w:hAnsi="宋体"/>
                <w:kern w:val="0"/>
                <w:sz w:val="21"/>
              </w:rPr>
              <w:t>二氯丙烷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1,1,1,2-</w:t>
            </w:r>
            <w:r>
              <w:rPr>
                <w:rFonts w:ascii="宋体" w:hAnsi="宋体"/>
                <w:kern w:val="0"/>
                <w:sz w:val="21"/>
              </w:rPr>
              <w:t>四氯乙烷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1,1,2,2-</w:t>
            </w:r>
            <w:r>
              <w:rPr>
                <w:rFonts w:ascii="宋体" w:hAnsi="宋体"/>
                <w:kern w:val="0"/>
                <w:sz w:val="21"/>
              </w:rPr>
              <w:t>四氯乙烷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四氯乙烯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≤53mg/kg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1,1,1-</w:t>
            </w:r>
            <w:r>
              <w:rPr>
                <w:rFonts w:ascii="宋体" w:hAnsi="宋体"/>
                <w:kern w:val="0"/>
                <w:sz w:val="21"/>
              </w:rPr>
              <w:t>三氯乙烷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≤840mg/kg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1,1,2-</w:t>
            </w:r>
            <w:r>
              <w:rPr>
                <w:rFonts w:ascii="宋体" w:hAnsi="宋体"/>
                <w:kern w:val="0"/>
                <w:sz w:val="21"/>
              </w:rPr>
              <w:t>三氯乙烷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三氯乙烯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1,2,3-</w:t>
            </w:r>
            <w:r>
              <w:rPr>
                <w:rFonts w:ascii="宋体" w:hAnsi="宋体"/>
                <w:kern w:val="0"/>
                <w:sz w:val="21"/>
              </w:rPr>
              <w:t>三氯</w:t>
            </w:r>
            <w:r>
              <w:rPr>
                <w:rFonts w:hint="eastAsia"/>
                <w:kern w:val="0"/>
                <w:sz w:val="21"/>
              </w:rPr>
              <w:t>丙烷</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≤0.43mg/kg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≤4mg/kg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氯苯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≤270mg/kg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w:t>
            </w:r>
            <w:r>
              <w:rPr>
                <w:rFonts w:ascii="宋体" w:hAnsi="宋体"/>
                <w:kern w:val="0"/>
                <w:sz w:val="21"/>
              </w:rPr>
              <w:t>二氯苯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≤560mg/kg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1,4-</w:t>
            </w:r>
            <w:r>
              <w:rPr>
                <w:rFonts w:ascii="宋体" w:hAnsi="宋体"/>
                <w:kern w:val="0"/>
                <w:sz w:val="21"/>
              </w:rPr>
              <w:t>二氯苯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乙苯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≤28mg/kg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苯乙烯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≤1290mg/kg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甲苯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≤1200mg/kg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间二甲苯</w:t>
            </w:r>
            <w:r>
              <w:rPr>
                <w:kern w:val="0"/>
                <w:sz w:val="21"/>
              </w:rPr>
              <w:t>+</w:t>
            </w:r>
            <w:r>
              <w:rPr>
                <w:rFonts w:ascii="宋体" w:hAnsi="宋体"/>
                <w:kern w:val="0"/>
                <w:sz w:val="21"/>
              </w:rPr>
              <w:t>对二甲苯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≤570mg/kg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邻二甲苯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≤640mg/kg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硝基苯</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≤76mg/kg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苯胺</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≤260mg/kg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w:t>
            </w:r>
            <w:r>
              <w:rPr>
                <w:rFonts w:ascii="宋体" w:hAnsi="宋体"/>
                <w:kern w:val="0"/>
                <w:sz w:val="21"/>
              </w:rPr>
              <w:t>氯酚</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≤2256mg/kg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苯并</w:t>
            </w:r>
            <w:r>
              <w:rPr>
                <w:kern w:val="0"/>
                <w:sz w:val="21"/>
              </w:rPr>
              <w:t>[a]</w:t>
            </w:r>
            <w:r>
              <w:rPr>
                <w:rFonts w:ascii="宋体" w:hAnsi="宋体"/>
                <w:kern w:val="0"/>
                <w:sz w:val="21"/>
              </w:rPr>
              <w:t>蒽</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苯并</w:t>
            </w:r>
            <w:r>
              <w:rPr>
                <w:kern w:val="0"/>
                <w:sz w:val="21"/>
              </w:rPr>
              <w:t>[a]</w:t>
            </w:r>
            <w:r>
              <w:rPr>
                <w:rFonts w:ascii="宋体" w:hAnsi="宋体"/>
                <w:kern w:val="0"/>
                <w:sz w:val="21"/>
              </w:rPr>
              <w:t>芘</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苯并</w:t>
            </w:r>
            <w:r>
              <w:rPr>
                <w:kern w:val="0"/>
                <w:sz w:val="21"/>
              </w:rPr>
              <w:t>[b]</w:t>
            </w:r>
            <w:r>
              <w:rPr>
                <w:rFonts w:ascii="宋体" w:hAnsi="宋体"/>
                <w:kern w:val="0"/>
                <w:sz w:val="21"/>
              </w:rPr>
              <w:t>荧蒽</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苯并</w:t>
            </w:r>
            <w:r>
              <w:rPr>
                <w:kern w:val="0"/>
                <w:sz w:val="21"/>
              </w:rPr>
              <w:t>[k]</w:t>
            </w:r>
            <w:r>
              <w:rPr>
                <w:rFonts w:ascii="宋体" w:hAnsi="宋体"/>
                <w:kern w:val="0"/>
                <w:sz w:val="21"/>
              </w:rPr>
              <w:t>荧蒽</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≤151mg/kg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䓛</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≤1293mg/kg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二苯并</w:t>
            </w:r>
            <w:r>
              <w:rPr>
                <w:kern w:val="0"/>
                <w:sz w:val="21"/>
              </w:rPr>
              <w:t>[a,h]</w:t>
            </w:r>
            <w:r>
              <w:rPr>
                <w:rFonts w:ascii="宋体" w:hAnsi="宋体"/>
                <w:kern w:val="0"/>
                <w:sz w:val="21"/>
              </w:rPr>
              <w:t>蒽</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茚并</w:t>
            </w:r>
            <w:r>
              <w:rPr>
                <w:kern w:val="0"/>
                <w:sz w:val="21"/>
              </w:rPr>
              <w:t>[1,2,3-cd]</w:t>
            </w:r>
            <w:r>
              <w:rPr>
                <w:rFonts w:ascii="宋体" w:hAnsi="宋体"/>
                <w:kern w:val="0"/>
                <w:sz w:val="21"/>
              </w:rPr>
              <w:t>芘</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≤15mg/kg</w:t>
            </w:r>
          </w:p>
        </w:tc>
      </w:tr>
      <w:tr w:rsidR="006175A6">
        <w:trPr>
          <w:trHeight w:val="340"/>
          <w:jc w:val="center"/>
        </w:trPr>
        <w:tc>
          <w:tcPr>
            <w:tcW w:w="1710"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highlight w:val="yellow"/>
              </w:rPr>
            </w:pPr>
          </w:p>
        </w:tc>
        <w:tc>
          <w:tcPr>
            <w:tcW w:w="1808" w:type="dxa"/>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萘</w:t>
            </w:r>
          </w:p>
        </w:tc>
        <w:tc>
          <w:tcPr>
            <w:tcW w:w="1503" w:type="dxa"/>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≤70mg/kg</w:t>
            </w:r>
          </w:p>
        </w:tc>
      </w:tr>
      <w:tr w:rsidR="006175A6">
        <w:trPr>
          <w:trHeight w:val="340"/>
          <w:jc w:val="center"/>
        </w:trPr>
        <w:tc>
          <w:tcPr>
            <w:tcW w:w="1710" w:type="dxa"/>
            <w:vMerge w:val="restart"/>
            <w:tcBorders>
              <w:top w:val="single" w:sz="4" w:space="0" w:color="auto"/>
              <w:left w:val="single" w:sz="4" w:space="0" w:color="auto"/>
              <w:right w:val="single" w:sz="4" w:space="0" w:color="auto"/>
            </w:tcBorders>
          </w:tcPr>
          <w:p w:rsidR="006175A6" w:rsidRDefault="009B4BA7">
            <w:pPr>
              <w:widowControl/>
              <w:spacing w:line="240" w:lineRule="auto"/>
              <w:ind w:firstLineChars="0" w:firstLine="0"/>
              <w:jc w:val="left"/>
              <w:rPr>
                <w:sz w:val="21"/>
              </w:rPr>
            </w:pPr>
            <w:r>
              <w:rPr>
                <w:sz w:val="21"/>
              </w:rPr>
              <w:t>GB15618-2018</w:t>
            </w:r>
          </w:p>
        </w:tc>
        <w:tc>
          <w:tcPr>
            <w:tcW w:w="1709" w:type="dxa"/>
            <w:vMerge w:val="restart"/>
            <w:tcBorders>
              <w:top w:val="single" w:sz="4" w:space="0" w:color="auto"/>
              <w:left w:val="nil"/>
              <w:right w:val="single" w:sz="4" w:space="0" w:color="auto"/>
            </w:tcBorders>
          </w:tcPr>
          <w:p w:rsidR="006175A6" w:rsidRDefault="009B4BA7">
            <w:pPr>
              <w:widowControl/>
              <w:spacing w:line="240" w:lineRule="auto"/>
              <w:ind w:firstLineChars="0" w:firstLine="0"/>
              <w:jc w:val="left"/>
              <w:rPr>
                <w:sz w:val="21"/>
              </w:rPr>
            </w:pPr>
            <w:r>
              <w:rPr>
                <w:rFonts w:hint="eastAsia"/>
                <w:sz w:val="21"/>
              </w:rPr>
              <w:t>《土壤环境质量</w:t>
            </w:r>
            <w:r>
              <w:rPr>
                <w:rFonts w:hint="eastAsia"/>
                <w:sz w:val="21"/>
              </w:rPr>
              <w:t xml:space="preserve"> </w:t>
            </w:r>
            <w:r>
              <w:rPr>
                <w:rFonts w:hint="eastAsia"/>
                <w:sz w:val="21"/>
              </w:rPr>
              <w:t>农用地土壤污染风险管控标准》</w:t>
            </w:r>
            <w:r>
              <w:rPr>
                <w:rFonts w:hint="eastAsia"/>
                <w:kern w:val="0"/>
                <w:sz w:val="21"/>
              </w:rPr>
              <w:t>（</w:t>
            </w:r>
            <w:r>
              <w:rPr>
                <w:kern w:val="0"/>
                <w:sz w:val="21"/>
              </w:rPr>
              <w:t>试行</w:t>
            </w:r>
            <w:r>
              <w:rPr>
                <w:rFonts w:hint="eastAsia"/>
                <w:kern w:val="0"/>
                <w:sz w:val="21"/>
              </w:rPr>
              <w:t>）</w:t>
            </w:r>
          </w:p>
        </w:tc>
        <w:tc>
          <w:tcPr>
            <w:tcW w:w="803" w:type="dxa"/>
            <w:vMerge w:val="restart"/>
            <w:tcBorders>
              <w:top w:val="single" w:sz="4" w:space="0" w:color="auto"/>
              <w:left w:val="nil"/>
              <w:right w:val="single" w:sz="4" w:space="0" w:color="auto"/>
            </w:tcBorders>
          </w:tcPr>
          <w:p w:rsidR="006175A6" w:rsidRDefault="009B4BA7">
            <w:pPr>
              <w:widowControl/>
              <w:spacing w:line="240" w:lineRule="auto"/>
              <w:ind w:firstLineChars="0" w:firstLine="0"/>
              <w:jc w:val="left"/>
              <w:rPr>
                <w:sz w:val="21"/>
              </w:rPr>
            </w:pPr>
            <w:r>
              <w:rPr>
                <w:rFonts w:hint="eastAsia"/>
                <w:sz w:val="21"/>
              </w:rPr>
              <w:t>库区及周边地区</w:t>
            </w:r>
          </w:p>
        </w:tc>
        <w:tc>
          <w:tcPr>
            <w:tcW w:w="989" w:type="dxa"/>
            <w:vMerge w:val="restart"/>
            <w:tcBorders>
              <w:top w:val="single" w:sz="4" w:space="0" w:color="auto"/>
              <w:left w:val="nil"/>
              <w:right w:val="single" w:sz="4" w:space="0" w:color="auto"/>
            </w:tcBorders>
          </w:tcPr>
          <w:p w:rsidR="006175A6" w:rsidRDefault="009B4BA7">
            <w:pPr>
              <w:widowControl/>
              <w:spacing w:line="240" w:lineRule="auto"/>
              <w:ind w:firstLineChars="0" w:firstLine="0"/>
              <w:jc w:val="left"/>
              <w:rPr>
                <w:sz w:val="21"/>
                <w:highlight w:val="yellow"/>
              </w:rPr>
            </w:pPr>
            <w:r>
              <w:rPr>
                <w:rFonts w:hint="eastAsia"/>
                <w:kern w:val="0"/>
                <w:sz w:val="21"/>
              </w:rPr>
              <w:t>6.5&lt;pH</w:t>
            </w:r>
            <w:r>
              <w:rPr>
                <w:rFonts w:hint="eastAsia"/>
                <w:kern w:val="0"/>
                <w:sz w:val="21"/>
              </w:rPr>
              <w:t>≤</w:t>
            </w:r>
            <w:r>
              <w:rPr>
                <w:rFonts w:hint="eastAsia"/>
                <w:kern w:val="0"/>
                <w:sz w:val="21"/>
              </w:rPr>
              <w:t>7.5</w:t>
            </w: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镉</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0.3</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汞</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2.4</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砷</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30</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铅</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120</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铬</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200</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铜</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100</w:t>
            </w:r>
            <w:r>
              <w:rPr>
                <w:kern w:val="0"/>
                <w:sz w:val="21"/>
              </w:rPr>
              <w:t xml:space="preserve"> mg/kg</w:t>
            </w:r>
          </w:p>
        </w:tc>
      </w:tr>
      <w:tr w:rsidR="006175A6">
        <w:trPr>
          <w:trHeight w:val="340"/>
          <w:jc w:val="center"/>
        </w:trPr>
        <w:tc>
          <w:tcPr>
            <w:tcW w:w="1710" w:type="dxa"/>
            <w:vMerge/>
            <w:tcBorders>
              <w:left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镍</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100</w:t>
            </w:r>
            <w:r>
              <w:rPr>
                <w:kern w:val="0"/>
                <w:sz w:val="21"/>
              </w:rPr>
              <w:t xml:space="preserve"> mg/kg</w:t>
            </w:r>
          </w:p>
        </w:tc>
      </w:tr>
      <w:tr w:rsidR="006175A6">
        <w:trPr>
          <w:trHeight w:val="340"/>
          <w:jc w:val="center"/>
        </w:trPr>
        <w:tc>
          <w:tcPr>
            <w:tcW w:w="1710" w:type="dxa"/>
            <w:vMerge/>
            <w:tcBorders>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709"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803"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89"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808" w:type="dxa"/>
            <w:gridSpan w:val="2"/>
            <w:tcBorders>
              <w:top w:val="single" w:sz="4" w:space="0" w:color="auto"/>
              <w:left w:val="nil"/>
              <w:bottom w:val="single" w:sz="4" w:space="0" w:color="auto"/>
              <w:right w:val="single" w:sz="4" w:space="0" w:color="auto"/>
            </w:tcBorders>
          </w:tcPr>
          <w:p w:rsidR="006175A6" w:rsidRDefault="009B4BA7">
            <w:pPr>
              <w:ind w:firstLineChars="0" w:firstLine="0"/>
              <w:jc w:val="left"/>
              <w:textAlignment w:val="center"/>
              <w:rPr>
                <w:color w:val="000000"/>
                <w:sz w:val="21"/>
              </w:rPr>
            </w:pPr>
            <w:r>
              <w:rPr>
                <w:color w:val="000000"/>
                <w:sz w:val="21"/>
              </w:rPr>
              <w:t>锌</w:t>
            </w:r>
          </w:p>
        </w:tc>
        <w:tc>
          <w:tcPr>
            <w:tcW w:w="1503" w:type="dxa"/>
            <w:tcBorders>
              <w:top w:val="single" w:sz="4" w:space="0" w:color="auto"/>
              <w:left w:val="nil"/>
              <w:bottom w:val="single" w:sz="4" w:space="0" w:color="auto"/>
              <w:right w:val="single" w:sz="4" w:space="0" w:color="auto"/>
            </w:tcBorders>
          </w:tcPr>
          <w:p w:rsidR="006175A6" w:rsidRDefault="009B4BA7">
            <w:pPr>
              <w:ind w:firstLineChars="0" w:firstLine="0"/>
              <w:jc w:val="center"/>
              <w:textAlignment w:val="center"/>
              <w:rPr>
                <w:color w:val="000000"/>
                <w:sz w:val="21"/>
              </w:rPr>
            </w:pPr>
            <w:r>
              <w:rPr>
                <w:kern w:val="0"/>
                <w:sz w:val="21"/>
              </w:rPr>
              <w:t>≤</w:t>
            </w:r>
            <w:r>
              <w:rPr>
                <w:color w:val="000000"/>
                <w:sz w:val="21"/>
              </w:rPr>
              <w:t>250</w:t>
            </w:r>
            <w:r>
              <w:rPr>
                <w:kern w:val="0"/>
                <w:sz w:val="21"/>
              </w:rPr>
              <w:t xml:space="preserve"> mg/kg</w:t>
            </w:r>
          </w:p>
        </w:tc>
      </w:tr>
    </w:tbl>
    <w:p w:rsidR="006175A6" w:rsidRDefault="009B4BA7">
      <w:pPr>
        <w:pStyle w:val="3"/>
      </w:pPr>
      <w:r>
        <w:rPr>
          <w:rFonts w:hint="eastAsia"/>
        </w:rPr>
        <w:t>污染物排放标准</w:t>
      </w:r>
    </w:p>
    <w:p w:rsidR="006175A6" w:rsidRDefault="009B4BA7">
      <w:pPr>
        <w:ind w:firstLine="480"/>
      </w:pPr>
      <w:r>
        <w:rPr>
          <w:rFonts w:hint="eastAsia"/>
        </w:rPr>
        <w:t>根据区域环境功能区划，本评价拟采用的污染物排放标准详见下表：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拟建项目采用的污染物排放标准一览表</w:t>
      </w:r>
    </w:p>
    <w:tbl>
      <w:tblPr>
        <w:tblStyle w:val="ab"/>
        <w:tblW w:w="0" w:type="auto"/>
        <w:tblLook w:val="04A0" w:firstRow="1" w:lastRow="0" w:firstColumn="1" w:lastColumn="0" w:noHBand="0" w:noVBand="1"/>
      </w:tblPr>
      <w:tblGrid>
        <w:gridCol w:w="593"/>
        <w:gridCol w:w="6500"/>
        <w:gridCol w:w="1429"/>
      </w:tblGrid>
      <w:tr w:rsidR="006175A6">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项目</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执行标准</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标准分级或分类</w:t>
            </w:r>
          </w:p>
        </w:tc>
      </w:tr>
      <w:tr w:rsidR="006175A6">
        <w:trPr>
          <w:trHeight w:val="340"/>
        </w:trPr>
        <w:tc>
          <w:tcPr>
            <w:tcW w:w="0" w:type="auto"/>
            <w:tcBorders>
              <w:top w:val="nil"/>
              <w:left w:val="single" w:sz="4" w:space="0" w:color="auto"/>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废气</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rFonts w:hint="eastAsia"/>
                <w:sz w:val="21"/>
              </w:rPr>
              <w:t>施工期：《大气污染物综合排放标准》（</w:t>
            </w:r>
            <w:r>
              <w:rPr>
                <w:rFonts w:hint="eastAsia"/>
                <w:sz w:val="21"/>
              </w:rPr>
              <w:t>GB16297-1996</w:t>
            </w:r>
            <w:r>
              <w:rPr>
                <w:rFonts w:ascii="宋体" w:hAnsi="宋体" w:hint="eastAsia"/>
                <w:sz w:val="21"/>
              </w:rPr>
              <w:t>）</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rFonts w:ascii="宋体" w:hAnsi="宋体" w:hint="eastAsia"/>
                <w:sz w:val="21"/>
              </w:rPr>
              <w:t>二级标准</w:t>
            </w:r>
          </w:p>
        </w:tc>
      </w:tr>
      <w:tr w:rsidR="006175A6">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废水</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rFonts w:hint="eastAsia"/>
                <w:sz w:val="21"/>
              </w:rPr>
              <w:t>《污水综合排放标准》（</w:t>
            </w:r>
            <w:r>
              <w:rPr>
                <w:sz w:val="21"/>
              </w:rPr>
              <w:t>GB8978-1996</w:t>
            </w:r>
            <w:r>
              <w:rPr>
                <w:rFonts w:hint="eastAsia"/>
                <w:sz w:val="21"/>
              </w:rPr>
              <w:t>）</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rFonts w:hint="eastAsia"/>
                <w:kern w:val="0"/>
                <w:sz w:val="21"/>
              </w:rPr>
              <w:t>一级标准</w:t>
            </w:r>
          </w:p>
        </w:tc>
      </w:tr>
      <w:tr w:rsidR="006175A6">
        <w:trPr>
          <w:trHeight w:val="340"/>
        </w:trPr>
        <w:tc>
          <w:tcPr>
            <w:tcW w:w="0" w:type="auto"/>
            <w:vMerge w:val="restart"/>
            <w:tcBorders>
              <w:top w:val="nil"/>
              <w:left w:val="single" w:sz="4" w:space="0" w:color="auto"/>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噪声</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施工期：《建筑施工场界环境噪声排放标准》</w:t>
            </w:r>
            <w:r>
              <w:rPr>
                <w:rFonts w:hint="eastAsia"/>
                <w:kern w:val="0"/>
                <w:sz w:val="21"/>
              </w:rPr>
              <w:t>（</w:t>
            </w:r>
            <w:r>
              <w:rPr>
                <w:kern w:val="0"/>
                <w:sz w:val="21"/>
              </w:rPr>
              <w:t>GB12523-2011</w:t>
            </w:r>
            <w:r>
              <w:rPr>
                <w:rFonts w:hint="eastAsia"/>
                <w:kern w:val="0"/>
                <w:sz w:val="21"/>
              </w:rPr>
              <w:t>）</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w:t>
            </w:r>
          </w:p>
        </w:tc>
      </w:tr>
      <w:tr w:rsidR="006175A6">
        <w:trPr>
          <w:trHeight w:val="340"/>
        </w:trPr>
        <w:tc>
          <w:tcPr>
            <w:tcW w:w="0" w:type="auto"/>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center"/>
              <w:rPr>
                <w:sz w:val="21"/>
              </w:rPr>
            </w:pP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运营期：《工业企业厂界环境噪声排放标准》</w:t>
            </w:r>
            <w:r>
              <w:rPr>
                <w:rFonts w:hint="eastAsia"/>
                <w:kern w:val="0"/>
                <w:sz w:val="21"/>
              </w:rPr>
              <w:t>（</w:t>
            </w:r>
            <w:r>
              <w:rPr>
                <w:kern w:val="0"/>
                <w:sz w:val="21"/>
              </w:rPr>
              <w:t>GB12348-2008</w:t>
            </w:r>
            <w:r>
              <w:rPr>
                <w:rFonts w:hint="eastAsia"/>
                <w:kern w:val="0"/>
                <w:sz w:val="21"/>
              </w:rPr>
              <w:t>）</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rFonts w:hint="eastAsia"/>
                <w:kern w:val="0"/>
                <w:sz w:val="21"/>
              </w:rPr>
              <w:t>1</w:t>
            </w:r>
            <w:r>
              <w:rPr>
                <w:rFonts w:ascii="宋体" w:hAnsi="宋体"/>
                <w:kern w:val="0"/>
                <w:sz w:val="21"/>
              </w:rPr>
              <w:t>类标准</w:t>
            </w:r>
          </w:p>
        </w:tc>
      </w:tr>
      <w:tr w:rsidR="006175A6">
        <w:trPr>
          <w:trHeight w:val="340"/>
        </w:trPr>
        <w:tc>
          <w:tcPr>
            <w:tcW w:w="0" w:type="auto"/>
            <w:tcBorders>
              <w:top w:val="nil"/>
              <w:left w:val="single" w:sz="4" w:space="0" w:color="auto"/>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固废</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adjustRightInd w:val="0"/>
              <w:snapToGrid w:val="0"/>
              <w:spacing w:line="240" w:lineRule="auto"/>
              <w:ind w:firstLineChars="0" w:firstLine="0"/>
              <w:jc w:val="center"/>
              <w:textAlignment w:val="bottom"/>
              <w:rPr>
                <w:sz w:val="21"/>
              </w:rPr>
            </w:pPr>
            <w:r>
              <w:rPr>
                <w:kern w:val="0"/>
                <w:sz w:val="21"/>
              </w:rPr>
              <w:t>一般固废执行《一般工业固体废物贮存和填埋污染控制标准》</w:t>
            </w:r>
            <w:r>
              <w:rPr>
                <w:rFonts w:hint="eastAsia"/>
                <w:kern w:val="0"/>
                <w:sz w:val="21"/>
              </w:rPr>
              <w:t>（</w:t>
            </w:r>
            <w:r>
              <w:rPr>
                <w:kern w:val="0"/>
                <w:sz w:val="21"/>
              </w:rPr>
              <w:t>GB 18599-20</w:t>
            </w:r>
            <w:r>
              <w:rPr>
                <w:rFonts w:hint="eastAsia"/>
                <w:kern w:val="0"/>
                <w:sz w:val="21"/>
              </w:rPr>
              <w:t>20</w:t>
            </w:r>
            <w:r>
              <w:rPr>
                <w:rFonts w:hint="eastAsia"/>
                <w:kern w:val="0"/>
                <w:sz w:val="21"/>
              </w:rPr>
              <w:t>）</w:t>
            </w:r>
          </w:p>
        </w:tc>
        <w:tc>
          <w:tcPr>
            <w:tcW w:w="0" w:type="auto"/>
            <w:tcBorders>
              <w:top w:val="single" w:sz="4" w:space="0" w:color="auto"/>
              <w:left w:val="nil"/>
              <w:bottom w:val="single" w:sz="4" w:space="0" w:color="auto"/>
              <w:right w:val="single" w:sz="4" w:space="0" w:color="auto"/>
            </w:tcBorders>
            <w:vAlign w:val="center"/>
          </w:tcPr>
          <w:p w:rsidR="006175A6" w:rsidRDefault="009B4BA7">
            <w:pPr>
              <w:autoSpaceDE w:val="0"/>
              <w:autoSpaceDN w:val="0"/>
              <w:spacing w:line="240" w:lineRule="auto"/>
              <w:ind w:firstLineChars="0" w:firstLine="0"/>
              <w:jc w:val="center"/>
              <w:textAlignment w:val="bottom"/>
              <w:rPr>
                <w:sz w:val="21"/>
              </w:rPr>
            </w:pPr>
            <w:r>
              <w:rPr>
                <w:kern w:val="0"/>
                <w:sz w:val="21"/>
              </w:rPr>
              <w:t>--</w:t>
            </w:r>
          </w:p>
        </w:tc>
      </w:tr>
    </w:tbl>
    <w:p w:rsidR="006175A6" w:rsidRDefault="009B4BA7">
      <w:pPr>
        <w:ind w:firstLine="480"/>
      </w:pPr>
      <w:r>
        <w:rPr>
          <w:rFonts w:hint="eastAsia"/>
        </w:rPr>
        <w:t>各排放标准明细详见下表：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r>
        <w:rPr>
          <w:rFonts w:hint="eastAsia"/>
        </w:rPr>
        <w:t xml:space="preserve">  </w:t>
      </w:r>
      <w:r>
        <w:rPr>
          <w:rFonts w:hint="eastAsia"/>
        </w:rPr>
        <w:t>污染物排放标准一览表</w:t>
      </w:r>
    </w:p>
    <w:tbl>
      <w:tblPr>
        <w:tblStyle w:val="31"/>
        <w:tblW w:w="8522" w:type="dxa"/>
        <w:tblLayout w:type="fixed"/>
        <w:tblLook w:val="04A0" w:firstRow="1" w:lastRow="0" w:firstColumn="1" w:lastColumn="0" w:noHBand="0" w:noVBand="1"/>
      </w:tblPr>
      <w:tblGrid>
        <w:gridCol w:w="1105"/>
        <w:gridCol w:w="1699"/>
        <w:gridCol w:w="706"/>
        <w:gridCol w:w="993"/>
        <w:gridCol w:w="849"/>
        <w:gridCol w:w="1987"/>
        <w:gridCol w:w="1183"/>
      </w:tblGrid>
      <w:tr w:rsidR="006175A6">
        <w:trPr>
          <w:trHeight w:val="340"/>
        </w:trPr>
        <w:tc>
          <w:tcPr>
            <w:tcW w:w="1105" w:type="dxa"/>
            <w:vMerge w:val="restart"/>
            <w:tcBorders>
              <w:top w:val="single" w:sz="4" w:space="0" w:color="auto"/>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标</w:t>
            </w:r>
            <w:r>
              <w:rPr>
                <w:kern w:val="0"/>
                <w:sz w:val="21"/>
              </w:rPr>
              <w:t xml:space="preserve"> </w:t>
            </w:r>
            <w:r>
              <w:rPr>
                <w:kern w:val="0"/>
                <w:sz w:val="21"/>
              </w:rPr>
              <w:t>准</w:t>
            </w:r>
            <w:r>
              <w:rPr>
                <w:kern w:val="0"/>
                <w:sz w:val="21"/>
              </w:rPr>
              <w:t xml:space="preserve"> </w:t>
            </w:r>
            <w:r>
              <w:rPr>
                <w:kern w:val="0"/>
                <w:sz w:val="21"/>
              </w:rPr>
              <w:t>号</w:t>
            </w:r>
          </w:p>
        </w:tc>
        <w:tc>
          <w:tcPr>
            <w:tcW w:w="1699" w:type="dxa"/>
            <w:vMerge w:val="restart"/>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标</w:t>
            </w:r>
            <w:r>
              <w:rPr>
                <w:rFonts w:ascii="Times New Roman" w:hAnsi="Times New Roman" w:cs="Times New Roman"/>
                <w:sz w:val="21"/>
                <w:szCs w:val="21"/>
              </w:rPr>
              <w:t xml:space="preserve"> </w:t>
            </w:r>
            <w:r>
              <w:rPr>
                <w:rFonts w:ascii="Times New Roman" w:hAnsi="Times New Roman" w:cs="Times New Roman"/>
                <w:sz w:val="21"/>
                <w:szCs w:val="21"/>
              </w:rPr>
              <w:t>准</w:t>
            </w:r>
            <w:r>
              <w:rPr>
                <w:rFonts w:ascii="Times New Roman" w:hAnsi="Times New Roman" w:cs="Times New Roman"/>
                <w:sz w:val="21"/>
                <w:szCs w:val="21"/>
              </w:rPr>
              <w:t xml:space="preserve"> </w:t>
            </w:r>
            <w:r>
              <w:rPr>
                <w:rFonts w:ascii="Times New Roman" w:hAnsi="Times New Roman" w:cs="Times New Roman"/>
                <w:sz w:val="21"/>
                <w:szCs w:val="21"/>
              </w:rPr>
              <w:t>名</w:t>
            </w:r>
            <w:r>
              <w:rPr>
                <w:rFonts w:ascii="Times New Roman" w:hAnsi="Times New Roman" w:cs="Times New Roman"/>
                <w:sz w:val="21"/>
                <w:szCs w:val="21"/>
              </w:rPr>
              <w:t xml:space="preserve"> </w:t>
            </w:r>
            <w:r>
              <w:rPr>
                <w:rFonts w:ascii="Times New Roman" w:hAnsi="Times New Roman" w:cs="Times New Roman"/>
                <w:sz w:val="21"/>
                <w:szCs w:val="21"/>
              </w:rPr>
              <w:t>称</w:t>
            </w:r>
          </w:p>
        </w:tc>
        <w:tc>
          <w:tcPr>
            <w:tcW w:w="706" w:type="dxa"/>
            <w:vMerge w:val="restart"/>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评价对象</w:t>
            </w:r>
          </w:p>
        </w:tc>
        <w:tc>
          <w:tcPr>
            <w:tcW w:w="5012" w:type="dxa"/>
            <w:gridSpan w:val="4"/>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执行标准</w:t>
            </w:r>
          </w:p>
        </w:tc>
      </w:tr>
      <w:tr w:rsidR="006175A6">
        <w:trPr>
          <w:trHeight w:val="340"/>
        </w:trPr>
        <w:tc>
          <w:tcPr>
            <w:tcW w:w="1105" w:type="dxa"/>
            <w:vMerge/>
            <w:tcBorders>
              <w:top w:val="single" w:sz="4" w:space="0" w:color="auto"/>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699" w:type="dxa"/>
            <w:vMerge/>
            <w:tcBorders>
              <w:top w:val="single" w:sz="4" w:space="0" w:color="auto"/>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706" w:type="dxa"/>
            <w:vMerge/>
            <w:tcBorders>
              <w:top w:val="single" w:sz="4" w:space="0" w:color="auto"/>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99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级别</w:t>
            </w: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指</w:t>
            </w:r>
            <w:r>
              <w:rPr>
                <w:rFonts w:ascii="Times New Roman" w:hAnsi="Times New Roman" w:cs="Times New Roman"/>
                <w:sz w:val="21"/>
                <w:szCs w:val="21"/>
              </w:rPr>
              <w:t xml:space="preserve">  </w:t>
            </w:r>
            <w:r>
              <w:rPr>
                <w:rFonts w:ascii="Times New Roman" w:hAnsi="Times New Roman" w:cs="Times New Roman"/>
                <w:sz w:val="21"/>
                <w:szCs w:val="21"/>
              </w:rPr>
              <w:t>标</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标准限值</w:t>
            </w:r>
          </w:p>
        </w:tc>
      </w:tr>
      <w:tr w:rsidR="006175A6">
        <w:trPr>
          <w:trHeight w:val="340"/>
        </w:trPr>
        <w:tc>
          <w:tcPr>
            <w:tcW w:w="1105"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GB16297-1996</w:t>
            </w:r>
          </w:p>
        </w:tc>
        <w:tc>
          <w:tcPr>
            <w:tcW w:w="169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《大气污染物综合排放标准》表</w:t>
            </w:r>
            <w:r>
              <w:rPr>
                <w:kern w:val="0"/>
                <w:sz w:val="21"/>
              </w:rPr>
              <w:t>2</w:t>
            </w:r>
          </w:p>
        </w:tc>
        <w:tc>
          <w:tcPr>
            <w:tcW w:w="706"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废气</w:t>
            </w:r>
          </w:p>
        </w:tc>
        <w:tc>
          <w:tcPr>
            <w:tcW w:w="993" w:type="dxa"/>
            <w:vMerge w:val="restart"/>
            <w:tcBorders>
              <w:top w:val="nil"/>
              <w:left w:val="nil"/>
              <w:bottom w:val="single" w:sz="4" w:space="0" w:color="auto"/>
              <w:right w:val="single" w:sz="4" w:space="0" w:color="auto"/>
            </w:tcBorders>
          </w:tcPr>
          <w:p w:rsidR="006175A6" w:rsidRDefault="009B4BA7">
            <w:pPr>
              <w:pStyle w:val="af1"/>
              <w:spacing w:before="0" w:beforeAutospacing="0" w:after="0"/>
              <w:jc w:val="both"/>
            </w:pPr>
            <w:r>
              <w:t>二级，</w:t>
            </w:r>
            <w:r>
              <w:t>15m</w:t>
            </w:r>
            <w:r>
              <w:rPr>
                <w:rFonts w:ascii="宋体" w:hAnsi="宋体"/>
              </w:rPr>
              <w:t>高排气筒</w:t>
            </w:r>
          </w:p>
        </w:tc>
        <w:tc>
          <w:tcPr>
            <w:tcW w:w="849" w:type="dxa"/>
            <w:vMerge w:val="restart"/>
            <w:tcBorders>
              <w:top w:val="nil"/>
              <w:left w:val="nil"/>
              <w:bottom w:val="single" w:sz="4" w:space="0" w:color="auto"/>
              <w:right w:val="single" w:sz="4" w:space="0" w:color="auto"/>
            </w:tcBorders>
          </w:tcPr>
          <w:p w:rsidR="006175A6" w:rsidRDefault="009B4BA7">
            <w:pPr>
              <w:spacing w:line="240" w:lineRule="auto"/>
              <w:ind w:firstLineChars="0" w:firstLine="0"/>
              <w:rPr>
                <w:sz w:val="21"/>
              </w:rPr>
            </w:pPr>
            <w:r>
              <w:rPr>
                <w:kern w:val="0"/>
                <w:sz w:val="21"/>
              </w:rPr>
              <w:t>颗粒物</w:t>
            </w:r>
          </w:p>
        </w:tc>
        <w:tc>
          <w:tcPr>
            <w:tcW w:w="1987"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排放浓度</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18</w:t>
            </w:r>
          </w:p>
        </w:tc>
      </w:tr>
      <w:tr w:rsidR="006175A6">
        <w:trPr>
          <w:trHeight w:val="340"/>
        </w:trPr>
        <w:tc>
          <w:tcPr>
            <w:tcW w:w="1105"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69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706"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9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84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987"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排放速率</w:t>
            </w:r>
            <w:r>
              <w:rPr>
                <w:rFonts w:ascii="Times New Roman" w:hAnsi="Times New Roman" w:cs="Times New Roman"/>
                <w:sz w:val="21"/>
                <w:szCs w:val="21"/>
              </w:rPr>
              <w:t>kg/h</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0.51</w:t>
            </w:r>
          </w:p>
        </w:tc>
      </w:tr>
      <w:tr w:rsidR="006175A6">
        <w:trPr>
          <w:trHeight w:val="340"/>
        </w:trPr>
        <w:tc>
          <w:tcPr>
            <w:tcW w:w="1105"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69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706"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99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84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987"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无组织监控浓度</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肉眼不可见</w:t>
            </w:r>
          </w:p>
        </w:tc>
      </w:tr>
      <w:tr w:rsidR="006175A6">
        <w:trPr>
          <w:trHeight w:val="340"/>
        </w:trPr>
        <w:tc>
          <w:tcPr>
            <w:tcW w:w="1105" w:type="dxa"/>
            <w:vMerge w:val="restart"/>
            <w:tcBorders>
              <w:top w:val="nil"/>
              <w:left w:val="single" w:sz="4" w:space="0" w:color="auto"/>
              <w:right w:val="single" w:sz="4" w:space="0" w:color="auto"/>
            </w:tcBorders>
          </w:tcPr>
          <w:p w:rsidR="006175A6" w:rsidRDefault="009B4BA7">
            <w:pPr>
              <w:spacing w:line="240" w:lineRule="auto"/>
              <w:ind w:firstLineChars="0" w:firstLine="0"/>
              <w:rPr>
                <w:kern w:val="0"/>
                <w:sz w:val="21"/>
              </w:rPr>
            </w:pPr>
            <w:r>
              <w:rPr>
                <w:rStyle w:val="15"/>
                <w:rFonts w:hint="eastAsia"/>
              </w:rPr>
              <w:t>GB8978-1996</w:t>
            </w:r>
          </w:p>
        </w:tc>
        <w:tc>
          <w:tcPr>
            <w:tcW w:w="1699" w:type="dxa"/>
            <w:vMerge w:val="restart"/>
            <w:tcBorders>
              <w:top w:val="nil"/>
              <w:left w:val="nil"/>
              <w:right w:val="single" w:sz="4" w:space="0" w:color="auto"/>
            </w:tcBorders>
          </w:tcPr>
          <w:p w:rsidR="006175A6" w:rsidRDefault="009B4BA7">
            <w:pPr>
              <w:pStyle w:val="a9"/>
              <w:keepLines/>
              <w:widowControl w:val="0"/>
              <w:spacing w:before="0" w:beforeAutospacing="0" w:after="0" w:afterAutospacing="0"/>
              <w:jc w:val="center"/>
              <w:rPr>
                <w:rStyle w:val="15"/>
              </w:rPr>
            </w:pPr>
            <w:r>
              <w:rPr>
                <w:rStyle w:val="15"/>
                <w:rFonts w:hint="eastAsia"/>
              </w:rPr>
              <w:t>《污水综合排放标准》</w:t>
            </w:r>
          </w:p>
        </w:tc>
        <w:tc>
          <w:tcPr>
            <w:tcW w:w="706" w:type="dxa"/>
            <w:vMerge w:val="restart"/>
            <w:tcBorders>
              <w:top w:val="nil"/>
              <w:left w:val="nil"/>
              <w:right w:val="single" w:sz="4" w:space="0" w:color="auto"/>
            </w:tcBorders>
          </w:tcPr>
          <w:p w:rsidR="006175A6" w:rsidRDefault="009B4BA7">
            <w:pPr>
              <w:spacing w:line="240" w:lineRule="auto"/>
              <w:ind w:firstLineChars="0" w:firstLine="0"/>
              <w:rPr>
                <w:kern w:val="0"/>
                <w:sz w:val="21"/>
              </w:rPr>
            </w:pPr>
            <w:r>
              <w:rPr>
                <w:kern w:val="0"/>
                <w:sz w:val="21"/>
              </w:rPr>
              <w:t>废水</w:t>
            </w:r>
          </w:p>
        </w:tc>
        <w:tc>
          <w:tcPr>
            <w:tcW w:w="993" w:type="dxa"/>
            <w:vMerge w:val="restart"/>
            <w:tcBorders>
              <w:top w:val="nil"/>
              <w:left w:val="nil"/>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一级</w:t>
            </w: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pH</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6~9</w:t>
            </w:r>
          </w:p>
        </w:tc>
      </w:tr>
      <w:tr w:rsidR="006175A6">
        <w:trPr>
          <w:trHeight w:val="340"/>
        </w:trPr>
        <w:tc>
          <w:tcPr>
            <w:tcW w:w="1105" w:type="dxa"/>
            <w:vMerge/>
            <w:tcBorders>
              <w:left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COD</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00mg/L</w:t>
            </w:r>
          </w:p>
        </w:tc>
      </w:tr>
      <w:tr w:rsidR="006175A6">
        <w:trPr>
          <w:trHeight w:val="340"/>
        </w:trPr>
        <w:tc>
          <w:tcPr>
            <w:tcW w:w="1105" w:type="dxa"/>
            <w:vMerge/>
            <w:tcBorders>
              <w:left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20mg/L</w:t>
            </w:r>
          </w:p>
        </w:tc>
      </w:tr>
      <w:tr w:rsidR="006175A6">
        <w:trPr>
          <w:trHeight w:val="340"/>
        </w:trPr>
        <w:tc>
          <w:tcPr>
            <w:tcW w:w="1105" w:type="dxa"/>
            <w:vMerge/>
            <w:tcBorders>
              <w:left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5mg/L</w:t>
            </w:r>
          </w:p>
        </w:tc>
      </w:tr>
      <w:tr w:rsidR="006175A6">
        <w:trPr>
          <w:trHeight w:val="340"/>
        </w:trPr>
        <w:tc>
          <w:tcPr>
            <w:tcW w:w="1105" w:type="dxa"/>
            <w:vMerge/>
            <w:tcBorders>
              <w:left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SS</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sz w:val="21"/>
                <w:szCs w:val="21"/>
              </w:rPr>
              <w:t>0mg/L</w:t>
            </w:r>
          </w:p>
        </w:tc>
      </w:tr>
      <w:tr w:rsidR="006175A6">
        <w:trPr>
          <w:trHeight w:val="340"/>
        </w:trPr>
        <w:tc>
          <w:tcPr>
            <w:tcW w:w="1105" w:type="dxa"/>
            <w:vMerge/>
            <w:tcBorders>
              <w:left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动植物油</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10</w:t>
            </w:r>
            <w:r>
              <w:rPr>
                <w:rFonts w:ascii="Times New Roman" w:hAnsi="Times New Roman" w:cs="Times New Roman"/>
                <w:sz w:val="21"/>
                <w:szCs w:val="21"/>
              </w:rPr>
              <w:t xml:space="preserve"> mg/L</w:t>
            </w:r>
          </w:p>
        </w:tc>
      </w:tr>
      <w:tr w:rsidR="006175A6">
        <w:trPr>
          <w:trHeight w:val="340"/>
        </w:trPr>
        <w:tc>
          <w:tcPr>
            <w:tcW w:w="1105" w:type="dxa"/>
            <w:vMerge/>
            <w:tcBorders>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1699"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rStyle w:val="15"/>
              </w:rPr>
            </w:pPr>
          </w:p>
        </w:tc>
        <w:tc>
          <w:tcPr>
            <w:tcW w:w="706"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2836"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石油类</w:t>
            </w:r>
          </w:p>
        </w:tc>
        <w:tc>
          <w:tcPr>
            <w:tcW w:w="118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 xml:space="preserve"> mg/L</w:t>
            </w:r>
          </w:p>
        </w:tc>
      </w:tr>
      <w:tr w:rsidR="006175A6">
        <w:trPr>
          <w:trHeight w:val="340"/>
        </w:trPr>
        <w:tc>
          <w:tcPr>
            <w:tcW w:w="1105"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GB12348-2008</w:t>
            </w:r>
          </w:p>
        </w:tc>
        <w:tc>
          <w:tcPr>
            <w:tcW w:w="1699" w:type="dxa"/>
            <w:vMerge w:val="restart"/>
            <w:tcBorders>
              <w:top w:val="nil"/>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r>
              <w:rPr>
                <w:rFonts w:ascii="Times New Roman" w:hAnsi="Times New Roman" w:cs="Times New Roman" w:hint="eastAsia"/>
                <w:sz w:val="21"/>
                <w:szCs w:val="21"/>
              </w:rPr>
              <w:t>1</w:t>
            </w:r>
            <w:r>
              <w:rPr>
                <w:rFonts w:cs="Times New Roman"/>
                <w:sz w:val="21"/>
                <w:szCs w:val="21"/>
              </w:rPr>
              <w:t>类</w:t>
            </w:r>
          </w:p>
        </w:tc>
        <w:tc>
          <w:tcPr>
            <w:tcW w:w="706" w:type="dxa"/>
            <w:vMerge w:val="restart"/>
            <w:tcBorders>
              <w:top w:val="nil"/>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库区</w:t>
            </w:r>
          </w:p>
        </w:tc>
        <w:tc>
          <w:tcPr>
            <w:tcW w:w="993" w:type="dxa"/>
            <w:vMerge w:val="restart"/>
            <w:tcBorders>
              <w:top w:val="nil"/>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w:t>
            </w:r>
            <w:r>
              <w:rPr>
                <w:rFonts w:cs="Times New Roman"/>
                <w:sz w:val="21"/>
                <w:szCs w:val="21"/>
              </w:rPr>
              <w:t>类</w:t>
            </w:r>
          </w:p>
        </w:tc>
        <w:tc>
          <w:tcPr>
            <w:tcW w:w="4019" w:type="dxa"/>
            <w:gridSpan w:val="3"/>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昼间</w:t>
            </w:r>
            <w:r>
              <w:rPr>
                <w:rFonts w:ascii="Times New Roman" w:hAnsi="Times New Roman" w:cs="Times New Roman" w:hint="eastAsia"/>
                <w:sz w:val="21"/>
                <w:szCs w:val="21"/>
              </w:rPr>
              <w:t>5</w:t>
            </w:r>
            <w:r>
              <w:rPr>
                <w:rFonts w:ascii="Times New Roman" w:hAnsi="Times New Roman" w:cs="Times New Roman"/>
                <w:sz w:val="21"/>
                <w:szCs w:val="21"/>
              </w:rPr>
              <w:t>5dB</w:t>
            </w:r>
            <w:r>
              <w:rPr>
                <w:rFonts w:ascii="Times New Roman" w:hAnsi="Times New Roman" w:cs="Times New Roman" w:hint="eastAsia"/>
                <w:sz w:val="21"/>
                <w:szCs w:val="21"/>
              </w:rPr>
              <w:t>（</w:t>
            </w:r>
            <w:r>
              <w:rPr>
                <w:rFonts w:ascii="Times New Roman" w:hAnsi="Times New Roman" w:cs="Times New Roman"/>
                <w:sz w:val="21"/>
                <w:szCs w:val="21"/>
              </w:rPr>
              <w:t>A</w:t>
            </w:r>
            <w:r>
              <w:rPr>
                <w:rFonts w:ascii="Times New Roman" w:hAnsi="Times New Roman" w:cs="Times New Roman" w:hint="eastAsia"/>
                <w:sz w:val="21"/>
                <w:szCs w:val="21"/>
              </w:rPr>
              <w:t>）</w:t>
            </w:r>
          </w:p>
        </w:tc>
      </w:tr>
      <w:tr w:rsidR="006175A6">
        <w:trPr>
          <w:trHeight w:val="340"/>
        </w:trPr>
        <w:tc>
          <w:tcPr>
            <w:tcW w:w="1105"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69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706"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993"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4019" w:type="dxa"/>
            <w:gridSpan w:val="3"/>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夜间</w:t>
            </w:r>
            <w:r>
              <w:rPr>
                <w:rFonts w:ascii="Times New Roman" w:hAnsi="Times New Roman" w:cs="Times New Roman" w:hint="eastAsia"/>
                <w:sz w:val="21"/>
                <w:szCs w:val="21"/>
              </w:rPr>
              <w:t>4</w:t>
            </w:r>
            <w:r>
              <w:rPr>
                <w:rFonts w:ascii="Times New Roman" w:hAnsi="Times New Roman" w:cs="Times New Roman"/>
                <w:sz w:val="21"/>
                <w:szCs w:val="21"/>
              </w:rPr>
              <w:t>5dB</w:t>
            </w:r>
            <w:r>
              <w:rPr>
                <w:rFonts w:ascii="Times New Roman" w:hAnsi="Times New Roman" w:cs="Times New Roman" w:hint="eastAsia"/>
                <w:sz w:val="21"/>
                <w:szCs w:val="21"/>
              </w:rPr>
              <w:t>（</w:t>
            </w:r>
            <w:r>
              <w:rPr>
                <w:rFonts w:ascii="Times New Roman" w:hAnsi="Times New Roman" w:cs="Times New Roman"/>
                <w:sz w:val="21"/>
                <w:szCs w:val="21"/>
              </w:rPr>
              <w:t>A</w:t>
            </w:r>
            <w:r>
              <w:rPr>
                <w:rFonts w:ascii="Times New Roman" w:hAnsi="Times New Roman" w:cs="Times New Roman" w:hint="eastAsia"/>
                <w:sz w:val="21"/>
                <w:szCs w:val="21"/>
              </w:rPr>
              <w:t>）</w:t>
            </w:r>
          </w:p>
        </w:tc>
      </w:tr>
      <w:tr w:rsidR="006175A6">
        <w:trPr>
          <w:trHeight w:val="340"/>
        </w:trPr>
        <w:tc>
          <w:tcPr>
            <w:tcW w:w="1105" w:type="dxa"/>
            <w:vMerge w:val="restart"/>
            <w:tcBorders>
              <w:top w:val="nil"/>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lastRenderedPageBreak/>
              <w:t>GB12523-2011</w:t>
            </w:r>
          </w:p>
        </w:tc>
        <w:tc>
          <w:tcPr>
            <w:tcW w:w="1699" w:type="dxa"/>
            <w:vMerge w:val="restart"/>
            <w:tcBorders>
              <w:top w:val="nil"/>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《建筑施工场界环境噪声排放标准限值》</w:t>
            </w:r>
          </w:p>
        </w:tc>
        <w:tc>
          <w:tcPr>
            <w:tcW w:w="706" w:type="dxa"/>
            <w:vMerge w:val="restart"/>
            <w:tcBorders>
              <w:top w:val="nil"/>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施工场界</w:t>
            </w:r>
          </w:p>
        </w:tc>
        <w:tc>
          <w:tcPr>
            <w:tcW w:w="99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w:t>
            </w:r>
          </w:p>
        </w:tc>
        <w:tc>
          <w:tcPr>
            <w:tcW w:w="4019" w:type="dxa"/>
            <w:gridSpan w:val="3"/>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昼间</w:t>
            </w:r>
            <w:r>
              <w:rPr>
                <w:rFonts w:ascii="Times New Roman" w:hAnsi="Times New Roman" w:cs="Times New Roman"/>
                <w:sz w:val="21"/>
                <w:szCs w:val="21"/>
              </w:rPr>
              <w:t>70dB</w:t>
            </w:r>
            <w:r>
              <w:rPr>
                <w:rFonts w:ascii="Times New Roman" w:hAnsi="Times New Roman" w:cs="Times New Roman" w:hint="eastAsia"/>
                <w:sz w:val="21"/>
                <w:szCs w:val="21"/>
              </w:rPr>
              <w:t>（</w:t>
            </w:r>
            <w:r>
              <w:rPr>
                <w:rFonts w:ascii="Times New Roman" w:hAnsi="Times New Roman" w:cs="Times New Roman"/>
                <w:sz w:val="21"/>
                <w:szCs w:val="21"/>
              </w:rPr>
              <w:t>A</w:t>
            </w:r>
            <w:r>
              <w:rPr>
                <w:rFonts w:ascii="Times New Roman" w:hAnsi="Times New Roman" w:cs="Times New Roman" w:hint="eastAsia"/>
                <w:sz w:val="21"/>
                <w:szCs w:val="21"/>
              </w:rPr>
              <w:t>）</w:t>
            </w:r>
          </w:p>
        </w:tc>
      </w:tr>
      <w:tr w:rsidR="006175A6">
        <w:trPr>
          <w:trHeight w:val="340"/>
        </w:trPr>
        <w:tc>
          <w:tcPr>
            <w:tcW w:w="1105" w:type="dxa"/>
            <w:vMerge/>
            <w:tcBorders>
              <w:top w:val="nil"/>
              <w:left w:val="single" w:sz="4" w:space="0" w:color="auto"/>
              <w:bottom w:val="single" w:sz="4" w:space="0" w:color="auto"/>
              <w:right w:val="single" w:sz="4" w:space="0" w:color="auto"/>
            </w:tcBorders>
          </w:tcPr>
          <w:p w:rsidR="006175A6" w:rsidRDefault="006175A6">
            <w:pPr>
              <w:widowControl/>
              <w:spacing w:line="240" w:lineRule="auto"/>
              <w:ind w:firstLineChars="0" w:firstLine="0"/>
              <w:jc w:val="left"/>
              <w:rPr>
                <w:sz w:val="21"/>
              </w:rPr>
            </w:pPr>
          </w:p>
        </w:tc>
        <w:tc>
          <w:tcPr>
            <w:tcW w:w="1699"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706" w:type="dxa"/>
            <w:vMerge/>
            <w:tcBorders>
              <w:top w:val="nil"/>
              <w:left w:val="nil"/>
              <w:bottom w:val="single" w:sz="4" w:space="0" w:color="auto"/>
              <w:right w:val="single" w:sz="4" w:space="0" w:color="auto"/>
            </w:tcBorders>
          </w:tcPr>
          <w:p w:rsidR="006175A6" w:rsidRDefault="006175A6">
            <w:pPr>
              <w:widowControl/>
              <w:spacing w:line="240" w:lineRule="auto"/>
              <w:ind w:firstLineChars="0" w:firstLine="0"/>
              <w:jc w:val="left"/>
              <w:rPr>
                <w:kern w:val="0"/>
                <w:sz w:val="21"/>
              </w:rPr>
            </w:pPr>
          </w:p>
        </w:tc>
        <w:tc>
          <w:tcPr>
            <w:tcW w:w="993" w:type="dxa"/>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w:t>
            </w:r>
          </w:p>
        </w:tc>
        <w:tc>
          <w:tcPr>
            <w:tcW w:w="4019" w:type="dxa"/>
            <w:gridSpan w:val="3"/>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夜间</w:t>
            </w:r>
            <w:r>
              <w:rPr>
                <w:rFonts w:ascii="Times New Roman" w:hAnsi="Times New Roman" w:cs="Times New Roman"/>
                <w:sz w:val="21"/>
                <w:szCs w:val="21"/>
              </w:rPr>
              <w:t>55dB</w:t>
            </w:r>
            <w:r>
              <w:rPr>
                <w:rFonts w:ascii="Times New Roman" w:hAnsi="Times New Roman" w:cs="Times New Roman" w:hint="eastAsia"/>
                <w:sz w:val="21"/>
                <w:szCs w:val="21"/>
              </w:rPr>
              <w:t>（</w:t>
            </w:r>
            <w:r>
              <w:rPr>
                <w:rFonts w:ascii="Times New Roman" w:hAnsi="Times New Roman" w:cs="Times New Roman"/>
                <w:sz w:val="21"/>
                <w:szCs w:val="21"/>
              </w:rPr>
              <w:t>A</w:t>
            </w:r>
            <w:r>
              <w:rPr>
                <w:rFonts w:ascii="Times New Roman" w:hAnsi="Times New Roman" w:cs="Times New Roman" w:hint="eastAsia"/>
                <w:sz w:val="21"/>
                <w:szCs w:val="21"/>
              </w:rPr>
              <w:t>）</w:t>
            </w:r>
          </w:p>
        </w:tc>
      </w:tr>
      <w:tr w:rsidR="006175A6">
        <w:trPr>
          <w:trHeight w:val="340"/>
        </w:trPr>
        <w:tc>
          <w:tcPr>
            <w:tcW w:w="1105" w:type="dxa"/>
            <w:tcBorders>
              <w:top w:val="single" w:sz="4" w:space="0" w:color="auto"/>
              <w:left w:val="single" w:sz="4" w:space="0" w:color="auto"/>
              <w:bottom w:val="single" w:sz="4" w:space="0" w:color="auto"/>
              <w:right w:val="single" w:sz="4" w:space="0" w:color="auto"/>
            </w:tcBorders>
          </w:tcPr>
          <w:p w:rsidR="006175A6" w:rsidRDefault="009B4BA7">
            <w:pPr>
              <w:spacing w:line="240" w:lineRule="auto"/>
              <w:ind w:firstLineChars="0" w:firstLine="0"/>
              <w:rPr>
                <w:sz w:val="21"/>
              </w:rPr>
            </w:pPr>
            <w:r>
              <w:rPr>
                <w:kern w:val="0"/>
                <w:sz w:val="21"/>
              </w:rPr>
              <w:t>GB18599-20</w:t>
            </w:r>
            <w:r>
              <w:rPr>
                <w:rFonts w:hint="eastAsia"/>
                <w:kern w:val="0"/>
                <w:sz w:val="21"/>
              </w:rPr>
              <w:t>20</w:t>
            </w:r>
          </w:p>
        </w:tc>
        <w:tc>
          <w:tcPr>
            <w:tcW w:w="2405" w:type="dxa"/>
            <w:gridSpan w:val="2"/>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《一般工业固体废物贮存和填埋污染控制标准》</w:t>
            </w:r>
          </w:p>
        </w:tc>
        <w:tc>
          <w:tcPr>
            <w:tcW w:w="5012" w:type="dxa"/>
            <w:gridSpan w:val="4"/>
            <w:tcBorders>
              <w:top w:val="single" w:sz="4" w:space="0" w:color="auto"/>
              <w:left w:val="nil"/>
              <w:bottom w:val="single" w:sz="4" w:space="0" w:color="auto"/>
              <w:right w:val="single" w:sz="4" w:space="0" w:color="auto"/>
            </w:tcBorders>
          </w:tcPr>
          <w:p w:rsidR="006175A6" w:rsidRDefault="009B4BA7">
            <w:pPr>
              <w:pStyle w:val="a9"/>
              <w:keepLines/>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一般工业固体废物标准</w:t>
            </w:r>
          </w:p>
        </w:tc>
      </w:tr>
    </w:tbl>
    <w:p w:rsidR="006175A6" w:rsidRDefault="009B4BA7">
      <w:pPr>
        <w:pStyle w:val="2"/>
      </w:pPr>
      <w:bookmarkStart w:id="28" w:name="_Toc80170088"/>
      <w:r>
        <w:rPr>
          <w:rFonts w:hint="eastAsia"/>
        </w:rPr>
        <w:t>评价等级与评价范围</w:t>
      </w:r>
      <w:bookmarkEnd w:id="28"/>
    </w:p>
    <w:p w:rsidR="006175A6" w:rsidRDefault="009B4BA7">
      <w:pPr>
        <w:pStyle w:val="3"/>
      </w:pPr>
      <w:r>
        <w:rPr>
          <w:rFonts w:hint="eastAsia"/>
        </w:rPr>
        <w:t>大气评价等级及范围</w:t>
      </w:r>
    </w:p>
    <w:p w:rsidR="006175A6" w:rsidRDefault="009B4BA7">
      <w:pPr>
        <w:snapToGrid w:val="0"/>
        <w:ind w:firstLineChars="176" w:firstLine="422"/>
        <w:jc w:val="left"/>
      </w:pPr>
      <w:r>
        <w:rPr>
          <w:rFonts w:ascii="宋体" w:hAnsi="宋体" w:hint="eastAsia"/>
        </w:rPr>
        <w:t>根据《环境影响评价技术导则</w:t>
      </w:r>
      <w:r>
        <w:t>-</w:t>
      </w:r>
      <w:r>
        <w:rPr>
          <w:rFonts w:ascii="宋体" w:hAnsi="宋体" w:hint="eastAsia"/>
        </w:rPr>
        <w:t>大气环境》（</w:t>
      </w:r>
      <w:r>
        <w:t>HJ2.2-2018</w:t>
      </w:r>
      <w:r>
        <w:rPr>
          <w:rFonts w:ascii="宋体" w:hAnsi="宋体" w:hint="eastAsia"/>
        </w:rPr>
        <w:t>）相关内容可知，通过对项目污染源进行初步调查，分别计算项目排放主要污染物最大地面空气质量浓度占标率</w:t>
      </w:r>
      <w:r>
        <w:t>P</w:t>
      </w:r>
      <w:r>
        <w:rPr>
          <w:vertAlign w:val="subscript"/>
        </w:rPr>
        <w:t>i</w:t>
      </w:r>
      <w:r>
        <w:rPr>
          <w:rFonts w:ascii="宋体" w:hAnsi="宋体" w:hint="eastAsia"/>
        </w:rPr>
        <w:t>（第</w:t>
      </w:r>
      <w:r>
        <w:t>i</w:t>
      </w:r>
      <w:r>
        <w:rPr>
          <w:rFonts w:ascii="宋体" w:hAnsi="宋体" w:hint="eastAsia"/>
        </w:rPr>
        <w:t>个污染物，简称</w:t>
      </w:r>
      <w:r>
        <w:t>“</w:t>
      </w:r>
      <w:r>
        <w:rPr>
          <w:rFonts w:ascii="宋体" w:hAnsi="宋体" w:hint="eastAsia"/>
        </w:rPr>
        <w:t>最大浓度占标率</w:t>
      </w:r>
      <w:r>
        <w:t>”</w:t>
      </w:r>
      <w:r>
        <w:rPr>
          <w:rFonts w:ascii="宋体" w:hAnsi="宋体" w:hint="eastAsia"/>
        </w:rPr>
        <w:t>），及第</w:t>
      </w:r>
      <w:r>
        <w:t>i</w:t>
      </w:r>
      <w:r>
        <w:rPr>
          <w:rFonts w:ascii="宋体" w:hAnsi="宋体" w:hint="eastAsia"/>
        </w:rPr>
        <w:t>个污染物的地面空气质量浓度达到标准值的</w:t>
      </w:r>
      <w:r>
        <w:t>10%</w:t>
      </w:r>
      <w:r>
        <w:rPr>
          <w:rFonts w:ascii="宋体" w:hAnsi="宋体" w:hint="eastAsia"/>
        </w:rPr>
        <w:t>所对应的最远距离</w:t>
      </w:r>
      <w:r>
        <w:t>D</w:t>
      </w:r>
      <w:r>
        <w:rPr>
          <w:vertAlign w:val="subscript"/>
        </w:rPr>
        <w:t>10%</w:t>
      </w:r>
      <w:r>
        <w:rPr>
          <w:rFonts w:ascii="宋体" w:hAnsi="宋体" w:hint="eastAsia"/>
        </w:rPr>
        <w:t>。其中</w:t>
      </w:r>
      <w:r>
        <w:t>P</w:t>
      </w:r>
      <w:r>
        <w:rPr>
          <w:vertAlign w:val="subscript"/>
        </w:rPr>
        <w:t>i</w:t>
      </w:r>
      <w:r>
        <w:rPr>
          <w:rFonts w:ascii="宋体" w:hAnsi="宋体" w:hint="eastAsia"/>
        </w:rPr>
        <w:t>定义公式：</w:t>
      </w:r>
    </w:p>
    <w:p w:rsidR="006175A6" w:rsidRDefault="009B4BA7">
      <w:pPr>
        <w:snapToGrid w:val="0"/>
        <w:ind w:firstLine="480"/>
        <w:jc w:val="center"/>
      </w:pPr>
      <w:r>
        <w:rPr>
          <w:noProof/>
        </w:rPr>
        <w:drawing>
          <wp:inline distT="0" distB="0" distL="0" distR="0" wp14:anchorId="50AE0AF4" wp14:editId="3FE71A91">
            <wp:extent cx="972820" cy="438785"/>
            <wp:effectExtent l="0" t="0" r="0" b="0"/>
            <wp:docPr id="11" name="图片 11" descr="C:\Users\ADMINI~1\AppData\Local\Temp\ksohtml37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3796\wp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2820" cy="438785"/>
                    </a:xfrm>
                    <a:prstGeom prst="rect">
                      <a:avLst/>
                    </a:prstGeom>
                    <a:noFill/>
                    <a:ln>
                      <a:noFill/>
                    </a:ln>
                  </pic:spPr>
                </pic:pic>
              </a:graphicData>
            </a:graphic>
          </wp:inline>
        </w:drawing>
      </w:r>
    </w:p>
    <w:p w:rsidR="006175A6" w:rsidRDefault="009B4BA7">
      <w:pPr>
        <w:snapToGrid w:val="0"/>
        <w:ind w:firstLine="480"/>
      </w:pPr>
      <w:r>
        <w:rPr>
          <w:rFonts w:ascii="宋体" w:hAnsi="宋体" w:hint="eastAsia"/>
        </w:rPr>
        <w:t>式中：</w:t>
      </w:r>
      <w:r>
        <w:t>P</w:t>
      </w:r>
      <w:r>
        <w:rPr>
          <w:vertAlign w:val="subscript"/>
        </w:rPr>
        <w:t>i</w:t>
      </w:r>
      <w:r>
        <w:t>——</w:t>
      </w:r>
      <w:r>
        <w:rPr>
          <w:rFonts w:ascii="宋体" w:hAnsi="宋体" w:hint="eastAsia"/>
        </w:rPr>
        <w:t>第</w:t>
      </w:r>
      <w:r>
        <w:t>i</w:t>
      </w:r>
      <w:r>
        <w:rPr>
          <w:rFonts w:ascii="宋体" w:hAnsi="宋体" w:hint="eastAsia"/>
        </w:rPr>
        <w:t>个污染物最大地面空气质量浓度占标率，</w:t>
      </w:r>
      <w:r>
        <w:t>%</w:t>
      </w:r>
      <w:r>
        <w:rPr>
          <w:rFonts w:ascii="宋体" w:hAnsi="宋体" w:hint="eastAsia"/>
        </w:rPr>
        <w:t>；</w:t>
      </w:r>
    </w:p>
    <w:p w:rsidR="006175A6" w:rsidRDefault="009B4BA7">
      <w:pPr>
        <w:snapToGrid w:val="0"/>
        <w:ind w:firstLineChars="500" w:firstLine="1200"/>
      </w:pPr>
      <w:r>
        <w:t>C</w:t>
      </w:r>
      <w:r>
        <w:rPr>
          <w:vertAlign w:val="subscript"/>
        </w:rPr>
        <w:t>i</w:t>
      </w:r>
      <w:r>
        <w:t>——</w:t>
      </w:r>
      <w:r>
        <w:rPr>
          <w:rFonts w:ascii="宋体" w:hAnsi="宋体" w:hint="eastAsia"/>
        </w:rPr>
        <w:t>采用估算模式计算出的第</w:t>
      </w:r>
      <w:r>
        <w:t>i</w:t>
      </w:r>
      <w:r>
        <w:rPr>
          <w:rFonts w:ascii="宋体" w:hAnsi="宋体" w:hint="eastAsia"/>
        </w:rPr>
        <w:t>个污染物的最大</w:t>
      </w:r>
      <w:r>
        <w:t>1h</w:t>
      </w:r>
      <w:r>
        <w:rPr>
          <w:rFonts w:ascii="宋体" w:hAnsi="宋体" w:hint="eastAsia"/>
        </w:rPr>
        <w:t>地面空气质量浓度，</w:t>
      </w:r>
      <w:r>
        <w:t>μg/m</w:t>
      </w:r>
      <w:r>
        <w:rPr>
          <w:vertAlign w:val="superscript"/>
        </w:rPr>
        <w:t>3</w:t>
      </w:r>
      <w:r>
        <w:rPr>
          <w:rFonts w:ascii="宋体" w:hAnsi="宋体" w:hint="eastAsia"/>
        </w:rPr>
        <w:t>；</w:t>
      </w:r>
    </w:p>
    <w:p w:rsidR="006175A6" w:rsidRDefault="009B4BA7">
      <w:pPr>
        <w:snapToGrid w:val="0"/>
        <w:ind w:firstLineChars="500" w:firstLine="1200"/>
        <w:rPr>
          <w:rFonts w:hAnsi="宋体"/>
        </w:rPr>
      </w:pPr>
      <w:r>
        <w:t>C</w:t>
      </w:r>
      <w:r>
        <w:rPr>
          <w:vertAlign w:val="subscript"/>
        </w:rPr>
        <w:t>oi</w:t>
      </w:r>
      <w:r>
        <w:t>——</w:t>
      </w:r>
      <w:r>
        <w:rPr>
          <w:rFonts w:ascii="宋体" w:hAnsi="宋体" w:hint="eastAsia"/>
        </w:rPr>
        <w:t>第</w:t>
      </w:r>
      <w:r>
        <w:t>i</w:t>
      </w:r>
      <w:r>
        <w:rPr>
          <w:rFonts w:ascii="宋体" w:hAnsi="宋体" w:hint="eastAsia"/>
        </w:rPr>
        <w:t>个污染物环境空气质量浓度标准，</w:t>
      </w:r>
      <w:r>
        <w:t>μg/m</w:t>
      </w:r>
      <w:r>
        <w:rPr>
          <w:vertAlign w:val="superscript"/>
        </w:rPr>
        <w:t>3</w:t>
      </w:r>
      <w:r>
        <w:rPr>
          <w:rFonts w:ascii="宋体" w:hAnsi="宋体" w:hint="eastAsia"/>
        </w:rPr>
        <w:t>。</w:t>
      </w:r>
    </w:p>
    <w:p w:rsidR="006175A6" w:rsidRDefault="009B4BA7">
      <w:pPr>
        <w:ind w:firstLine="480"/>
      </w:pPr>
      <w:r>
        <w:t>C</w:t>
      </w:r>
      <w:r>
        <w:rPr>
          <w:vertAlign w:val="subscript"/>
        </w:rPr>
        <w:t>oi</w:t>
      </w:r>
      <w:r>
        <w:rPr>
          <w:rFonts w:ascii="宋体" w:hAnsi="宋体" w:hint="eastAsia"/>
        </w:rPr>
        <w:t>一般选用</w:t>
      </w:r>
      <w:r>
        <w:t>GB3095</w:t>
      </w:r>
      <w:r>
        <w:rPr>
          <w:rFonts w:ascii="宋体" w:hAnsi="宋体" w:hint="eastAsia"/>
        </w:rPr>
        <w:t>中</w:t>
      </w:r>
      <w:r>
        <w:t>1h</w:t>
      </w:r>
      <w:r>
        <w:rPr>
          <w:rFonts w:ascii="宋体" w:hAnsi="宋体" w:hint="eastAsia"/>
        </w:rPr>
        <w:t>平均质量浓度的二级浓度限值；如项目位于一类环境空气功能区，应选择相应的一级浓度限值；对该标准中未包含的污染物，使用</w:t>
      </w:r>
      <w:r>
        <w:t>“5.2”</w:t>
      </w:r>
      <w:r>
        <w:rPr>
          <w:rFonts w:ascii="宋体" w:hAnsi="宋体" w:hint="eastAsia"/>
        </w:rPr>
        <w:t>确定的各评价因子</w:t>
      </w:r>
      <w:r>
        <w:t>1h</w:t>
      </w:r>
      <w:r>
        <w:rPr>
          <w:rFonts w:ascii="宋体" w:hAnsi="宋体" w:hint="eastAsia"/>
        </w:rPr>
        <w:t>平均质量浓度限值。对仅有</w:t>
      </w:r>
      <w:r>
        <w:t>8h</w:t>
      </w:r>
      <w:r>
        <w:rPr>
          <w:rFonts w:ascii="宋体" w:hAnsi="宋体" w:hint="eastAsia"/>
        </w:rPr>
        <w:t>平均质量浓度限值、日平均质量浓度限值或年平均质量浓度限值的，可分别按</w:t>
      </w:r>
      <w:r>
        <w:t>2</w:t>
      </w:r>
      <w:r>
        <w:rPr>
          <w:rFonts w:ascii="宋体" w:hAnsi="宋体" w:hint="eastAsia"/>
        </w:rPr>
        <w:t>倍、</w:t>
      </w:r>
      <w:r>
        <w:t>3</w:t>
      </w:r>
      <w:r>
        <w:rPr>
          <w:rFonts w:ascii="宋体" w:hAnsi="宋体" w:hint="eastAsia"/>
        </w:rPr>
        <w:t>倍、</w:t>
      </w:r>
      <w:r>
        <w:t>6</w:t>
      </w:r>
      <w:r>
        <w:rPr>
          <w:rFonts w:ascii="宋体" w:hAnsi="宋体" w:hint="eastAsia"/>
        </w:rPr>
        <w:t>倍折算为</w:t>
      </w:r>
      <w:r>
        <w:t>1h</w:t>
      </w:r>
      <w:r>
        <w:rPr>
          <w:rFonts w:ascii="宋体" w:hAnsi="宋体" w:hint="eastAsia"/>
        </w:rPr>
        <w:t>平均质量浓度限值。</w:t>
      </w:r>
    </w:p>
    <w:p w:rsidR="006175A6" w:rsidRDefault="009B4BA7">
      <w:pPr>
        <w:ind w:firstLine="480"/>
      </w:pPr>
      <w:r>
        <w:rPr>
          <w:rFonts w:hint="eastAsia"/>
        </w:rPr>
        <w:t>本项目为水利工程项目，工程建成后正常情况下不排放基本污染物和其他污染物，各污染物占标率</w:t>
      </w:r>
      <w:r>
        <w:rPr>
          <w:rFonts w:hint="eastAsia"/>
        </w:rPr>
        <w:t xml:space="preserve">Pi </w:t>
      </w:r>
      <w:r>
        <w:rPr>
          <w:rFonts w:hint="eastAsia"/>
        </w:rPr>
        <w:t>均为</w:t>
      </w:r>
      <w:r>
        <w:rPr>
          <w:rFonts w:hint="eastAsia"/>
        </w:rPr>
        <w:t>0</w:t>
      </w:r>
      <w:r>
        <w:rPr>
          <w:rFonts w:hint="eastAsia"/>
        </w:rPr>
        <w:t>；工程施工期主要大气污染物为</w:t>
      </w:r>
      <w:r>
        <w:rPr>
          <w:rFonts w:hint="eastAsia"/>
        </w:rPr>
        <w:t>TSP</w:t>
      </w:r>
      <w:r>
        <w:rPr>
          <w:rFonts w:hint="eastAsia"/>
        </w:rPr>
        <w:t>，但其排放量及排放浓度均具有不稳定性，且影响范围主要在施工场界内。因此，根据《环境影响评价技术导则大气环境》</w:t>
      </w:r>
      <w:r w:rsidR="00E97427">
        <w:rPr>
          <w:rFonts w:hint="eastAsia"/>
        </w:rPr>
        <w:t>（</w:t>
      </w:r>
      <w:r>
        <w:rPr>
          <w:rFonts w:hint="eastAsia"/>
        </w:rPr>
        <w:t>HJ2.2-2018</w:t>
      </w:r>
      <w:r w:rsidR="00E97427">
        <w:rPr>
          <w:rFonts w:hint="eastAsia"/>
        </w:rPr>
        <w:t>）</w:t>
      </w:r>
      <w:r>
        <w:rPr>
          <w:rFonts w:hint="eastAsia"/>
        </w:rPr>
        <w:t>，大气环境影响评价等级定为三级。</w:t>
      </w:r>
    </w:p>
    <w:p w:rsidR="006175A6" w:rsidRDefault="009B4BA7">
      <w:pPr>
        <w:ind w:firstLine="480"/>
      </w:pPr>
      <w:r>
        <w:rPr>
          <w:rFonts w:hint="eastAsia"/>
        </w:rPr>
        <w:t>根据大气评价等级，确定大气环境影响评价范围为坝枢工程、料场及弃渣场四周</w:t>
      </w:r>
      <w:r>
        <w:rPr>
          <w:rFonts w:hint="eastAsia"/>
        </w:rPr>
        <w:t>200m</w:t>
      </w:r>
      <w:r>
        <w:rPr>
          <w:rFonts w:hint="eastAsia"/>
        </w:rPr>
        <w:t>，主要施工道路两侧</w:t>
      </w:r>
      <w:r>
        <w:rPr>
          <w:rFonts w:hint="eastAsia"/>
        </w:rPr>
        <w:t>200m</w:t>
      </w:r>
      <w:r>
        <w:rPr>
          <w:rFonts w:hint="eastAsia"/>
        </w:rPr>
        <w:t>，生产生活区四周</w:t>
      </w:r>
      <w:r>
        <w:rPr>
          <w:rFonts w:hint="eastAsia"/>
        </w:rPr>
        <w:t>200m</w:t>
      </w:r>
      <w:r>
        <w:rPr>
          <w:rFonts w:hint="eastAsia"/>
        </w:rPr>
        <w:t>范围。</w:t>
      </w:r>
    </w:p>
    <w:p w:rsidR="006175A6" w:rsidRDefault="009B4BA7">
      <w:pPr>
        <w:pStyle w:val="3"/>
      </w:pPr>
      <w:r>
        <w:rPr>
          <w:rFonts w:hint="eastAsia"/>
        </w:rPr>
        <w:lastRenderedPageBreak/>
        <w:t>地表水环境评价等级及范围</w:t>
      </w:r>
    </w:p>
    <w:p w:rsidR="006175A6" w:rsidRDefault="009B4BA7">
      <w:pPr>
        <w:ind w:firstLine="480"/>
      </w:pPr>
      <w:r>
        <w:rPr>
          <w:rFonts w:hint="eastAsia"/>
        </w:rPr>
        <w:t>根据《环境影响评价技术导则地面水环境》（</w:t>
      </w:r>
      <w:r>
        <w:rPr>
          <w:rFonts w:hint="eastAsia"/>
        </w:rPr>
        <w:t>HJ2.3-2018</w:t>
      </w:r>
      <w:r>
        <w:rPr>
          <w:rFonts w:hint="eastAsia"/>
        </w:rPr>
        <w:t>）中的分级原则，水环境影响评价等级划分主要从建设项目影响类型、排放方式、排放量或影响情况、受纳水体环境质量现状、水环境保护目标等方面综合确定。两河口水库属于水文要素影响型建设项目，根据水温、径流与受影响地表水域等三类水文要素的影响程度进行判定。</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水文要素影响型建设项目评价等级判定表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369"/>
        <w:gridCol w:w="1369"/>
        <w:gridCol w:w="3431"/>
        <w:gridCol w:w="860"/>
      </w:tblGrid>
      <w:tr w:rsidR="006175A6">
        <w:trPr>
          <w:trHeight w:val="340"/>
        </w:trPr>
        <w:tc>
          <w:tcPr>
            <w:tcW w:w="774" w:type="pct"/>
            <w:vAlign w:val="center"/>
          </w:tcPr>
          <w:p w:rsidR="006175A6" w:rsidRDefault="009B4BA7">
            <w:pPr>
              <w:pStyle w:val="TableParagraph"/>
              <w:rPr>
                <w:rFonts w:cs="Times New Roman"/>
                <w:sz w:val="21"/>
                <w:szCs w:val="21"/>
              </w:rPr>
            </w:pPr>
            <w:r>
              <w:rPr>
                <w:rFonts w:cs="Times New Roman" w:hint="eastAsia"/>
                <w:sz w:val="21"/>
                <w:szCs w:val="21"/>
              </w:rPr>
              <w:t>水温</w:t>
            </w:r>
          </w:p>
        </w:tc>
        <w:tc>
          <w:tcPr>
            <w:tcW w:w="1646" w:type="pct"/>
            <w:gridSpan w:val="2"/>
            <w:vAlign w:val="center"/>
          </w:tcPr>
          <w:p w:rsidR="006175A6" w:rsidRDefault="009B4BA7">
            <w:pPr>
              <w:pStyle w:val="TableParagraph"/>
              <w:rPr>
                <w:rFonts w:cs="Times New Roman"/>
                <w:sz w:val="21"/>
                <w:szCs w:val="21"/>
              </w:rPr>
            </w:pPr>
            <w:r>
              <w:rPr>
                <w:rFonts w:cs="Times New Roman" w:hint="eastAsia"/>
                <w:sz w:val="21"/>
                <w:szCs w:val="21"/>
              </w:rPr>
              <w:t>径流</w:t>
            </w:r>
          </w:p>
        </w:tc>
        <w:tc>
          <w:tcPr>
            <w:tcW w:w="2063" w:type="pct"/>
            <w:vAlign w:val="center"/>
          </w:tcPr>
          <w:p w:rsidR="006175A6" w:rsidRDefault="009B4BA7">
            <w:pPr>
              <w:pStyle w:val="TableParagraph"/>
              <w:rPr>
                <w:rFonts w:cs="Times New Roman"/>
                <w:sz w:val="21"/>
                <w:szCs w:val="21"/>
              </w:rPr>
            </w:pPr>
            <w:r>
              <w:rPr>
                <w:rFonts w:cs="Times New Roman" w:hint="eastAsia"/>
                <w:sz w:val="21"/>
                <w:szCs w:val="21"/>
              </w:rPr>
              <w:t>受影响地表水域</w:t>
            </w:r>
          </w:p>
        </w:tc>
        <w:tc>
          <w:tcPr>
            <w:tcW w:w="517" w:type="pct"/>
            <w:vMerge w:val="restart"/>
            <w:vAlign w:val="center"/>
          </w:tcPr>
          <w:p w:rsidR="006175A6" w:rsidRDefault="009B4BA7">
            <w:pPr>
              <w:pStyle w:val="TableParagraph"/>
              <w:rPr>
                <w:rFonts w:cs="Times New Roman"/>
                <w:sz w:val="21"/>
                <w:szCs w:val="21"/>
              </w:rPr>
            </w:pPr>
            <w:r>
              <w:rPr>
                <w:rFonts w:cs="Times New Roman" w:hint="eastAsia"/>
                <w:sz w:val="21"/>
                <w:szCs w:val="21"/>
              </w:rPr>
              <w:t>评价等级</w:t>
            </w:r>
          </w:p>
        </w:tc>
      </w:tr>
      <w:tr w:rsidR="006175A6">
        <w:trPr>
          <w:trHeight w:val="340"/>
        </w:trPr>
        <w:tc>
          <w:tcPr>
            <w:tcW w:w="774" w:type="pct"/>
            <w:vAlign w:val="center"/>
          </w:tcPr>
          <w:p w:rsidR="006175A6" w:rsidRDefault="009B4BA7">
            <w:pPr>
              <w:pStyle w:val="TableParagraph"/>
              <w:rPr>
                <w:rFonts w:ascii="Times New Roman" w:hAnsi="Times New Roman"/>
                <w:sz w:val="21"/>
                <w:szCs w:val="21"/>
                <w:lang w:eastAsia="zh-CN"/>
              </w:rPr>
            </w:pPr>
            <w:r>
              <w:rPr>
                <w:rFonts w:cs="Times New Roman" w:hint="eastAsia"/>
                <w:sz w:val="21"/>
                <w:szCs w:val="21"/>
                <w:lang w:eastAsia="zh-CN"/>
              </w:rPr>
              <w:t>年径流量与总库容之比</w:t>
            </w:r>
            <w:r>
              <w:rPr>
                <w:rFonts w:ascii="Times New Roman" w:hAnsi="Times New Roman"/>
                <w:sz w:val="21"/>
                <w:szCs w:val="21"/>
              </w:rPr>
              <w:t>α</w:t>
            </w:r>
          </w:p>
        </w:tc>
        <w:tc>
          <w:tcPr>
            <w:tcW w:w="823" w:type="pct"/>
            <w:vAlign w:val="center"/>
          </w:tcPr>
          <w:p w:rsidR="006175A6" w:rsidRDefault="009B4BA7">
            <w:pPr>
              <w:pStyle w:val="TableParagraph"/>
              <w:rPr>
                <w:rFonts w:ascii="Times New Roman" w:hAnsi="Times New Roman"/>
                <w:sz w:val="21"/>
                <w:szCs w:val="21"/>
                <w:lang w:eastAsia="zh-CN"/>
              </w:rPr>
            </w:pPr>
            <w:r>
              <w:rPr>
                <w:rFonts w:cs="Times New Roman" w:hint="eastAsia"/>
                <w:sz w:val="21"/>
                <w:szCs w:val="21"/>
                <w:lang w:eastAsia="zh-CN"/>
              </w:rPr>
              <w:t>兴利库容占年径流量百分比</w:t>
            </w:r>
            <w:r>
              <w:rPr>
                <w:rFonts w:ascii="Times New Roman" w:hAnsi="Times New Roman"/>
                <w:sz w:val="21"/>
                <w:szCs w:val="21"/>
              </w:rPr>
              <w:t>β</w:t>
            </w:r>
            <w:r>
              <w:rPr>
                <w:rFonts w:ascii="Times New Roman" w:hAnsi="Times New Roman"/>
                <w:sz w:val="21"/>
                <w:szCs w:val="21"/>
                <w:lang w:eastAsia="zh-CN"/>
              </w:rPr>
              <w:t>/%</w:t>
            </w:r>
          </w:p>
        </w:tc>
        <w:tc>
          <w:tcPr>
            <w:tcW w:w="823" w:type="pct"/>
            <w:vAlign w:val="center"/>
          </w:tcPr>
          <w:p w:rsidR="006175A6" w:rsidRDefault="009B4BA7">
            <w:pPr>
              <w:pStyle w:val="TableParagraph"/>
              <w:rPr>
                <w:rFonts w:ascii="Times New Roman" w:hAnsi="Times New Roman"/>
                <w:sz w:val="21"/>
                <w:szCs w:val="21"/>
                <w:lang w:eastAsia="zh-CN"/>
              </w:rPr>
            </w:pPr>
            <w:r>
              <w:rPr>
                <w:rFonts w:cs="Times New Roman" w:hint="eastAsia"/>
                <w:sz w:val="21"/>
                <w:szCs w:val="21"/>
                <w:lang w:eastAsia="zh-CN"/>
              </w:rPr>
              <w:t>取水量占多年平均径流量百分比</w:t>
            </w:r>
            <w:r>
              <w:rPr>
                <w:rFonts w:ascii="Times New Roman" w:hAnsi="Times New Roman"/>
                <w:sz w:val="21"/>
                <w:szCs w:val="21"/>
              </w:rPr>
              <w:t>γ</w:t>
            </w:r>
            <w:r>
              <w:rPr>
                <w:rFonts w:ascii="Times New Roman" w:hAnsi="Times New Roman"/>
                <w:sz w:val="21"/>
                <w:szCs w:val="21"/>
                <w:lang w:eastAsia="zh-CN"/>
              </w:rPr>
              <w:t>/%</w:t>
            </w:r>
          </w:p>
        </w:tc>
        <w:tc>
          <w:tcPr>
            <w:tcW w:w="2063" w:type="pct"/>
            <w:vAlign w:val="center"/>
          </w:tcPr>
          <w:p w:rsidR="006175A6" w:rsidRDefault="009B4BA7">
            <w:pPr>
              <w:pStyle w:val="TableParagraph"/>
              <w:rPr>
                <w:rFonts w:cs="Times New Roman"/>
                <w:sz w:val="21"/>
                <w:szCs w:val="21"/>
                <w:lang w:eastAsia="zh-CN"/>
              </w:rPr>
            </w:pPr>
            <w:r>
              <w:rPr>
                <w:rFonts w:cs="Times New Roman" w:hint="eastAsia"/>
                <w:spacing w:val="3"/>
                <w:position w:val="2"/>
                <w:sz w:val="21"/>
                <w:szCs w:val="21"/>
                <w:lang w:eastAsia="zh-CN"/>
              </w:rPr>
              <w:t>工程垂直投影面积及外扩范围</w:t>
            </w:r>
            <w:r>
              <w:rPr>
                <w:rFonts w:ascii="Times New Roman"/>
                <w:position w:val="2"/>
                <w:sz w:val="21"/>
                <w:szCs w:val="21"/>
                <w:lang w:eastAsia="zh-CN"/>
              </w:rPr>
              <w:t>A</w:t>
            </w:r>
            <w:r>
              <w:rPr>
                <w:rFonts w:ascii="Times New Roman"/>
                <w:position w:val="2"/>
                <w:sz w:val="21"/>
                <w:szCs w:val="21"/>
                <w:vertAlign w:val="subscript"/>
                <w:lang w:eastAsia="zh-CN"/>
              </w:rPr>
              <w:t>1</w:t>
            </w:r>
            <w:r>
              <w:rPr>
                <w:rFonts w:ascii="Times New Roman"/>
                <w:position w:val="2"/>
                <w:sz w:val="21"/>
                <w:szCs w:val="21"/>
                <w:lang w:eastAsia="zh-CN"/>
              </w:rPr>
              <w:t>/km</w:t>
            </w:r>
            <w:r>
              <w:rPr>
                <w:rFonts w:ascii="Times New Roman"/>
                <w:position w:val="2"/>
                <w:sz w:val="21"/>
                <w:szCs w:val="21"/>
                <w:vertAlign w:val="superscript"/>
                <w:lang w:eastAsia="zh-CN"/>
              </w:rPr>
              <w:t>2</w:t>
            </w:r>
            <w:r>
              <w:rPr>
                <w:rFonts w:cs="Times New Roman" w:hint="eastAsia"/>
                <w:position w:val="2"/>
                <w:sz w:val="21"/>
                <w:szCs w:val="21"/>
                <w:lang w:eastAsia="zh-CN"/>
              </w:rPr>
              <w:t>；</w:t>
            </w:r>
            <w:r>
              <w:rPr>
                <w:rFonts w:cs="Times New Roman" w:hint="eastAsia"/>
                <w:spacing w:val="-7"/>
                <w:position w:val="2"/>
                <w:sz w:val="21"/>
                <w:szCs w:val="21"/>
                <w:lang w:eastAsia="zh-CN"/>
              </w:rPr>
              <w:t>工程扰动水底面积</w:t>
            </w:r>
            <w:r>
              <w:rPr>
                <w:rFonts w:ascii="Times New Roman"/>
                <w:position w:val="2"/>
                <w:sz w:val="21"/>
                <w:szCs w:val="21"/>
                <w:lang w:eastAsia="zh-CN"/>
              </w:rPr>
              <w:t>A</w:t>
            </w:r>
            <w:r>
              <w:rPr>
                <w:rFonts w:ascii="Times New Roman"/>
                <w:position w:val="2"/>
                <w:sz w:val="21"/>
                <w:szCs w:val="21"/>
                <w:vertAlign w:val="subscript"/>
                <w:lang w:eastAsia="zh-CN"/>
              </w:rPr>
              <w:t>2</w:t>
            </w:r>
            <w:r>
              <w:rPr>
                <w:rFonts w:ascii="Times New Roman"/>
                <w:position w:val="2"/>
                <w:sz w:val="21"/>
                <w:szCs w:val="21"/>
                <w:lang w:eastAsia="zh-CN"/>
              </w:rPr>
              <w:t>/km</w:t>
            </w:r>
            <w:r>
              <w:rPr>
                <w:rFonts w:ascii="Times New Roman"/>
                <w:position w:val="2"/>
                <w:sz w:val="21"/>
                <w:szCs w:val="21"/>
                <w:vertAlign w:val="superscript"/>
                <w:lang w:eastAsia="zh-CN"/>
              </w:rPr>
              <w:t>2</w:t>
            </w:r>
            <w:r>
              <w:rPr>
                <w:rFonts w:cs="Times New Roman" w:hint="eastAsia"/>
                <w:position w:val="2"/>
                <w:sz w:val="21"/>
                <w:szCs w:val="21"/>
                <w:lang w:eastAsia="zh-CN"/>
              </w:rPr>
              <w:t>；</w:t>
            </w:r>
          </w:p>
          <w:p w:rsidR="006175A6" w:rsidRDefault="009B4BA7">
            <w:pPr>
              <w:pStyle w:val="TableParagraph"/>
              <w:rPr>
                <w:rFonts w:cs="Times New Roman"/>
                <w:sz w:val="21"/>
                <w:szCs w:val="21"/>
                <w:lang w:eastAsia="zh-CN"/>
              </w:rPr>
            </w:pPr>
            <w:r>
              <w:rPr>
                <w:rFonts w:cs="Times New Roman" w:hint="eastAsia"/>
                <w:sz w:val="21"/>
                <w:szCs w:val="21"/>
                <w:lang w:eastAsia="zh-CN"/>
              </w:rPr>
              <w:t>过水断面宽度占用比例或占用水域面</w:t>
            </w:r>
          </w:p>
          <w:p w:rsidR="006175A6" w:rsidRDefault="009B4BA7">
            <w:pPr>
              <w:pStyle w:val="TableParagraph"/>
              <w:rPr>
                <w:rFonts w:ascii="Times New Roman"/>
                <w:sz w:val="21"/>
                <w:szCs w:val="21"/>
              </w:rPr>
            </w:pPr>
            <w:r>
              <w:rPr>
                <w:rFonts w:cs="Times New Roman" w:hint="eastAsia"/>
                <w:sz w:val="21"/>
                <w:szCs w:val="21"/>
              </w:rPr>
              <w:t>积比例</w:t>
            </w:r>
            <w:r>
              <w:rPr>
                <w:rFonts w:ascii="Times New Roman"/>
                <w:sz w:val="21"/>
                <w:szCs w:val="21"/>
              </w:rPr>
              <w:t>R/%</w:t>
            </w:r>
          </w:p>
        </w:tc>
        <w:tc>
          <w:tcPr>
            <w:tcW w:w="517" w:type="pct"/>
            <w:vMerge/>
            <w:vAlign w:val="center"/>
          </w:tcPr>
          <w:p w:rsidR="006175A6" w:rsidRDefault="006175A6">
            <w:pPr>
              <w:widowControl/>
              <w:autoSpaceDE/>
              <w:autoSpaceDN/>
              <w:spacing w:line="240" w:lineRule="auto"/>
              <w:ind w:firstLineChars="0" w:firstLine="0"/>
              <w:jc w:val="center"/>
              <w:rPr>
                <w:rFonts w:ascii="宋体" w:hAnsi="宋体"/>
                <w:sz w:val="21"/>
              </w:rPr>
            </w:pPr>
          </w:p>
        </w:tc>
      </w:tr>
      <w:tr w:rsidR="006175A6">
        <w:trPr>
          <w:trHeight w:val="1012"/>
        </w:trPr>
        <w:tc>
          <w:tcPr>
            <w:tcW w:w="774" w:type="pct"/>
            <w:vAlign w:val="center"/>
          </w:tcPr>
          <w:p w:rsidR="006175A6" w:rsidRDefault="009B4BA7">
            <w:pPr>
              <w:pStyle w:val="TableParagraph"/>
              <w:rPr>
                <w:rFonts w:ascii="Times New Roman" w:hAnsi="Times New Roman"/>
                <w:sz w:val="21"/>
                <w:szCs w:val="21"/>
                <w:lang w:eastAsia="zh-CN"/>
              </w:rPr>
            </w:pPr>
            <w:r>
              <w:rPr>
                <w:rFonts w:ascii="Times New Roman" w:hAnsi="Times New Roman"/>
                <w:sz w:val="21"/>
                <w:szCs w:val="21"/>
              </w:rPr>
              <w:t>α=</w:t>
            </w:r>
            <w:r>
              <w:rPr>
                <w:rFonts w:ascii="Times New Roman" w:hAnsi="Times New Roman" w:hint="eastAsia"/>
                <w:sz w:val="21"/>
                <w:szCs w:val="21"/>
                <w:lang w:eastAsia="zh-CN"/>
              </w:rPr>
              <w:t>4950</w:t>
            </w:r>
            <w:r>
              <w:rPr>
                <w:rFonts w:ascii="Times New Roman" w:hAnsi="Times New Roman" w:hint="eastAsia"/>
                <w:sz w:val="21"/>
                <w:szCs w:val="21"/>
                <w:lang w:eastAsia="zh-CN"/>
              </w:rPr>
              <w:t>万</w:t>
            </w:r>
            <w:r>
              <w:rPr>
                <w:rFonts w:ascii="Times New Roman" w:hAnsi="Times New Roman" w:hint="eastAsia"/>
                <w:sz w:val="21"/>
                <w:szCs w:val="21"/>
                <w:lang w:eastAsia="zh-CN"/>
              </w:rPr>
              <w:t>/1075</w:t>
            </w:r>
            <w:r>
              <w:rPr>
                <w:rFonts w:ascii="Times New Roman" w:hAnsi="Times New Roman" w:hint="eastAsia"/>
                <w:sz w:val="21"/>
                <w:szCs w:val="21"/>
                <w:lang w:eastAsia="zh-CN"/>
              </w:rPr>
              <w:t>万</w:t>
            </w:r>
            <w:r>
              <w:rPr>
                <w:rFonts w:ascii="Times New Roman" w:hAnsi="Times New Roman" w:hint="eastAsia"/>
                <w:sz w:val="21"/>
                <w:szCs w:val="21"/>
                <w:lang w:eastAsia="zh-CN"/>
              </w:rPr>
              <w:t>=4.60</w:t>
            </w:r>
          </w:p>
          <w:p w:rsidR="006175A6" w:rsidRDefault="009B4BA7">
            <w:pPr>
              <w:pStyle w:val="TableParagraph"/>
              <w:rPr>
                <w:rFonts w:cs="Times New Roman"/>
                <w:sz w:val="21"/>
                <w:szCs w:val="21"/>
              </w:rPr>
            </w:pPr>
            <w:r>
              <w:rPr>
                <w:rFonts w:cs="Times New Roman" w:hint="eastAsia"/>
                <w:sz w:val="21"/>
                <w:szCs w:val="21"/>
              </w:rPr>
              <w:t>分层型</w:t>
            </w:r>
          </w:p>
        </w:tc>
        <w:tc>
          <w:tcPr>
            <w:tcW w:w="823" w:type="pct"/>
            <w:vAlign w:val="center"/>
          </w:tcPr>
          <w:p w:rsidR="006175A6" w:rsidRDefault="009B4BA7">
            <w:pPr>
              <w:pStyle w:val="TableParagraph"/>
              <w:rPr>
                <w:rFonts w:ascii="Times New Roman" w:hAnsi="Times New Roman"/>
                <w:sz w:val="21"/>
                <w:szCs w:val="21"/>
              </w:rPr>
            </w:pPr>
            <w:r>
              <w:rPr>
                <w:rFonts w:ascii="Times New Roman" w:hAnsi="Times New Roman"/>
                <w:sz w:val="21"/>
                <w:szCs w:val="21"/>
              </w:rPr>
              <w:t>β=</w:t>
            </w:r>
            <w:r>
              <w:rPr>
                <w:rFonts w:ascii="Times New Roman" w:hAnsi="Times New Roman" w:hint="eastAsia"/>
                <w:sz w:val="21"/>
                <w:szCs w:val="21"/>
                <w:lang w:eastAsia="zh-CN"/>
              </w:rPr>
              <w:t>910</w:t>
            </w:r>
            <w:r>
              <w:rPr>
                <w:rFonts w:ascii="Times New Roman" w:hAnsi="Times New Roman" w:hint="eastAsia"/>
                <w:sz w:val="21"/>
                <w:szCs w:val="21"/>
                <w:lang w:eastAsia="zh-CN"/>
              </w:rPr>
              <w:t>万</w:t>
            </w:r>
            <w:r>
              <w:rPr>
                <w:rFonts w:ascii="Times New Roman" w:hAnsi="Times New Roman" w:hint="eastAsia"/>
                <w:sz w:val="21"/>
                <w:szCs w:val="21"/>
                <w:lang w:eastAsia="zh-CN"/>
              </w:rPr>
              <w:t>/4950</w:t>
            </w:r>
            <w:r>
              <w:rPr>
                <w:rFonts w:ascii="Times New Roman" w:hAnsi="Times New Roman" w:hint="eastAsia"/>
                <w:sz w:val="21"/>
                <w:szCs w:val="21"/>
                <w:lang w:eastAsia="zh-CN"/>
              </w:rPr>
              <w:t>万</w:t>
            </w:r>
            <w:r>
              <w:rPr>
                <w:rFonts w:ascii="Times New Roman" w:hAnsi="Times New Roman" w:hint="eastAsia"/>
                <w:sz w:val="21"/>
                <w:szCs w:val="21"/>
                <w:lang w:eastAsia="zh-CN"/>
              </w:rPr>
              <w:t>=18</w:t>
            </w:r>
            <w:r>
              <w:rPr>
                <w:rFonts w:ascii="Times New Roman" w:hAnsi="Times New Roman"/>
                <w:sz w:val="21"/>
                <w:szCs w:val="21"/>
              </w:rPr>
              <w:t>%</w:t>
            </w:r>
          </w:p>
          <w:p w:rsidR="006175A6" w:rsidRDefault="009B4BA7">
            <w:pPr>
              <w:pStyle w:val="TableParagraph"/>
              <w:rPr>
                <w:rFonts w:cs="Times New Roman"/>
                <w:sz w:val="21"/>
                <w:szCs w:val="21"/>
              </w:rPr>
            </w:pPr>
            <w:r>
              <w:rPr>
                <w:rFonts w:cs="Times New Roman" w:hint="eastAsia"/>
                <w:sz w:val="21"/>
                <w:szCs w:val="21"/>
              </w:rPr>
              <w:t>完全年调节</w:t>
            </w:r>
          </w:p>
        </w:tc>
        <w:tc>
          <w:tcPr>
            <w:tcW w:w="823" w:type="pct"/>
            <w:vAlign w:val="center"/>
          </w:tcPr>
          <w:p w:rsidR="006175A6" w:rsidRDefault="009B4BA7">
            <w:pPr>
              <w:pStyle w:val="TableParagraph"/>
              <w:rPr>
                <w:rFonts w:ascii="Times New Roman" w:hAnsi="Times New Roman"/>
                <w:sz w:val="21"/>
                <w:szCs w:val="21"/>
              </w:rPr>
            </w:pPr>
            <w:r>
              <w:rPr>
                <w:rFonts w:ascii="Times New Roman" w:hAnsi="Times New Roman"/>
                <w:sz w:val="21"/>
                <w:szCs w:val="21"/>
              </w:rPr>
              <w:t>γ=</w:t>
            </w:r>
            <w:r>
              <w:rPr>
                <w:rFonts w:ascii="Times New Roman" w:hAnsi="Times New Roman" w:hint="eastAsia"/>
                <w:sz w:val="21"/>
                <w:szCs w:val="21"/>
                <w:lang w:eastAsia="zh-CN"/>
              </w:rPr>
              <w:t>2167</w:t>
            </w:r>
            <w:r>
              <w:rPr>
                <w:rFonts w:ascii="Times New Roman" w:hAnsi="Times New Roman" w:hint="eastAsia"/>
                <w:sz w:val="21"/>
                <w:szCs w:val="21"/>
                <w:lang w:eastAsia="zh-CN"/>
              </w:rPr>
              <w:t>万</w:t>
            </w:r>
            <w:r>
              <w:rPr>
                <w:rFonts w:ascii="Times New Roman" w:hAnsi="Times New Roman" w:hint="eastAsia"/>
                <w:sz w:val="21"/>
                <w:szCs w:val="21"/>
                <w:lang w:eastAsia="zh-CN"/>
              </w:rPr>
              <w:t>/4920</w:t>
            </w:r>
            <w:r>
              <w:rPr>
                <w:rFonts w:ascii="Times New Roman" w:hAnsi="Times New Roman" w:hint="eastAsia"/>
                <w:sz w:val="21"/>
                <w:szCs w:val="21"/>
                <w:lang w:eastAsia="zh-CN"/>
              </w:rPr>
              <w:t>万</w:t>
            </w:r>
            <w:r>
              <w:rPr>
                <w:rFonts w:ascii="Times New Roman" w:hAnsi="Times New Roman" w:hint="eastAsia"/>
                <w:sz w:val="21"/>
                <w:szCs w:val="21"/>
                <w:lang w:eastAsia="zh-CN"/>
              </w:rPr>
              <w:t>=44</w:t>
            </w:r>
            <w:r>
              <w:rPr>
                <w:rFonts w:ascii="Times New Roman" w:hAnsi="Times New Roman"/>
                <w:sz w:val="21"/>
                <w:szCs w:val="21"/>
              </w:rPr>
              <w:t>%</w:t>
            </w:r>
          </w:p>
        </w:tc>
        <w:tc>
          <w:tcPr>
            <w:tcW w:w="2063" w:type="pct"/>
            <w:vAlign w:val="center"/>
          </w:tcPr>
          <w:p w:rsidR="006175A6" w:rsidRDefault="009B4BA7">
            <w:pPr>
              <w:pStyle w:val="TableParagraph"/>
              <w:rPr>
                <w:rFonts w:ascii="Times New Roman"/>
                <w:sz w:val="21"/>
                <w:szCs w:val="21"/>
                <w:lang w:eastAsia="zh-CN"/>
              </w:rPr>
            </w:pPr>
            <w:r>
              <w:rPr>
                <w:rFonts w:ascii="Times New Roman"/>
                <w:position w:val="2"/>
                <w:sz w:val="21"/>
                <w:szCs w:val="21"/>
              </w:rPr>
              <w:t>A</w:t>
            </w:r>
            <w:r>
              <w:rPr>
                <w:rFonts w:ascii="Times New Roman"/>
                <w:position w:val="2"/>
                <w:sz w:val="21"/>
                <w:szCs w:val="21"/>
                <w:vertAlign w:val="subscript"/>
              </w:rPr>
              <w:t>1</w:t>
            </w:r>
            <w:r>
              <w:rPr>
                <w:rFonts w:ascii="Times New Roman"/>
                <w:position w:val="2"/>
                <w:sz w:val="21"/>
                <w:szCs w:val="21"/>
              </w:rPr>
              <w:t>=0.01</w:t>
            </w:r>
            <w:r>
              <w:rPr>
                <w:rFonts w:ascii="Times New Roman" w:hint="eastAsia"/>
                <w:position w:val="2"/>
                <w:sz w:val="21"/>
                <w:szCs w:val="21"/>
                <w:lang w:eastAsia="zh-CN"/>
              </w:rPr>
              <w:t>4</w:t>
            </w:r>
            <w:r>
              <w:rPr>
                <w:rFonts w:ascii="Times New Roman"/>
                <w:position w:val="2"/>
                <w:sz w:val="21"/>
                <w:szCs w:val="21"/>
                <w:lang w:eastAsia="zh-CN"/>
              </w:rPr>
              <w:t xml:space="preserve"> km</w:t>
            </w:r>
            <w:r>
              <w:rPr>
                <w:rFonts w:ascii="Times New Roman"/>
                <w:position w:val="2"/>
                <w:sz w:val="21"/>
                <w:szCs w:val="21"/>
                <w:vertAlign w:val="superscript"/>
                <w:lang w:eastAsia="zh-CN"/>
              </w:rPr>
              <w:t>2</w:t>
            </w:r>
          </w:p>
        </w:tc>
        <w:tc>
          <w:tcPr>
            <w:tcW w:w="517" w:type="pct"/>
            <w:vAlign w:val="center"/>
          </w:tcPr>
          <w:p w:rsidR="006175A6" w:rsidRDefault="009B4BA7">
            <w:pPr>
              <w:pStyle w:val="TableParagraph"/>
              <w:rPr>
                <w:rFonts w:cs="Times New Roman"/>
                <w:sz w:val="21"/>
                <w:szCs w:val="21"/>
              </w:rPr>
            </w:pPr>
            <w:r>
              <w:rPr>
                <w:rFonts w:cs="Times New Roman" w:hint="eastAsia"/>
                <w:sz w:val="21"/>
                <w:szCs w:val="21"/>
              </w:rPr>
              <w:t>一级</w:t>
            </w:r>
          </w:p>
        </w:tc>
      </w:tr>
    </w:tbl>
    <w:p w:rsidR="006175A6" w:rsidRDefault="009B4BA7">
      <w:pPr>
        <w:ind w:firstLine="480"/>
      </w:pPr>
      <w:r>
        <w:rPr>
          <w:rFonts w:hint="eastAsia"/>
        </w:rPr>
        <w:t>水库运行基本无废污水排放，运行期对地表水环境影响主要是对下游径流及水文情势影响较大，根据《环境影响评价技术导则地面水环境》，拟建项目地表水环境影响评价等级为水文要素一级。</w:t>
      </w:r>
    </w:p>
    <w:p w:rsidR="006175A6" w:rsidRDefault="009B4BA7">
      <w:pPr>
        <w:ind w:firstLine="480"/>
      </w:pPr>
      <w:r>
        <w:rPr>
          <w:rFonts w:hint="eastAsia"/>
        </w:rPr>
        <w:t>根据地表水环境评价等级确定评价范围为坝址以上</w:t>
      </w:r>
      <w:r>
        <w:rPr>
          <w:rFonts w:hint="eastAsia"/>
        </w:rPr>
        <w:t>2.1km</w:t>
      </w:r>
      <w:r>
        <w:rPr>
          <w:rFonts w:hint="eastAsia"/>
        </w:rPr>
        <w:t>回水段以及下游至两河口电站</w:t>
      </w:r>
      <w:r>
        <w:rPr>
          <w:rFonts w:hint="eastAsia"/>
        </w:rPr>
        <w:t>5km</w:t>
      </w:r>
      <w:r>
        <w:rPr>
          <w:rFonts w:hint="eastAsia"/>
        </w:rPr>
        <w:t>的减水河段。</w:t>
      </w:r>
    </w:p>
    <w:p w:rsidR="006175A6" w:rsidRDefault="009B4BA7">
      <w:pPr>
        <w:pStyle w:val="3"/>
      </w:pPr>
      <w:r>
        <w:rPr>
          <w:rFonts w:hint="eastAsia"/>
        </w:rPr>
        <w:t>地下水评价工作等级及评价范围</w:t>
      </w:r>
    </w:p>
    <w:p w:rsidR="006175A6" w:rsidRDefault="009B4BA7">
      <w:pPr>
        <w:ind w:firstLine="480"/>
      </w:pPr>
      <w:r>
        <w:rPr>
          <w:rFonts w:ascii="宋体" w:hAnsi="宋体" w:hint="eastAsia"/>
        </w:rPr>
        <w:t>根据《环境影响评价技术导则</w:t>
      </w:r>
      <w:r>
        <w:rPr>
          <w:rFonts w:hint="eastAsia"/>
        </w:rPr>
        <w:t xml:space="preserve"> </w:t>
      </w:r>
      <w:r>
        <w:rPr>
          <w:rFonts w:ascii="宋体" w:hAnsi="宋体" w:hint="eastAsia"/>
        </w:rPr>
        <w:t>地下水环境》（</w:t>
      </w:r>
      <w:r>
        <w:rPr>
          <w:rFonts w:hint="eastAsia"/>
        </w:rPr>
        <w:t>HJ 610-2016</w:t>
      </w:r>
      <w:r>
        <w:rPr>
          <w:rFonts w:ascii="宋体" w:hAnsi="宋体" w:hint="eastAsia"/>
        </w:rPr>
        <w:t>）附录</w:t>
      </w:r>
      <w:r>
        <w:rPr>
          <w:rFonts w:hint="eastAsia"/>
        </w:rPr>
        <w:t>A</w:t>
      </w:r>
      <w:r>
        <w:rPr>
          <w:rFonts w:hint="eastAsia"/>
        </w:rPr>
        <w:t>，本项目属于：“</w:t>
      </w:r>
      <w:r>
        <w:rPr>
          <w:rFonts w:hint="eastAsia"/>
        </w:rPr>
        <w:t>1</w:t>
      </w:r>
      <w:r>
        <w:rPr>
          <w:rFonts w:hint="eastAsia"/>
        </w:rPr>
        <w:t>、水库</w:t>
      </w:r>
      <w:r>
        <w:rPr>
          <w:rFonts w:hint="eastAsia"/>
        </w:rPr>
        <w:t xml:space="preserve"> </w:t>
      </w:r>
      <w:r>
        <w:rPr>
          <w:rFonts w:hint="eastAsia"/>
        </w:rPr>
        <w:t>库容</w:t>
      </w:r>
      <w:r>
        <w:rPr>
          <w:rFonts w:hint="eastAsia"/>
        </w:rPr>
        <w:t xml:space="preserve">1000 </w:t>
      </w:r>
      <w:r>
        <w:rPr>
          <w:rFonts w:hint="eastAsia"/>
        </w:rPr>
        <w:t>万立方米及以上”，属于</w:t>
      </w:r>
      <w:r>
        <w:fldChar w:fldCharType="begin"/>
      </w:r>
      <w:r>
        <w:instrText xml:space="preserve"> </w:instrText>
      </w:r>
      <w:r>
        <w:rPr>
          <w:rFonts w:hint="eastAsia"/>
        </w:rPr>
        <w:instrText>= 3 \* ROMAN</w:instrText>
      </w:r>
      <w:r>
        <w:instrText xml:space="preserve"> </w:instrText>
      </w:r>
      <w:r>
        <w:fldChar w:fldCharType="separate"/>
      </w:r>
      <w:r w:rsidR="00E97427">
        <w:rPr>
          <w:noProof/>
        </w:rPr>
        <w:t>III</w:t>
      </w:r>
      <w:r>
        <w:fldChar w:fldCharType="end"/>
      </w:r>
      <w:r>
        <w:rPr>
          <w:rFonts w:hint="eastAsia"/>
        </w:rPr>
        <w:t>类建设项目，项目建设项目所在区域地下水环境功能规划为Ⅲ类，该项目周边没有特殊要求保护的资源，没有集中式饮用水水源地保护区。因此该项目地下水环境敏感程度判定为不敏感。根据地下水评价工作等级分级表，本项目地下水评价等级为三级。</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地下水评价工作等级分级表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69"/>
        <w:gridCol w:w="2137"/>
        <w:gridCol w:w="2139"/>
        <w:gridCol w:w="1971"/>
      </w:tblGrid>
      <w:tr w:rsidR="006175A6">
        <w:trPr>
          <w:trHeight w:val="340"/>
        </w:trPr>
        <w:tc>
          <w:tcPr>
            <w:tcW w:w="1244" w:type="pct"/>
            <w:tcBorders>
              <w:top w:val="single" w:sz="4" w:space="0" w:color="000000"/>
              <w:left w:val="single" w:sz="4" w:space="0" w:color="000000"/>
              <w:bottom w:val="single" w:sz="4" w:space="0" w:color="000000"/>
              <w:right w:val="single" w:sz="4" w:space="0" w:color="000000"/>
              <w:tl2br w:val="single" w:sz="4" w:space="0" w:color="000000"/>
            </w:tcBorders>
            <w:vAlign w:val="center"/>
          </w:tcPr>
          <w:p w:rsidR="006175A6" w:rsidRDefault="009B4BA7">
            <w:pPr>
              <w:pStyle w:val="TableParagraph"/>
              <w:ind w:firstLine="420"/>
              <w:rPr>
                <w:sz w:val="21"/>
                <w:szCs w:val="21"/>
                <w:lang w:eastAsia="zh-CN"/>
              </w:rPr>
            </w:pPr>
            <w:r>
              <w:rPr>
                <w:rFonts w:hint="eastAsia"/>
                <w:sz w:val="21"/>
                <w:szCs w:val="21"/>
                <w:lang w:eastAsia="zh-CN"/>
              </w:rPr>
              <w:t xml:space="preserve">    项目类别 </w:t>
            </w:r>
          </w:p>
          <w:p w:rsidR="006175A6" w:rsidRDefault="009B4BA7">
            <w:pPr>
              <w:pStyle w:val="TableParagraph"/>
              <w:rPr>
                <w:sz w:val="21"/>
                <w:szCs w:val="21"/>
                <w:lang w:eastAsia="zh-CN"/>
              </w:rPr>
            </w:pPr>
            <w:r>
              <w:rPr>
                <w:rFonts w:hint="eastAsia"/>
                <w:sz w:val="21"/>
                <w:szCs w:val="21"/>
                <w:lang w:eastAsia="zh-CN"/>
              </w:rPr>
              <w:t>环境敏感程度</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Ⅰ类项目</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Ⅱ类项目</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Ⅲ类项目</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一</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一</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二</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较敏感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一</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二</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不敏感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lang w:eastAsia="zh-CN"/>
              </w:rPr>
            </w:pPr>
            <w:r>
              <w:rPr>
                <w:rFonts w:hint="eastAsia"/>
                <w:sz w:val="21"/>
                <w:szCs w:val="21"/>
                <w:lang w:eastAsia="zh-CN"/>
              </w:rPr>
              <w:t>二</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r>
    </w:tbl>
    <w:p w:rsidR="006175A6" w:rsidRDefault="009B4BA7">
      <w:pPr>
        <w:ind w:firstLine="480"/>
      </w:pPr>
      <w:r>
        <w:rPr>
          <w:rFonts w:hint="eastAsia"/>
        </w:rPr>
        <w:lastRenderedPageBreak/>
        <w:t>根据《环境影响评价技术导则</w:t>
      </w:r>
      <w:r>
        <w:rPr>
          <w:rFonts w:hint="eastAsia"/>
        </w:rPr>
        <w:t xml:space="preserve"> </w:t>
      </w:r>
      <w:r>
        <w:rPr>
          <w:rFonts w:hint="eastAsia"/>
        </w:rPr>
        <w:t>地下水环境》（</w:t>
      </w:r>
      <w:r>
        <w:rPr>
          <w:rFonts w:hint="eastAsia"/>
        </w:rPr>
        <w:t>HJ 610-2016</w:t>
      </w:r>
      <w:r>
        <w:rPr>
          <w:rFonts w:hint="eastAsia"/>
        </w:rPr>
        <w:t>），项目周边无重要的地下水保护目标，确定本项目地下水评价范围为项目所在水文地质单元，周边</w:t>
      </w:r>
      <w:r>
        <w:rPr>
          <w:rFonts w:hint="eastAsia"/>
        </w:rPr>
        <w:t>6km</w:t>
      </w:r>
      <w:r>
        <w:rPr>
          <w:rFonts w:hint="eastAsia"/>
          <w:vertAlign w:val="superscript"/>
        </w:rPr>
        <w:t>2</w:t>
      </w:r>
      <w:r>
        <w:rPr>
          <w:rFonts w:hint="eastAsia"/>
        </w:rPr>
        <w:t>的范围内。</w:t>
      </w:r>
    </w:p>
    <w:p w:rsidR="006175A6" w:rsidRDefault="009B4BA7">
      <w:pPr>
        <w:pStyle w:val="3"/>
      </w:pPr>
      <w:r>
        <w:rPr>
          <w:rFonts w:hint="eastAsia"/>
        </w:rPr>
        <w:t>声环境评价等级及评价范围</w:t>
      </w:r>
    </w:p>
    <w:p w:rsidR="006175A6" w:rsidRDefault="009B4BA7">
      <w:pPr>
        <w:ind w:firstLine="480"/>
      </w:pPr>
      <w:r>
        <w:rPr>
          <w:rFonts w:hint="eastAsia"/>
        </w:rPr>
        <w:t>根据《声环境质量标准》（</w:t>
      </w:r>
      <w:r>
        <w:rPr>
          <w:rFonts w:hint="eastAsia"/>
        </w:rPr>
        <w:t>GB3096-2008</w:t>
      </w:r>
      <w:r>
        <w:rPr>
          <w:rFonts w:hint="eastAsia"/>
        </w:rPr>
        <w:t>）中声环境功能区的划分要求：“村庄原则上执行</w:t>
      </w:r>
      <w:r>
        <w:rPr>
          <w:rFonts w:hint="eastAsia"/>
        </w:rPr>
        <w:t>1</w:t>
      </w:r>
      <w:r>
        <w:rPr>
          <w:rFonts w:hint="eastAsia"/>
        </w:rPr>
        <w:t>类声环境功能区要求，工业活动较多的村庄以及有交通干线经过的村庄可局部执行或全部执行</w:t>
      </w:r>
      <w:r>
        <w:rPr>
          <w:rFonts w:hint="eastAsia"/>
        </w:rPr>
        <w:t>2</w:t>
      </w:r>
      <w:r>
        <w:rPr>
          <w:rFonts w:hint="eastAsia"/>
        </w:rPr>
        <w:t>类声环境功能区要求”，拟建项目所在地、周边</w:t>
      </w:r>
      <w:r>
        <w:rPr>
          <w:rFonts w:hint="eastAsia"/>
        </w:rPr>
        <w:t xml:space="preserve">200m </w:t>
      </w:r>
      <w:r>
        <w:rPr>
          <w:rFonts w:hint="eastAsia"/>
        </w:rPr>
        <w:t>无工业企业，项目所在声功能区为</w:t>
      </w:r>
      <w:r>
        <w:rPr>
          <w:rFonts w:hint="eastAsia"/>
        </w:rPr>
        <w:t>1</w:t>
      </w:r>
      <w:r>
        <w:rPr>
          <w:rFonts w:hint="eastAsia"/>
        </w:rPr>
        <w:t>类声功能区，项目建设前后敏感目标噪声级增高量＜</w:t>
      </w:r>
      <w:r>
        <w:rPr>
          <w:rFonts w:hint="eastAsia"/>
        </w:rPr>
        <w:t>3dB</w:t>
      </w:r>
      <w:r>
        <w:rPr>
          <w:rFonts w:hint="eastAsia"/>
        </w:rPr>
        <w:t>，受噪声影响人口数量变化不大。根据《环境影响评价技术导则声环境》（</w:t>
      </w:r>
      <w:r>
        <w:rPr>
          <w:rFonts w:hint="eastAsia"/>
        </w:rPr>
        <w:t>HJ2.4-2009</w:t>
      </w:r>
      <w:r>
        <w:rPr>
          <w:rFonts w:hint="eastAsia"/>
        </w:rPr>
        <w:t>），拟建项目声环境评价工作等级定为二级。</w:t>
      </w:r>
    </w:p>
    <w:p w:rsidR="006175A6" w:rsidRDefault="009B4BA7">
      <w:pPr>
        <w:ind w:firstLine="480"/>
      </w:pPr>
      <w:r>
        <w:rPr>
          <w:rFonts w:hint="eastAsia"/>
        </w:rPr>
        <w:t>确定本项目声环境评价范围为施工区四周</w:t>
      </w:r>
      <w:r>
        <w:rPr>
          <w:rFonts w:hint="eastAsia"/>
        </w:rPr>
        <w:t>200m</w:t>
      </w:r>
      <w:r>
        <w:rPr>
          <w:rFonts w:hint="eastAsia"/>
        </w:rPr>
        <w:t>及主要施工道路两侧</w:t>
      </w:r>
      <w:r>
        <w:rPr>
          <w:rFonts w:hint="eastAsia"/>
        </w:rPr>
        <w:t xml:space="preserve">200m </w:t>
      </w:r>
      <w:r>
        <w:rPr>
          <w:rFonts w:hint="eastAsia"/>
        </w:rPr>
        <w:t>范围。</w:t>
      </w:r>
    </w:p>
    <w:p w:rsidR="006175A6" w:rsidRDefault="009B4BA7">
      <w:pPr>
        <w:pStyle w:val="3"/>
      </w:pPr>
      <w:r>
        <w:rPr>
          <w:rFonts w:hint="eastAsia"/>
        </w:rPr>
        <w:t>土壤环境评价等级及评价范围</w:t>
      </w:r>
    </w:p>
    <w:p w:rsidR="006175A6" w:rsidRDefault="009B4BA7">
      <w:pPr>
        <w:ind w:firstLine="480"/>
      </w:pPr>
      <w:r>
        <w:rPr>
          <w:rFonts w:hint="eastAsia"/>
        </w:rPr>
        <w:t>两河口水库总库容</w:t>
      </w:r>
      <w:r>
        <w:rPr>
          <w:rFonts w:hint="eastAsia"/>
        </w:rPr>
        <w:t>1075</w:t>
      </w:r>
      <w:r>
        <w:rPr>
          <w:rFonts w:hint="eastAsia"/>
        </w:rPr>
        <w:t>万</w:t>
      </w:r>
      <w:r>
        <w:rPr>
          <w:rFonts w:hint="eastAsia"/>
        </w:rPr>
        <w:t>m</w:t>
      </w:r>
      <w:r>
        <w:rPr>
          <w:rFonts w:hint="eastAsia"/>
          <w:vertAlign w:val="superscript"/>
        </w:rPr>
        <w:t>3</w:t>
      </w:r>
      <w:r>
        <w:rPr>
          <w:rFonts w:hint="eastAsia"/>
        </w:rPr>
        <w:t>，引水管线</w:t>
      </w:r>
      <w:r>
        <w:rPr>
          <w:rFonts w:hint="eastAsia"/>
        </w:rPr>
        <w:t>23.7km</w:t>
      </w:r>
      <w:r>
        <w:rPr>
          <w:rFonts w:hint="eastAsia"/>
        </w:rPr>
        <w:t>，根据《环境影响评价技术导则土壤环境》（</w:t>
      </w:r>
      <w:r>
        <w:rPr>
          <w:rFonts w:hint="eastAsia"/>
        </w:rPr>
        <w:t>HJ964-2018</w:t>
      </w:r>
      <w:r>
        <w:rPr>
          <w:rFonts w:hint="eastAsia"/>
        </w:rPr>
        <w:t>），本工程属于库容</w:t>
      </w:r>
      <w:r>
        <w:rPr>
          <w:rFonts w:hint="eastAsia"/>
        </w:rPr>
        <w:t>1000</w:t>
      </w:r>
      <w:r>
        <w:rPr>
          <w:rFonts w:hint="eastAsia"/>
        </w:rPr>
        <w:t>万</w:t>
      </w:r>
      <w:r>
        <w:rPr>
          <w:rFonts w:hint="eastAsia"/>
        </w:rPr>
        <w:t>m</w:t>
      </w:r>
      <w:r>
        <w:rPr>
          <w:rFonts w:hint="eastAsia"/>
          <w:vertAlign w:val="superscript"/>
        </w:rPr>
        <w:t>3</w:t>
      </w:r>
      <w:r>
        <w:rPr>
          <w:rFonts w:hint="eastAsia"/>
        </w:rPr>
        <w:t>至</w:t>
      </w:r>
      <w:r>
        <w:rPr>
          <w:rFonts w:hint="eastAsia"/>
        </w:rPr>
        <w:t>1</w:t>
      </w:r>
      <w:r>
        <w:rPr>
          <w:rFonts w:hint="eastAsia"/>
        </w:rPr>
        <w:t>亿</w:t>
      </w:r>
      <w:r>
        <w:rPr>
          <w:rFonts w:hint="eastAsia"/>
        </w:rPr>
        <w:t>m</w:t>
      </w:r>
      <w:r>
        <w:rPr>
          <w:rFonts w:hint="eastAsia"/>
          <w:vertAlign w:val="superscript"/>
        </w:rPr>
        <w:t>3</w:t>
      </w:r>
      <w:r>
        <w:rPr>
          <w:rFonts w:hint="eastAsia"/>
        </w:rPr>
        <w:t>的水库，为</w:t>
      </w:r>
      <w:r>
        <w:fldChar w:fldCharType="begin"/>
      </w:r>
      <w:r>
        <w:instrText xml:space="preserve"> </w:instrText>
      </w:r>
      <w:r>
        <w:rPr>
          <w:rFonts w:hint="eastAsia"/>
        </w:rPr>
        <w:instrText>= 2 \* ROMAN</w:instrText>
      </w:r>
      <w:r>
        <w:instrText xml:space="preserve"> </w:instrText>
      </w:r>
      <w:r>
        <w:fldChar w:fldCharType="separate"/>
      </w:r>
      <w:r w:rsidR="00E97427">
        <w:rPr>
          <w:noProof/>
        </w:rPr>
        <w:t>II</w:t>
      </w:r>
      <w:r>
        <w:fldChar w:fldCharType="end"/>
      </w:r>
      <w:r>
        <w:rPr>
          <w:rFonts w:hint="eastAsia"/>
        </w:rPr>
        <w:t>类建设项目，项目区域土壤</w:t>
      </w:r>
      <w:r>
        <w:rPr>
          <w:rFonts w:hint="eastAsia"/>
        </w:rPr>
        <w:t>pH</w:t>
      </w:r>
      <w:r>
        <w:rPr>
          <w:rFonts w:hint="eastAsia"/>
        </w:rPr>
        <w:t>范围为</w:t>
      </w:r>
      <w:r>
        <w:rPr>
          <w:rFonts w:hint="eastAsia"/>
        </w:rPr>
        <w:t>5.5</w:t>
      </w:r>
      <w:r>
        <w:rPr>
          <w:rFonts w:hint="eastAsia"/>
        </w:rPr>
        <w:t>＜</w:t>
      </w:r>
      <w:r>
        <w:rPr>
          <w:rFonts w:hint="eastAsia"/>
        </w:rPr>
        <w:t>pH</w:t>
      </w:r>
      <w:r>
        <w:rPr>
          <w:rFonts w:hint="eastAsia"/>
        </w:rPr>
        <w:t>＜</w:t>
      </w:r>
      <w:r>
        <w:rPr>
          <w:rFonts w:hint="eastAsia"/>
        </w:rPr>
        <w:t>8.5</w:t>
      </w:r>
      <w:r>
        <w:rPr>
          <w:rFonts w:hint="eastAsia"/>
        </w:rPr>
        <w:t>，干燥度＜</w:t>
      </w:r>
      <w:r>
        <w:rPr>
          <w:rFonts w:hint="eastAsia"/>
        </w:rPr>
        <w:t>1.8g/kg</w:t>
      </w:r>
      <w:r>
        <w:rPr>
          <w:rFonts w:hint="eastAsia"/>
        </w:rPr>
        <w:t>，所在区域地下水埋深＞</w:t>
      </w:r>
      <w:r>
        <w:rPr>
          <w:rFonts w:hint="eastAsia"/>
        </w:rPr>
        <w:t>1.8m</w:t>
      </w:r>
      <w:r>
        <w:rPr>
          <w:rFonts w:hint="eastAsia"/>
        </w:rPr>
        <w:t>，土壤含盐量＜</w:t>
      </w:r>
      <w:r>
        <w:rPr>
          <w:rFonts w:hint="eastAsia"/>
        </w:rPr>
        <w:t>2g/kg</w:t>
      </w:r>
      <w:r>
        <w:rPr>
          <w:rFonts w:hint="eastAsia"/>
        </w:rPr>
        <w:t>，因此所在区域土壤属于盐化、酸化、碱化不敏感区域，根据土壤评价工作等级分级表，本项目土壤评价等级为三级。</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土壤生态影响型评价工作等级划分表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69"/>
        <w:gridCol w:w="2137"/>
        <w:gridCol w:w="2139"/>
        <w:gridCol w:w="1971"/>
      </w:tblGrid>
      <w:tr w:rsidR="006175A6">
        <w:trPr>
          <w:trHeight w:val="340"/>
        </w:trPr>
        <w:tc>
          <w:tcPr>
            <w:tcW w:w="1244" w:type="pct"/>
            <w:tcBorders>
              <w:top w:val="single" w:sz="4" w:space="0" w:color="000000"/>
              <w:left w:val="single" w:sz="4" w:space="0" w:color="000000"/>
              <w:bottom w:val="single" w:sz="4" w:space="0" w:color="000000"/>
              <w:right w:val="single" w:sz="4" w:space="0" w:color="000000"/>
              <w:tl2br w:val="single" w:sz="4" w:space="0" w:color="000000"/>
            </w:tcBorders>
            <w:vAlign w:val="center"/>
          </w:tcPr>
          <w:p w:rsidR="006175A6" w:rsidRDefault="009B4BA7">
            <w:pPr>
              <w:pStyle w:val="TableParagraph"/>
              <w:ind w:firstLine="420"/>
              <w:rPr>
                <w:sz w:val="21"/>
                <w:szCs w:val="21"/>
                <w:lang w:eastAsia="zh-CN"/>
              </w:rPr>
            </w:pPr>
            <w:r>
              <w:rPr>
                <w:rFonts w:hint="eastAsia"/>
                <w:sz w:val="21"/>
                <w:szCs w:val="21"/>
                <w:lang w:eastAsia="zh-CN"/>
              </w:rPr>
              <w:t xml:space="preserve">    项目类别 </w:t>
            </w:r>
          </w:p>
          <w:p w:rsidR="006175A6" w:rsidRDefault="009B4BA7">
            <w:pPr>
              <w:pStyle w:val="TableParagraph"/>
              <w:rPr>
                <w:sz w:val="21"/>
                <w:szCs w:val="21"/>
                <w:lang w:eastAsia="zh-CN"/>
              </w:rPr>
            </w:pPr>
            <w:r>
              <w:rPr>
                <w:rFonts w:hint="eastAsia"/>
                <w:sz w:val="21"/>
                <w:szCs w:val="21"/>
                <w:lang w:eastAsia="zh-CN"/>
              </w:rPr>
              <w:t>环境敏感程度</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Ⅰ类项目</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Ⅱ类项目</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Ⅲ类项目</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一</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二</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较敏感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二</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二</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r>
      <w:tr w:rsidR="006175A6">
        <w:trPr>
          <w:trHeight w:val="340"/>
        </w:trPr>
        <w:tc>
          <w:tcPr>
            <w:tcW w:w="1244"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不敏感</w:t>
            </w:r>
          </w:p>
        </w:tc>
        <w:tc>
          <w:tcPr>
            <w:tcW w:w="12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lang w:eastAsia="zh-CN"/>
              </w:rPr>
            </w:pPr>
            <w:r>
              <w:rPr>
                <w:rFonts w:hint="eastAsia"/>
                <w:sz w:val="21"/>
                <w:szCs w:val="21"/>
                <w:lang w:eastAsia="zh-CN"/>
              </w:rPr>
              <w:t>二</w:t>
            </w:r>
          </w:p>
        </w:tc>
        <w:tc>
          <w:tcPr>
            <w:tcW w:w="128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三</w:t>
            </w:r>
          </w:p>
        </w:tc>
        <w:tc>
          <w:tcPr>
            <w:tcW w:w="1185"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lang w:eastAsia="zh-CN"/>
              </w:rPr>
            </w:pPr>
            <w:r>
              <w:rPr>
                <w:rFonts w:hint="eastAsia"/>
                <w:sz w:val="21"/>
                <w:szCs w:val="21"/>
                <w:lang w:eastAsia="zh-CN"/>
              </w:rPr>
              <w:t>-</w:t>
            </w:r>
          </w:p>
        </w:tc>
      </w:tr>
    </w:tbl>
    <w:p w:rsidR="006175A6" w:rsidRDefault="009B4BA7">
      <w:pPr>
        <w:ind w:firstLineChars="83" w:firstLine="174"/>
        <w:rPr>
          <w:sz w:val="21"/>
        </w:rPr>
      </w:pPr>
      <w:r>
        <w:rPr>
          <w:rFonts w:hint="eastAsia"/>
          <w:sz w:val="21"/>
        </w:rPr>
        <w:t>注：“</w:t>
      </w:r>
      <w:r>
        <w:rPr>
          <w:rFonts w:hint="eastAsia"/>
          <w:sz w:val="18"/>
        </w:rPr>
        <w:t>-</w:t>
      </w:r>
      <w:r>
        <w:rPr>
          <w:rFonts w:hint="eastAsia"/>
          <w:sz w:val="21"/>
        </w:rPr>
        <w:t>”</w:t>
      </w:r>
      <w:r>
        <w:rPr>
          <w:rFonts w:hint="eastAsia"/>
          <w:sz w:val="21"/>
        </w:rPr>
        <w:t xml:space="preserve"> </w:t>
      </w:r>
      <w:r>
        <w:rPr>
          <w:rFonts w:hint="eastAsia"/>
          <w:sz w:val="21"/>
        </w:rPr>
        <w:t>表示可不开展土壤环境影响评价工作。</w:t>
      </w:r>
    </w:p>
    <w:p w:rsidR="006175A6" w:rsidRDefault="009B4BA7">
      <w:pPr>
        <w:ind w:firstLine="480"/>
      </w:pPr>
      <w:r>
        <w:rPr>
          <w:rFonts w:hint="eastAsia"/>
        </w:rPr>
        <w:t>根据《环境影响评价技术导则土壤环境》（</w:t>
      </w:r>
      <w:r>
        <w:rPr>
          <w:rFonts w:hint="eastAsia"/>
        </w:rPr>
        <w:t>HJ964-2018</w:t>
      </w:r>
      <w:r>
        <w:rPr>
          <w:rFonts w:hint="eastAsia"/>
        </w:rPr>
        <w:t>），本项目土壤环境影响评价范围为项目占地范围以及占地范围外</w:t>
      </w:r>
      <w:r>
        <w:rPr>
          <w:rFonts w:hint="eastAsia"/>
        </w:rPr>
        <w:t>1km</w:t>
      </w:r>
      <w:r>
        <w:rPr>
          <w:rFonts w:hint="eastAsia"/>
        </w:rPr>
        <w:t>范围内。</w:t>
      </w:r>
    </w:p>
    <w:p w:rsidR="006175A6" w:rsidRDefault="009B4BA7">
      <w:pPr>
        <w:pStyle w:val="3"/>
      </w:pPr>
      <w:r>
        <w:rPr>
          <w:rFonts w:hint="eastAsia"/>
        </w:rPr>
        <w:lastRenderedPageBreak/>
        <w:t>生态环境</w:t>
      </w:r>
    </w:p>
    <w:p w:rsidR="006175A6" w:rsidRDefault="009B4BA7">
      <w:pPr>
        <w:ind w:firstLine="480"/>
      </w:pPr>
      <w:r>
        <w:rPr>
          <w:rFonts w:hint="eastAsia"/>
        </w:rPr>
        <w:t>工程建设占地包括坝区、水库库区、输水管线区，施工道路区，施工生产生活区，取料场区，弃渣场区等，占地类型包括耕园地、林地、草地、水域、居住及道路用地等，永久占地（含淹没区）约</w:t>
      </w:r>
      <w:r>
        <w:t>38.13hm²</w:t>
      </w:r>
      <w:r>
        <w:rPr>
          <w:rFonts w:hint="eastAsia"/>
        </w:rPr>
        <w:t>（</w:t>
      </w:r>
      <w:r>
        <w:rPr>
          <w:rFonts w:hint="eastAsia"/>
        </w:rPr>
        <w:t>0.3813km</w:t>
      </w:r>
      <w:r>
        <w:rPr>
          <w:rFonts w:hint="eastAsia"/>
          <w:vertAlign w:val="superscript"/>
        </w:rPr>
        <w:t>2</w:t>
      </w:r>
      <w:r>
        <w:rPr>
          <w:rFonts w:hint="eastAsia"/>
        </w:rPr>
        <w:t>），临时占地为</w:t>
      </w:r>
      <w:r>
        <w:t>23.9hm²</w:t>
      </w:r>
      <w:r>
        <w:rPr>
          <w:rFonts w:hint="eastAsia"/>
        </w:rPr>
        <w:t>（</w:t>
      </w:r>
      <w:r>
        <w:rPr>
          <w:rFonts w:hint="eastAsia"/>
        </w:rPr>
        <w:t>0.239 km</w:t>
      </w:r>
      <w:r>
        <w:rPr>
          <w:rFonts w:hint="eastAsia"/>
          <w:vertAlign w:val="superscript"/>
        </w:rPr>
        <w:t>2</w:t>
      </w:r>
      <w:r>
        <w:rPr>
          <w:rFonts w:hint="eastAsia"/>
        </w:rPr>
        <w:t>）。影响范围内以林地和耕地为主，工程影响范围内均不涉及各类自然保护区、水产种质资源保护区及风景名胜区等生态敏感目标。</w:t>
      </w:r>
    </w:p>
    <w:p w:rsidR="006175A6" w:rsidRDefault="009B4BA7">
      <w:pPr>
        <w:ind w:firstLine="480"/>
      </w:pPr>
      <w:r>
        <w:rPr>
          <w:rFonts w:hint="eastAsia"/>
        </w:rPr>
        <w:t>根据《环境影响评价技术导则生态影响》生态评价等级划分原则，工程“影响区域生态敏感性”为一般区域，工程占地</w:t>
      </w:r>
      <w:r>
        <w:rPr>
          <w:rFonts w:hint="eastAsia"/>
        </w:rPr>
        <w:t>0.6203km</w:t>
      </w:r>
      <w:r>
        <w:rPr>
          <w:rFonts w:hint="eastAsia"/>
          <w:vertAlign w:val="superscript"/>
        </w:rPr>
        <w:t>2</w:t>
      </w:r>
      <w:r>
        <w:rPr>
          <w:rFonts w:hint="eastAsia"/>
        </w:rPr>
        <w:t>（</w:t>
      </w:r>
      <w:r>
        <w:rPr>
          <w:rFonts w:hint="eastAsia"/>
        </w:rPr>
        <w:t>&lt;2km</w:t>
      </w:r>
      <w:r>
        <w:rPr>
          <w:rFonts w:hint="eastAsia"/>
          <w:vertAlign w:val="superscript"/>
        </w:rPr>
        <w:t>2</w:t>
      </w:r>
      <w:r>
        <w:rPr>
          <w:rFonts w:hint="eastAsia"/>
        </w:rPr>
        <w:t>），管线长度</w:t>
      </w:r>
      <w:r>
        <w:rPr>
          <w:rFonts w:hint="eastAsia"/>
        </w:rPr>
        <w:t>23.7km</w:t>
      </w:r>
      <w:r>
        <w:rPr>
          <w:rFonts w:hint="eastAsia"/>
        </w:rPr>
        <w:t>（≤</w:t>
      </w:r>
      <w:r>
        <w:rPr>
          <w:rFonts w:hint="eastAsia"/>
        </w:rPr>
        <w:t>50km</w:t>
      </w:r>
      <w:r>
        <w:rPr>
          <w:rFonts w:hint="eastAsia"/>
        </w:rPr>
        <w:t>），确定生态评价工作等级为三级。</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生态影响评价工作等级划分表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1891"/>
        <w:gridCol w:w="2347"/>
        <w:gridCol w:w="1839"/>
      </w:tblGrid>
      <w:tr w:rsidR="006175A6">
        <w:trPr>
          <w:trHeight w:val="340"/>
        </w:trPr>
        <w:tc>
          <w:tcPr>
            <w:tcW w:w="1346" w:type="pct"/>
            <w:vMerge w:val="restart"/>
            <w:vAlign w:val="center"/>
          </w:tcPr>
          <w:p w:rsidR="006175A6" w:rsidRDefault="009B4BA7">
            <w:pPr>
              <w:pStyle w:val="TableParagraph"/>
              <w:rPr>
                <w:rFonts w:cs="Times New Roman"/>
                <w:sz w:val="21"/>
                <w:szCs w:val="21"/>
              </w:rPr>
            </w:pPr>
            <w:r>
              <w:rPr>
                <w:rFonts w:cs="Times New Roman" w:hint="eastAsia"/>
                <w:sz w:val="21"/>
                <w:szCs w:val="21"/>
              </w:rPr>
              <w:t>影响区域生态敏感性</w:t>
            </w:r>
          </w:p>
        </w:tc>
        <w:tc>
          <w:tcPr>
            <w:tcW w:w="3654" w:type="pct"/>
            <w:gridSpan w:val="3"/>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工程占地（水域）范围</w:t>
            </w:r>
          </w:p>
        </w:tc>
      </w:tr>
      <w:tr w:rsidR="006175A6">
        <w:trPr>
          <w:trHeight w:val="340"/>
        </w:trPr>
        <w:tc>
          <w:tcPr>
            <w:tcW w:w="1346" w:type="pct"/>
            <w:vMerge/>
            <w:vAlign w:val="center"/>
          </w:tcPr>
          <w:p w:rsidR="006175A6" w:rsidRDefault="006175A6">
            <w:pPr>
              <w:widowControl/>
              <w:autoSpaceDE/>
              <w:autoSpaceDN/>
              <w:spacing w:line="240" w:lineRule="auto"/>
              <w:ind w:firstLineChars="0" w:firstLine="0"/>
              <w:jc w:val="center"/>
              <w:rPr>
                <w:rFonts w:ascii="宋体" w:hAnsi="宋体"/>
                <w:sz w:val="21"/>
                <w:lang w:eastAsia="zh-CN"/>
              </w:rPr>
            </w:pPr>
          </w:p>
        </w:tc>
        <w:tc>
          <w:tcPr>
            <w:tcW w:w="1137" w:type="pct"/>
            <w:vAlign w:val="center"/>
          </w:tcPr>
          <w:p w:rsidR="006175A6" w:rsidRDefault="009B4BA7">
            <w:pPr>
              <w:pStyle w:val="TableParagraph"/>
              <w:rPr>
                <w:rFonts w:ascii="Times New Roman" w:hAnsi="Times New Roman"/>
                <w:sz w:val="13"/>
                <w:szCs w:val="13"/>
              </w:rPr>
            </w:pPr>
            <w:r>
              <w:rPr>
                <w:rFonts w:cs="Times New Roman" w:hint="eastAsia"/>
                <w:sz w:val="21"/>
                <w:szCs w:val="21"/>
              </w:rPr>
              <w:t>面积</w:t>
            </w:r>
            <w:r>
              <w:rPr>
                <w:rFonts w:ascii="Times New Roman" w:hAnsi="Times New Roman"/>
                <w:sz w:val="21"/>
                <w:szCs w:val="21"/>
              </w:rPr>
              <w:t>≥20km</w:t>
            </w:r>
            <w:r>
              <w:rPr>
                <w:rFonts w:ascii="Times New Roman" w:hAnsi="Times New Roman"/>
                <w:position w:val="7"/>
                <w:sz w:val="13"/>
                <w:szCs w:val="13"/>
              </w:rPr>
              <w:t>2</w:t>
            </w:r>
          </w:p>
          <w:p w:rsidR="006175A6" w:rsidRDefault="009B4BA7">
            <w:pPr>
              <w:pStyle w:val="TableParagraph"/>
              <w:rPr>
                <w:rFonts w:ascii="Times New Roman" w:hAnsi="Times New Roman"/>
                <w:sz w:val="21"/>
                <w:szCs w:val="21"/>
              </w:rPr>
            </w:pPr>
            <w:r>
              <w:rPr>
                <w:rFonts w:cs="Times New Roman" w:hint="eastAsia"/>
                <w:sz w:val="21"/>
                <w:szCs w:val="21"/>
              </w:rPr>
              <w:t>或长度</w:t>
            </w:r>
            <w:r>
              <w:rPr>
                <w:rFonts w:ascii="Times New Roman" w:hAnsi="Times New Roman"/>
                <w:sz w:val="21"/>
                <w:szCs w:val="21"/>
              </w:rPr>
              <w:t>≥100km</w:t>
            </w:r>
          </w:p>
        </w:tc>
        <w:tc>
          <w:tcPr>
            <w:tcW w:w="1411" w:type="pct"/>
            <w:vAlign w:val="center"/>
          </w:tcPr>
          <w:p w:rsidR="006175A6" w:rsidRDefault="009B4BA7">
            <w:pPr>
              <w:pStyle w:val="TableParagraph"/>
              <w:rPr>
                <w:rFonts w:ascii="Times New Roman"/>
                <w:sz w:val="13"/>
                <w:szCs w:val="13"/>
              </w:rPr>
            </w:pPr>
            <w:r>
              <w:rPr>
                <w:rFonts w:cs="Times New Roman" w:hint="eastAsia"/>
                <w:sz w:val="21"/>
                <w:szCs w:val="21"/>
              </w:rPr>
              <w:t>面积</w:t>
            </w:r>
            <w:r>
              <w:rPr>
                <w:rFonts w:ascii="Times New Roman"/>
                <w:sz w:val="21"/>
                <w:szCs w:val="21"/>
              </w:rPr>
              <w:t>2km</w:t>
            </w:r>
            <w:r>
              <w:rPr>
                <w:rFonts w:ascii="Times New Roman"/>
                <w:position w:val="7"/>
                <w:sz w:val="13"/>
                <w:szCs w:val="13"/>
              </w:rPr>
              <w:t>2</w:t>
            </w:r>
            <w:r>
              <w:rPr>
                <w:rFonts w:ascii="Times New Roman"/>
                <w:sz w:val="21"/>
                <w:szCs w:val="21"/>
              </w:rPr>
              <w:t>~20km</w:t>
            </w:r>
            <w:r>
              <w:rPr>
                <w:rFonts w:ascii="Times New Roman"/>
                <w:position w:val="7"/>
                <w:sz w:val="13"/>
                <w:szCs w:val="13"/>
              </w:rPr>
              <w:t>2</w:t>
            </w:r>
          </w:p>
          <w:p w:rsidR="006175A6" w:rsidRDefault="009B4BA7">
            <w:pPr>
              <w:pStyle w:val="TableParagraph"/>
              <w:rPr>
                <w:rFonts w:ascii="Times New Roman"/>
                <w:sz w:val="21"/>
                <w:szCs w:val="21"/>
              </w:rPr>
            </w:pPr>
            <w:r>
              <w:rPr>
                <w:rFonts w:cs="Times New Roman" w:hint="eastAsia"/>
                <w:sz w:val="21"/>
                <w:szCs w:val="21"/>
              </w:rPr>
              <w:t>或长度</w:t>
            </w:r>
            <w:r>
              <w:rPr>
                <w:rFonts w:ascii="Times New Roman"/>
                <w:sz w:val="21"/>
                <w:szCs w:val="21"/>
              </w:rPr>
              <w:t>50km~100km</w:t>
            </w:r>
          </w:p>
        </w:tc>
        <w:tc>
          <w:tcPr>
            <w:tcW w:w="1106" w:type="pct"/>
            <w:vAlign w:val="center"/>
          </w:tcPr>
          <w:p w:rsidR="006175A6" w:rsidRDefault="009B4BA7">
            <w:pPr>
              <w:pStyle w:val="TableParagraph"/>
              <w:rPr>
                <w:rFonts w:ascii="Times New Roman" w:hAnsi="Times New Roman"/>
                <w:sz w:val="13"/>
                <w:szCs w:val="13"/>
              </w:rPr>
            </w:pPr>
            <w:r>
              <w:rPr>
                <w:rFonts w:cs="Times New Roman" w:hint="eastAsia"/>
                <w:sz w:val="21"/>
                <w:szCs w:val="21"/>
              </w:rPr>
              <w:t>面积</w:t>
            </w:r>
            <w:r>
              <w:rPr>
                <w:rFonts w:ascii="Times New Roman" w:hAnsi="Times New Roman"/>
                <w:sz w:val="21"/>
                <w:szCs w:val="21"/>
              </w:rPr>
              <w:t>≤2km</w:t>
            </w:r>
            <w:r>
              <w:rPr>
                <w:rFonts w:ascii="Times New Roman" w:hAnsi="Times New Roman"/>
                <w:position w:val="7"/>
                <w:sz w:val="13"/>
                <w:szCs w:val="13"/>
              </w:rPr>
              <w:t>2</w:t>
            </w:r>
          </w:p>
          <w:p w:rsidR="006175A6" w:rsidRDefault="009B4BA7">
            <w:pPr>
              <w:pStyle w:val="TableParagraph"/>
              <w:rPr>
                <w:rFonts w:ascii="Times New Roman" w:hAnsi="Times New Roman"/>
                <w:sz w:val="21"/>
                <w:szCs w:val="21"/>
              </w:rPr>
            </w:pPr>
            <w:r>
              <w:rPr>
                <w:rFonts w:cs="Times New Roman" w:hint="eastAsia"/>
                <w:sz w:val="21"/>
                <w:szCs w:val="21"/>
              </w:rPr>
              <w:t>或长度</w:t>
            </w:r>
            <w:r>
              <w:rPr>
                <w:rFonts w:ascii="Times New Roman" w:hAnsi="Times New Roman"/>
                <w:sz w:val="21"/>
                <w:szCs w:val="21"/>
              </w:rPr>
              <w:t>≤50km</w:t>
            </w:r>
          </w:p>
        </w:tc>
      </w:tr>
      <w:tr w:rsidR="006175A6">
        <w:trPr>
          <w:trHeight w:val="340"/>
        </w:trPr>
        <w:tc>
          <w:tcPr>
            <w:tcW w:w="1346" w:type="pct"/>
            <w:vAlign w:val="center"/>
          </w:tcPr>
          <w:p w:rsidR="006175A6" w:rsidRDefault="009B4BA7">
            <w:pPr>
              <w:pStyle w:val="TableParagraph"/>
              <w:rPr>
                <w:rFonts w:cs="Times New Roman"/>
                <w:sz w:val="21"/>
                <w:szCs w:val="21"/>
              </w:rPr>
            </w:pPr>
            <w:r>
              <w:rPr>
                <w:rFonts w:cs="Times New Roman" w:hint="eastAsia"/>
                <w:sz w:val="21"/>
                <w:szCs w:val="21"/>
              </w:rPr>
              <w:t>特殊生态敏感区</w:t>
            </w:r>
          </w:p>
        </w:tc>
        <w:tc>
          <w:tcPr>
            <w:tcW w:w="1137" w:type="pct"/>
            <w:vAlign w:val="center"/>
          </w:tcPr>
          <w:p w:rsidR="006175A6" w:rsidRDefault="009B4BA7">
            <w:pPr>
              <w:pStyle w:val="TableParagraph"/>
              <w:rPr>
                <w:rFonts w:cs="Times New Roman"/>
                <w:sz w:val="21"/>
                <w:szCs w:val="21"/>
              </w:rPr>
            </w:pPr>
            <w:r>
              <w:rPr>
                <w:rFonts w:cs="Times New Roman" w:hint="eastAsia"/>
                <w:sz w:val="21"/>
                <w:szCs w:val="21"/>
              </w:rPr>
              <w:t>一级</w:t>
            </w:r>
          </w:p>
        </w:tc>
        <w:tc>
          <w:tcPr>
            <w:tcW w:w="1411" w:type="pct"/>
            <w:vAlign w:val="center"/>
          </w:tcPr>
          <w:p w:rsidR="006175A6" w:rsidRDefault="009B4BA7">
            <w:pPr>
              <w:pStyle w:val="TableParagraph"/>
              <w:rPr>
                <w:rFonts w:cs="Times New Roman"/>
                <w:sz w:val="21"/>
                <w:szCs w:val="21"/>
              </w:rPr>
            </w:pPr>
            <w:r>
              <w:rPr>
                <w:rFonts w:cs="Times New Roman" w:hint="eastAsia"/>
                <w:sz w:val="21"/>
                <w:szCs w:val="21"/>
              </w:rPr>
              <w:t>一级</w:t>
            </w:r>
          </w:p>
        </w:tc>
        <w:tc>
          <w:tcPr>
            <w:tcW w:w="1106" w:type="pct"/>
            <w:vAlign w:val="center"/>
          </w:tcPr>
          <w:p w:rsidR="006175A6" w:rsidRDefault="009B4BA7">
            <w:pPr>
              <w:pStyle w:val="TableParagraph"/>
              <w:rPr>
                <w:rFonts w:cs="Times New Roman"/>
                <w:sz w:val="21"/>
                <w:szCs w:val="21"/>
              </w:rPr>
            </w:pPr>
            <w:r>
              <w:rPr>
                <w:rFonts w:cs="Times New Roman" w:hint="eastAsia"/>
                <w:sz w:val="21"/>
                <w:szCs w:val="21"/>
              </w:rPr>
              <w:t>一级</w:t>
            </w:r>
          </w:p>
        </w:tc>
      </w:tr>
      <w:tr w:rsidR="006175A6">
        <w:trPr>
          <w:trHeight w:val="340"/>
        </w:trPr>
        <w:tc>
          <w:tcPr>
            <w:tcW w:w="1346" w:type="pct"/>
            <w:vAlign w:val="center"/>
          </w:tcPr>
          <w:p w:rsidR="006175A6" w:rsidRDefault="009B4BA7">
            <w:pPr>
              <w:pStyle w:val="TableParagraph"/>
              <w:rPr>
                <w:rFonts w:cs="Times New Roman"/>
                <w:sz w:val="21"/>
                <w:szCs w:val="21"/>
              </w:rPr>
            </w:pPr>
            <w:r>
              <w:rPr>
                <w:rFonts w:cs="Times New Roman" w:hint="eastAsia"/>
                <w:sz w:val="21"/>
                <w:szCs w:val="21"/>
              </w:rPr>
              <w:t>重要生态敏感区</w:t>
            </w:r>
          </w:p>
        </w:tc>
        <w:tc>
          <w:tcPr>
            <w:tcW w:w="1137" w:type="pct"/>
            <w:vAlign w:val="center"/>
          </w:tcPr>
          <w:p w:rsidR="006175A6" w:rsidRDefault="009B4BA7">
            <w:pPr>
              <w:pStyle w:val="TableParagraph"/>
              <w:rPr>
                <w:rFonts w:cs="Times New Roman"/>
                <w:sz w:val="21"/>
                <w:szCs w:val="21"/>
              </w:rPr>
            </w:pPr>
            <w:r>
              <w:rPr>
                <w:rFonts w:cs="Times New Roman" w:hint="eastAsia"/>
                <w:sz w:val="21"/>
                <w:szCs w:val="21"/>
              </w:rPr>
              <w:t>一级</w:t>
            </w:r>
          </w:p>
        </w:tc>
        <w:tc>
          <w:tcPr>
            <w:tcW w:w="1411" w:type="pct"/>
            <w:vAlign w:val="center"/>
          </w:tcPr>
          <w:p w:rsidR="006175A6" w:rsidRDefault="009B4BA7">
            <w:pPr>
              <w:pStyle w:val="TableParagraph"/>
              <w:rPr>
                <w:rFonts w:cs="Times New Roman"/>
                <w:sz w:val="21"/>
                <w:szCs w:val="21"/>
              </w:rPr>
            </w:pPr>
            <w:r>
              <w:rPr>
                <w:rFonts w:cs="Times New Roman" w:hint="eastAsia"/>
                <w:sz w:val="21"/>
                <w:szCs w:val="21"/>
              </w:rPr>
              <w:t>二级</w:t>
            </w:r>
          </w:p>
        </w:tc>
        <w:tc>
          <w:tcPr>
            <w:tcW w:w="1106" w:type="pct"/>
            <w:vAlign w:val="center"/>
          </w:tcPr>
          <w:p w:rsidR="006175A6" w:rsidRDefault="009B4BA7">
            <w:pPr>
              <w:pStyle w:val="TableParagraph"/>
              <w:rPr>
                <w:rFonts w:cs="Times New Roman"/>
                <w:sz w:val="21"/>
                <w:szCs w:val="21"/>
              </w:rPr>
            </w:pPr>
            <w:r>
              <w:rPr>
                <w:rFonts w:cs="Times New Roman" w:hint="eastAsia"/>
                <w:sz w:val="21"/>
                <w:szCs w:val="21"/>
              </w:rPr>
              <w:t>三级</w:t>
            </w:r>
          </w:p>
        </w:tc>
      </w:tr>
      <w:tr w:rsidR="006175A6">
        <w:trPr>
          <w:trHeight w:val="340"/>
        </w:trPr>
        <w:tc>
          <w:tcPr>
            <w:tcW w:w="1346" w:type="pct"/>
            <w:vAlign w:val="center"/>
          </w:tcPr>
          <w:p w:rsidR="006175A6" w:rsidRDefault="009B4BA7">
            <w:pPr>
              <w:pStyle w:val="TableParagraph"/>
              <w:rPr>
                <w:rFonts w:cs="Times New Roman"/>
                <w:sz w:val="21"/>
                <w:szCs w:val="21"/>
              </w:rPr>
            </w:pPr>
            <w:r>
              <w:rPr>
                <w:rFonts w:cs="Times New Roman" w:hint="eastAsia"/>
                <w:sz w:val="21"/>
                <w:szCs w:val="21"/>
              </w:rPr>
              <w:t>一般区域</w:t>
            </w:r>
          </w:p>
        </w:tc>
        <w:tc>
          <w:tcPr>
            <w:tcW w:w="1137" w:type="pct"/>
            <w:vAlign w:val="center"/>
          </w:tcPr>
          <w:p w:rsidR="006175A6" w:rsidRDefault="009B4BA7">
            <w:pPr>
              <w:pStyle w:val="TableParagraph"/>
              <w:rPr>
                <w:rFonts w:cs="Times New Roman"/>
                <w:sz w:val="21"/>
                <w:szCs w:val="21"/>
              </w:rPr>
            </w:pPr>
            <w:r>
              <w:rPr>
                <w:rFonts w:cs="Times New Roman" w:hint="eastAsia"/>
                <w:sz w:val="21"/>
                <w:szCs w:val="21"/>
              </w:rPr>
              <w:t>二级</w:t>
            </w:r>
          </w:p>
        </w:tc>
        <w:tc>
          <w:tcPr>
            <w:tcW w:w="1411" w:type="pct"/>
            <w:vAlign w:val="center"/>
          </w:tcPr>
          <w:p w:rsidR="006175A6" w:rsidRDefault="009B4BA7">
            <w:pPr>
              <w:pStyle w:val="TableParagraph"/>
              <w:rPr>
                <w:rFonts w:cs="Times New Roman"/>
                <w:sz w:val="21"/>
                <w:szCs w:val="21"/>
              </w:rPr>
            </w:pPr>
            <w:r>
              <w:rPr>
                <w:rFonts w:cs="Times New Roman" w:hint="eastAsia"/>
                <w:sz w:val="21"/>
                <w:szCs w:val="21"/>
              </w:rPr>
              <w:t>三级</w:t>
            </w:r>
          </w:p>
        </w:tc>
        <w:tc>
          <w:tcPr>
            <w:tcW w:w="1106" w:type="pct"/>
            <w:vAlign w:val="center"/>
          </w:tcPr>
          <w:p w:rsidR="006175A6" w:rsidRDefault="009B4BA7">
            <w:pPr>
              <w:pStyle w:val="TableParagraph"/>
              <w:rPr>
                <w:rFonts w:cs="Times New Roman"/>
                <w:sz w:val="21"/>
                <w:szCs w:val="21"/>
              </w:rPr>
            </w:pPr>
            <w:r>
              <w:rPr>
                <w:rFonts w:cs="Times New Roman" w:hint="eastAsia"/>
                <w:sz w:val="21"/>
                <w:szCs w:val="21"/>
              </w:rPr>
              <w:t>三级</w:t>
            </w:r>
          </w:p>
        </w:tc>
      </w:tr>
    </w:tbl>
    <w:p w:rsidR="006175A6" w:rsidRDefault="009B4BA7">
      <w:pPr>
        <w:ind w:firstLine="480"/>
      </w:pPr>
      <w:r>
        <w:rPr>
          <w:rFonts w:hint="eastAsia"/>
        </w:rPr>
        <w:t>本项目大坝修建将导致水文情势改变，根据《环境影响评价技术导则</w:t>
      </w:r>
      <w:r>
        <w:rPr>
          <w:rFonts w:hint="eastAsia"/>
        </w:rPr>
        <w:t xml:space="preserve"> </w:t>
      </w:r>
      <w:r>
        <w:rPr>
          <w:rFonts w:hint="eastAsia"/>
        </w:rPr>
        <w:t>生态影响》（</w:t>
      </w:r>
      <w:r>
        <w:rPr>
          <w:rFonts w:hint="eastAsia"/>
        </w:rPr>
        <w:t>HJ19-2011</w:t>
      </w:r>
      <w:r>
        <w:rPr>
          <w:rFonts w:hint="eastAsia"/>
        </w:rPr>
        <w:t>），“拦河闸坝建设可能明显改变水文情势的情况下，评价工作等级应上调一级”的规定，确定本工程水生生态影响评价等级为二级。</w:t>
      </w:r>
    </w:p>
    <w:p w:rsidR="006175A6" w:rsidRDefault="009B4BA7">
      <w:pPr>
        <w:ind w:firstLine="480"/>
      </w:pPr>
      <w:r>
        <w:rPr>
          <w:rFonts w:hint="eastAsia"/>
        </w:rPr>
        <w:t>本工程生态环境评价范围为：</w:t>
      </w:r>
    </w:p>
    <w:p w:rsidR="006175A6" w:rsidRDefault="009B4BA7">
      <w:pPr>
        <w:ind w:firstLine="480"/>
      </w:pPr>
      <w:r>
        <w:rPr>
          <w:rFonts w:hint="eastAsia"/>
        </w:rPr>
        <w:t>陆生生态：坝址至库尾河段两侧一级分水岭区域、施工区、料场、弃渣场周边</w:t>
      </w:r>
      <w:r>
        <w:rPr>
          <w:rFonts w:hint="eastAsia"/>
        </w:rPr>
        <w:t>500m</w:t>
      </w:r>
      <w:r>
        <w:rPr>
          <w:rFonts w:hint="eastAsia"/>
        </w:rPr>
        <w:t>及引水管线两侧各</w:t>
      </w:r>
      <w:r>
        <w:rPr>
          <w:rFonts w:hint="eastAsia"/>
        </w:rPr>
        <w:t>500m</w:t>
      </w:r>
      <w:r>
        <w:rPr>
          <w:rFonts w:hint="eastAsia"/>
        </w:rPr>
        <w:t>内区域。</w:t>
      </w:r>
    </w:p>
    <w:p w:rsidR="006175A6" w:rsidRDefault="009B4BA7">
      <w:pPr>
        <w:ind w:firstLine="480"/>
      </w:pPr>
      <w:r>
        <w:rPr>
          <w:rFonts w:hint="eastAsia"/>
        </w:rPr>
        <w:t>水生生物：拟建坝址以上</w:t>
      </w:r>
      <w:r>
        <w:rPr>
          <w:rFonts w:hint="eastAsia"/>
        </w:rPr>
        <w:t>2.1km</w:t>
      </w:r>
      <w:r>
        <w:rPr>
          <w:rFonts w:hint="eastAsia"/>
        </w:rPr>
        <w:t>门家河回水河段及坝址至两河口电站</w:t>
      </w:r>
      <w:r>
        <w:rPr>
          <w:rFonts w:hint="eastAsia"/>
        </w:rPr>
        <w:t xml:space="preserve">5km </w:t>
      </w:r>
      <w:r>
        <w:rPr>
          <w:rFonts w:hint="eastAsia"/>
        </w:rPr>
        <w:t>的减水河段。</w:t>
      </w:r>
    </w:p>
    <w:p w:rsidR="006175A6" w:rsidRDefault="009B4BA7">
      <w:pPr>
        <w:pStyle w:val="2"/>
      </w:pPr>
      <w:bookmarkStart w:id="29" w:name="_Toc80170089"/>
      <w:r>
        <w:rPr>
          <w:rFonts w:hint="eastAsia"/>
        </w:rPr>
        <w:t>环境保护目标</w:t>
      </w:r>
      <w:bookmarkEnd w:id="29"/>
    </w:p>
    <w:p w:rsidR="006175A6" w:rsidRDefault="009B4BA7">
      <w:pPr>
        <w:pStyle w:val="3"/>
      </w:pPr>
      <w:r>
        <w:rPr>
          <w:rFonts w:hint="eastAsia"/>
        </w:rPr>
        <w:t>环境保护要求</w:t>
      </w:r>
    </w:p>
    <w:p w:rsidR="006175A6" w:rsidRDefault="009B4BA7">
      <w:pPr>
        <w:ind w:firstLine="480"/>
      </w:pPr>
      <w:r>
        <w:rPr>
          <w:rFonts w:hint="eastAsia"/>
        </w:rPr>
        <w:t>1</w:t>
      </w:r>
      <w:r>
        <w:rPr>
          <w:rFonts w:hint="eastAsia"/>
        </w:rPr>
        <w:t>、环境空气：保护目标为区域大气环境，建设项目所在地及周边空气质量应满足《环境空气质量标准》（</w:t>
      </w:r>
      <w:r>
        <w:rPr>
          <w:rFonts w:hint="eastAsia"/>
        </w:rPr>
        <w:t>GB3095-2012</w:t>
      </w:r>
      <w:r>
        <w:rPr>
          <w:rFonts w:hint="eastAsia"/>
        </w:rPr>
        <w:t>）二级标准要求。</w:t>
      </w:r>
    </w:p>
    <w:p w:rsidR="006175A6" w:rsidRDefault="009B4BA7">
      <w:pPr>
        <w:ind w:firstLine="480"/>
      </w:pPr>
      <w:r>
        <w:rPr>
          <w:rFonts w:hint="eastAsia"/>
        </w:rPr>
        <w:t>2</w:t>
      </w:r>
      <w:r>
        <w:rPr>
          <w:rFonts w:hint="eastAsia"/>
        </w:rPr>
        <w:t>、水环境：废水处理后全部利用、不外排，使本项目建设不影响门家河的水域功能，改善当地居民的安全饮水条件。</w:t>
      </w:r>
    </w:p>
    <w:p w:rsidR="006175A6" w:rsidRDefault="009B4BA7">
      <w:pPr>
        <w:ind w:firstLine="480"/>
      </w:pPr>
      <w:r>
        <w:rPr>
          <w:rFonts w:hint="eastAsia"/>
        </w:rPr>
        <w:lastRenderedPageBreak/>
        <w:t>3</w:t>
      </w:r>
      <w:r>
        <w:rPr>
          <w:rFonts w:hint="eastAsia"/>
        </w:rPr>
        <w:t>、声环境：工程施工场界产生的噪声控制在《建筑施工场界环境噪声排放标准》（</w:t>
      </w:r>
      <w:r>
        <w:rPr>
          <w:rFonts w:hint="eastAsia"/>
        </w:rPr>
        <w:t>GB12523-2011</w:t>
      </w:r>
      <w:r>
        <w:rPr>
          <w:rFonts w:hint="eastAsia"/>
        </w:rPr>
        <w:t>）规定的限值以内，各功能区声环境质量满足相应环境质量管理目标，运营期区域声环境质量执行《声环境质量标准》（</w:t>
      </w:r>
      <w:r>
        <w:rPr>
          <w:rFonts w:hint="eastAsia"/>
        </w:rPr>
        <w:t>GB3096-2008</w:t>
      </w:r>
      <w:r>
        <w:rPr>
          <w:rFonts w:hint="eastAsia"/>
        </w:rPr>
        <w:t>）</w:t>
      </w:r>
      <w:r>
        <w:rPr>
          <w:rFonts w:hint="eastAsia"/>
        </w:rPr>
        <w:t>1</w:t>
      </w:r>
      <w:r>
        <w:rPr>
          <w:rFonts w:hint="eastAsia"/>
        </w:rPr>
        <w:t>类标准。</w:t>
      </w:r>
    </w:p>
    <w:p w:rsidR="006175A6" w:rsidRDefault="009B4BA7">
      <w:pPr>
        <w:ind w:firstLine="480"/>
      </w:pPr>
      <w:r>
        <w:rPr>
          <w:rFonts w:hint="eastAsia"/>
        </w:rPr>
        <w:t>4</w:t>
      </w:r>
      <w:r>
        <w:rPr>
          <w:rFonts w:hint="eastAsia"/>
        </w:rPr>
        <w:t>、固体废物：施工中应采取保护措施，防止河道疏浚底泥、施工产生的建筑垃圾和生活垃圾等固体废弃物对周围环境造成污染。</w:t>
      </w:r>
    </w:p>
    <w:p w:rsidR="006175A6" w:rsidRDefault="009B4BA7">
      <w:pPr>
        <w:ind w:firstLine="480"/>
      </w:pPr>
      <w:r>
        <w:rPr>
          <w:rFonts w:hint="eastAsia"/>
        </w:rPr>
        <w:t>5</w:t>
      </w:r>
      <w:r>
        <w:rPr>
          <w:rFonts w:hint="eastAsia"/>
        </w:rPr>
        <w:t>、生态环境</w:t>
      </w:r>
    </w:p>
    <w:p w:rsidR="006175A6" w:rsidRDefault="009B4BA7">
      <w:pPr>
        <w:ind w:firstLine="480"/>
      </w:pPr>
      <w:r>
        <w:rPr>
          <w:rFonts w:hint="eastAsia"/>
        </w:rPr>
        <w:t>（</w:t>
      </w:r>
      <w:r>
        <w:rPr>
          <w:rFonts w:hint="eastAsia"/>
        </w:rPr>
        <w:t>1</w:t>
      </w:r>
      <w:r>
        <w:rPr>
          <w:rFonts w:hint="eastAsia"/>
        </w:rPr>
        <w:t>）维护工程影响区生态完整性、生物多样性，使其损失控制在生态承载力阈值之内；</w:t>
      </w:r>
    </w:p>
    <w:p w:rsidR="006175A6" w:rsidRDefault="009B4BA7">
      <w:pPr>
        <w:ind w:firstLine="480"/>
      </w:pPr>
      <w:r>
        <w:rPr>
          <w:rFonts w:hint="eastAsia"/>
        </w:rPr>
        <w:t>（</w:t>
      </w:r>
      <w:r>
        <w:rPr>
          <w:rFonts w:hint="eastAsia"/>
        </w:rPr>
        <w:t>2</w:t>
      </w:r>
      <w:r>
        <w:rPr>
          <w:rFonts w:hint="eastAsia"/>
        </w:rPr>
        <w:t>）减缓由于水体环境（水质、水温、水位、流量、泥沙等）改变对水生生物的不利影响；</w:t>
      </w:r>
    </w:p>
    <w:p w:rsidR="006175A6" w:rsidRDefault="009B4BA7">
      <w:pPr>
        <w:ind w:firstLine="480"/>
      </w:pPr>
      <w:r>
        <w:rPr>
          <w:rFonts w:hint="eastAsia"/>
        </w:rPr>
        <w:t>（</w:t>
      </w:r>
      <w:r>
        <w:rPr>
          <w:rFonts w:hint="eastAsia"/>
        </w:rPr>
        <w:t>3</w:t>
      </w:r>
      <w:r>
        <w:rPr>
          <w:rFonts w:hint="eastAsia"/>
        </w:rPr>
        <w:t>）减缓由于工程施工、土石方开挖及弃渣堆放等活动造成对陆生生物生境的占用和破坏；</w:t>
      </w:r>
    </w:p>
    <w:p w:rsidR="006175A6" w:rsidRDefault="009B4BA7">
      <w:pPr>
        <w:ind w:firstLine="480"/>
      </w:pPr>
      <w:r>
        <w:rPr>
          <w:rFonts w:hint="eastAsia"/>
        </w:rPr>
        <w:t>（</w:t>
      </w:r>
      <w:r>
        <w:rPr>
          <w:rFonts w:hint="eastAsia"/>
        </w:rPr>
        <w:t>4</w:t>
      </w:r>
      <w:r>
        <w:rPr>
          <w:rFonts w:hint="eastAsia"/>
        </w:rPr>
        <w:t>）减少弃渣对农田、林地的影响；</w:t>
      </w:r>
    </w:p>
    <w:p w:rsidR="006175A6" w:rsidRDefault="009B4BA7">
      <w:pPr>
        <w:ind w:firstLine="480"/>
      </w:pPr>
      <w:r>
        <w:rPr>
          <w:rFonts w:hint="eastAsia"/>
        </w:rPr>
        <w:t>（</w:t>
      </w:r>
      <w:r>
        <w:rPr>
          <w:rFonts w:hint="eastAsia"/>
        </w:rPr>
        <w:t>5</w:t>
      </w:r>
      <w:r>
        <w:rPr>
          <w:rFonts w:hint="eastAsia"/>
        </w:rPr>
        <w:t>）使新增的水土流失可以得到有效控制；</w:t>
      </w:r>
    </w:p>
    <w:p w:rsidR="006175A6" w:rsidRDefault="009B4BA7">
      <w:pPr>
        <w:ind w:firstLine="480"/>
      </w:pPr>
      <w:r>
        <w:rPr>
          <w:rFonts w:hint="eastAsia"/>
        </w:rPr>
        <w:t>（</w:t>
      </w:r>
      <w:r>
        <w:rPr>
          <w:rFonts w:hint="eastAsia"/>
        </w:rPr>
        <w:t>6</w:t>
      </w:r>
      <w:r>
        <w:rPr>
          <w:rFonts w:hint="eastAsia"/>
        </w:rPr>
        <w:t>）下泄生态流量减缓大坝建设对下游水生生物的不利影响；</w:t>
      </w:r>
    </w:p>
    <w:p w:rsidR="006175A6" w:rsidRDefault="009B4BA7">
      <w:pPr>
        <w:ind w:firstLine="480"/>
      </w:pPr>
      <w:r>
        <w:rPr>
          <w:rFonts w:hint="eastAsia"/>
        </w:rPr>
        <w:t>（</w:t>
      </w:r>
      <w:r>
        <w:rPr>
          <w:rFonts w:hint="eastAsia"/>
        </w:rPr>
        <w:t>7</w:t>
      </w:r>
      <w:r>
        <w:rPr>
          <w:rFonts w:hint="eastAsia"/>
        </w:rPr>
        <w:t>）缓解项目运营期岸边消落带的生态破坏和景观影响。</w:t>
      </w:r>
    </w:p>
    <w:p w:rsidR="006175A6" w:rsidRDefault="009B4BA7">
      <w:pPr>
        <w:ind w:firstLine="480"/>
      </w:pPr>
      <w:r>
        <w:rPr>
          <w:rFonts w:hint="eastAsia"/>
        </w:rPr>
        <w:t>6</w:t>
      </w:r>
      <w:r>
        <w:rPr>
          <w:rFonts w:hint="eastAsia"/>
        </w:rPr>
        <w:t>、土地资源</w:t>
      </w:r>
    </w:p>
    <w:p w:rsidR="006175A6" w:rsidRDefault="009B4BA7">
      <w:pPr>
        <w:ind w:firstLine="480"/>
      </w:pPr>
      <w:r>
        <w:rPr>
          <w:rFonts w:hint="eastAsia"/>
        </w:rPr>
        <w:t>按照国家有关法律、法规和政策要求保护受工程影响的土地资源，工程应节约土地资源，尽量少占地，临时占地应尽快恢复利用。</w:t>
      </w:r>
    </w:p>
    <w:p w:rsidR="006175A6" w:rsidRDefault="009B4BA7">
      <w:pPr>
        <w:ind w:firstLine="480"/>
      </w:pPr>
      <w:r>
        <w:rPr>
          <w:rFonts w:hint="eastAsia"/>
        </w:rPr>
        <w:t>7</w:t>
      </w:r>
      <w:r>
        <w:rPr>
          <w:rFonts w:hint="eastAsia"/>
        </w:rPr>
        <w:t>、水土流失</w:t>
      </w:r>
    </w:p>
    <w:p w:rsidR="006175A6" w:rsidRDefault="009B4BA7">
      <w:pPr>
        <w:ind w:firstLine="480"/>
      </w:pPr>
      <w:r>
        <w:rPr>
          <w:rFonts w:hint="eastAsia"/>
        </w:rPr>
        <w:t>因地制宜采取水土流失防治措施，控制工程建设过程中可能造成的新的水土流失，恢复和保护原有水土保持设施。</w:t>
      </w:r>
    </w:p>
    <w:p w:rsidR="006175A6" w:rsidRDefault="009B4BA7">
      <w:pPr>
        <w:ind w:firstLine="480"/>
      </w:pPr>
      <w:r>
        <w:rPr>
          <w:rFonts w:hint="eastAsia"/>
        </w:rPr>
        <w:t>8</w:t>
      </w:r>
      <w:r>
        <w:rPr>
          <w:rFonts w:hint="eastAsia"/>
        </w:rPr>
        <w:t>、移民安置</w:t>
      </w:r>
    </w:p>
    <w:p w:rsidR="006175A6" w:rsidRDefault="009B4BA7">
      <w:pPr>
        <w:ind w:firstLine="480"/>
      </w:pPr>
      <w:r>
        <w:rPr>
          <w:rFonts w:hint="eastAsia"/>
        </w:rPr>
        <w:t>确保移民和安置点原有居民的生产生活条件不因工程建设而下降，保障移民安置点的环境质量满足有关标准要求。</w:t>
      </w:r>
    </w:p>
    <w:p w:rsidR="006175A6" w:rsidRDefault="009B4BA7">
      <w:pPr>
        <w:ind w:firstLine="480"/>
      </w:pPr>
      <w:r>
        <w:rPr>
          <w:rFonts w:hint="eastAsia"/>
        </w:rPr>
        <w:t>9</w:t>
      </w:r>
      <w:r>
        <w:rPr>
          <w:rFonts w:hint="eastAsia"/>
        </w:rPr>
        <w:t>、人群健康</w:t>
      </w:r>
    </w:p>
    <w:p w:rsidR="006175A6" w:rsidRDefault="009B4BA7">
      <w:pPr>
        <w:ind w:firstLine="480"/>
      </w:pPr>
      <w:r>
        <w:rPr>
          <w:rFonts w:hint="eastAsia"/>
        </w:rPr>
        <w:t>重视施工区和移民安置区环境卫生，保护施工人员、移民以及安置区居民人群健康，防止施工期间传染病的暴发流行。</w:t>
      </w:r>
    </w:p>
    <w:p w:rsidR="006175A6" w:rsidRDefault="009B4BA7">
      <w:pPr>
        <w:pStyle w:val="3"/>
      </w:pPr>
      <w:r>
        <w:rPr>
          <w:rFonts w:hint="eastAsia"/>
        </w:rPr>
        <w:lastRenderedPageBreak/>
        <w:t>环境保护目标</w:t>
      </w:r>
    </w:p>
    <w:p w:rsidR="006175A6" w:rsidRDefault="00B94B5D">
      <w:pPr>
        <w:ind w:firstLine="480"/>
      </w:pPr>
      <w:r w:rsidRPr="00B94B5D">
        <w:rPr>
          <w:rFonts w:hint="eastAsia"/>
        </w:rPr>
        <w:t>根据工程特点和</w:t>
      </w:r>
      <w:r>
        <w:rPr>
          <w:rFonts w:hint="eastAsia"/>
        </w:rPr>
        <w:t>影响区环境特征，确定该项目主要控制破坏和保护生态环境的目标列于下表：</w:t>
      </w:r>
    </w:p>
    <w:p w:rsidR="00B94B5D" w:rsidRDefault="00B94B5D" w:rsidP="00B94B5D">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2.7</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sidRPr="00B94B5D">
        <w:rPr>
          <w:rFonts w:hint="eastAsia"/>
        </w:rPr>
        <w:t>控制破坏与保护生态环境目标</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3473"/>
        <w:gridCol w:w="3556"/>
      </w:tblGrid>
      <w:tr w:rsidR="00B94B5D" w:rsidRPr="00F663EA" w:rsidTr="00B94B5D">
        <w:trPr>
          <w:trHeight w:val="368"/>
        </w:trPr>
        <w:tc>
          <w:tcPr>
            <w:tcW w:w="774" w:type="pct"/>
            <w:vAlign w:val="center"/>
            <w:hideMark/>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保护目标</w:t>
            </w: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重点对象</w:t>
            </w: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说明</w:t>
            </w:r>
          </w:p>
        </w:tc>
      </w:tr>
      <w:tr w:rsidR="00B94B5D" w:rsidRPr="00F663EA" w:rsidTr="00B94B5D">
        <w:trPr>
          <w:trHeight w:val="951"/>
        </w:trPr>
        <w:tc>
          <w:tcPr>
            <w:tcW w:w="774" w:type="pct"/>
            <w:vMerge w:val="restart"/>
            <w:vAlign w:val="center"/>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生物资源</w:t>
            </w:r>
          </w:p>
        </w:tc>
        <w:tc>
          <w:tcPr>
            <w:tcW w:w="2088" w:type="pct"/>
            <w:vAlign w:val="center"/>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湖北省重点保护野生动物</w:t>
            </w:r>
            <w:r w:rsidRPr="00F663EA">
              <w:rPr>
                <w:rFonts w:ascii="Times New Roman" w:hAnsi="Times New Roman" w:cs="Times New Roman"/>
                <w:sz w:val="21"/>
                <w:szCs w:val="21"/>
                <w:lang w:eastAsia="zh-CN"/>
              </w:rPr>
              <w:t>19</w:t>
            </w:r>
            <w:r w:rsidRPr="00F663EA">
              <w:rPr>
                <w:rFonts w:ascii="Times New Roman" w:hAnsi="Times New Roman" w:cs="Times New Roman"/>
                <w:sz w:val="21"/>
                <w:szCs w:val="21"/>
                <w:lang w:eastAsia="zh-CN"/>
              </w:rPr>
              <w:t>种</w:t>
            </w: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pacing w:val="-5"/>
                <w:sz w:val="21"/>
                <w:szCs w:val="21"/>
                <w:lang w:eastAsia="zh-CN"/>
              </w:rPr>
              <w:t>采取生态恢复和补偿措施，使工程影</w:t>
            </w:r>
          </w:p>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pacing w:val="-6"/>
                <w:sz w:val="21"/>
                <w:szCs w:val="21"/>
                <w:lang w:eastAsia="zh-CN"/>
              </w:rPr>
              <w:t>响区的森林覆盖率不低于现状水平或有所增加，不影响保护物种的栖息地</w:t>
            </w:r>
          </w:p>
        </w:tc>
      </w:tr>
      <w:tr w:rsidR="00B94B5D" w:rsidRPr="00F663EA" w:rsidTr="00B94B5D">
        <w:trPr>
          <w:trHeight w:val="950"/>
        </w:trPr>
        <w:tc>
          <w:tcPr>
            <w:tcW w:w="774" w:type="pct"/>
            <w:vMerge/>
            <w:vAlign w:val="center"/>
            <w:hideMark/>
          </w:tcPr>
          <w:p w:rsidR="00B94B5D" w:rsidRPr="00F663EA" w:rsidRDefault="00B94B5D" w:rsidP="00F663EA">
            <w:pPr>
              <w:widowControl/>
              <w:autoSpaceDE/>
              <w:autoSpaceDN/>
              <w:spacing w:line="240" w:lineRule="auto"/>
              <w:ind w:firstLineChars="0" w:firstLine="0"/>
              <w:jc w:val="center"/>
              <w:rPr>
                <w:sz w:val="21"/>
                <w:lang w:eastAsia="zh-CN"/>
              </w:rPr>
            </w:pP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拟建坝址以上</w:t>
            </w:r>
            <w:r w:rsidRPr="00F663EA">
              <w:rPr>
                <w:rFonts w:ascii="Times New Roman" w:hAnsi="Times New Roman" w:cs="Times New Roman"/>
                <w:sz w:val="21"/>
                <w:szCs w:val="21"/>
                <w:lang w:eastAsia="zh-CN"/>
              </w:rPr>
              <w:t>2.1km</w:t>
            </w:r>
            <w:r w:rsidRPr="00F663EA">
              <w:rPr>
                <w:rFonts w:ascii="Times New Roman" w:hAnsi="Times New Roman" w:cs="Times New Roman"/>
                <w:sz w:val="21"/>
                <w:szCs w:val="21"/>
                <w:lang w:eastAsia="zh-CN"/>
              </w:rPr>
              <w:t>门家河回水河段及坝址至下游门家河电站</w:t>
            </w:r>
            <w:r w:rsidRPr="00F663EA">
              <w:rPr>
                <w:rFonts w:ascii="Times New Roman" w:hAnsi="Times New Roman" w:cs="Times New Roman"/>
                <w:sz w:val="21"/>
                <w:szCs w:val="21"/>
                <w:lang w:eastAsia="zh-CN"/>
              </w:rPr>
              <w:t>5km</w:t>
            </w:r>
            <w:r w:rsidRPr="00F663EA">
              <w:rPr>
                <w:rFonts w:ascii="Times New Roman" w:hAnsi="Times New Roman" w:cs="Times New Roman"/>
                <w:sz w:val="21"/>
                <w:szCs w:val="21"/>
                <w:lang w:eastAsia="zh-CN"/>
              </w:rPr>
              <w:t>的减水河段</w:t>
            </w:r>
          </w:p>
        </w:tc>
        <w:tc>
          <w:tcPr>
            <w:tcW w:w="2138" w:type="pct"/>
            <w:vAlign w:val="center"/>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确保生态用水，保护水生生态系统</w:t>
            </w:r>
          </w:p>
        </w:tc>
      </w:tr>
      <w:tr w:rsidR="00B94B5D" w:rsidRPr="00F663EA" w:rsidTr="00B94B5D">
        <w:trPr>
          <w:trHeight w:val="633"/>
        </w:trPr>
        <w:tc>
          <w:tcPr>
            <w:tcW w:w="774" w:type="pct"/>
            <w:vMerge/>
            <w:vAlign w:val="center"/>
            <w:hideMark/>
          </w:tcPr>
          <w:p w:rsidR="00B94B5D" w:rsidRPr="00F663EA" w:rsidRDefault="00B94B5D" w:rsidP="00F663EA">
            <w:pPr>
              <w:widowControl/>
              <w:autoSpaceDE/>
              <w:autoSpaceDN/>
              <w:spacing w:line="240" w:lineRule="auto"/>
              <w:ind w:firstLineChars="0" w:firstLine="0"/>
              <w:jc w:val="center"/>
              <w:rPr>
                <w:sz w:val="21"/>
                <w:lang w:eastAsia="zh-CN"/>
              </w:rPr>
            </w:pP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工程主体施工区及淹没区林地</w:t>
            </w: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尽可能的少占用林地，采取生态恢复</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和补偿措施</w:t>
            </w:r>
          </w:p>
        </w:tc>
      </w:tr>
      <w:tr w:rsidR="00B94B5D" w:rsidRPr="00F663EA" w:rsidTr="00B94B5D">
        <w:trPr>
          <w:trHeight w:val="1585"/>
        </w:trPr>
        <w:tc>
          <w:tcPr>
            <w:tcW w:w="774" w:type="pct"/>
            <w:vAlign w:val="center"/>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土地资源</w:t>
            </w: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pacing w:val="-10"/>
                <w:kern w:val="2"/>
                <w:sz w:val="21"/>
                <w:szCs w:val="21"/>
              </w:rPr>
              <w:t>工程永久占地约</w:t>
            </w:r>
            <w:r w:rsidRPr="00F663EA">
              <w:rPr>
                <w:rFonts w:ascii="Times New Roman" w:hAnsi="Times New Roman" w:cs="Times New Roman"/>
                <w:spacing w:val="-10"/>
                <w:kern w:val="2"/>
                <w:sz w:val="21"/>
                <w:szCs w:val="21"/>
              </w:rPr>
              <w:t>38.13hm</w:t>
            </w:r>
            <w:r w:rsidRPr="00F663EA">
              <w:rPr>
                <w:rFonts w:ascii="Times New Roman" w:hAnsi="Times New Roman" w:cs="Times New Roman"/>
                <w:spacing w:val="-10"/>
                <w:kern w:val="2"/>
                <w:sz w:val="21"/>
                <w:szCs w:val="21"/>
                <w:vertAlign w:val="superscript"/>
              </w:rPr>
              <w:t>2</w:t>
            </w:r>
            <w:r w:rsidRPr="00F663EA">
              <w:rPr>
                <w:rFonts w:ascii="Times New Roman" w:hAnsi="Times New Roman" w:cs="Times New Roman"/>
                <w:spacing w:val="-10"/>
                <w:kern w:val="2"/>
                <w:sz w:val="21"/>
                <w:szCs w:val="21"/>
              </w:rPr>
              <w:t>。淹没占地中其中林地</w:t>
            </w:r>
            <w:r w:rsidRPr="00F663EA">
              <w:rPr>
                <w:rFonts w:ascii="Times New Roman" w:hAnsi="Times New Roman" w:cs="Times New Roman"/>
                <w:spacing w:val="-10"/>
                <w:kern w:val="2"/>
                <w:sz w:val="21"/>
                <w:szCs w:val="21"/>
              </w:rPr>
              <w:t>4.04hm</w:t>
            </w:r>
            <w:r w:rsidRPr="00F663EA">
              <w:rPr>
                <w:rFonts w:ascii="Times New Roman" w:hAnsi="Times New Roman" w:cs="Times New Roman"/>
                <w:spacing w:val="-10"/>
                <w:kern w:val="2"/>
                <w:sz w:val="21"/>
                <w:szCs w:val="21"/>
                <w:vertAlign w:val="superscript"/>
              </w:rPr>
              <w:t>2</w:t>
            </w:r>
            <w:r w:rsidRPr="00F663EA">
              <w:rPr>
                <w:rFonts w:ascii="Times New Roman" w:hAnsi="Times New Roman" w:cs="Times New Roman"/>
                <w:spacing w:val="-10"/>
                <w:kern w:val="2"/>
                <w:sz w:val="21"/>
                <w:szCs w:val="21"/>
              </w:rPr>
              <w:t>，园地</w:t>
            </w:r>
            <w:r w:rsidRPr="00F663EA">
              <w:rPr>
                <w:rFonts w:ascii="Times New Roman" w:hAnsi="Times New Roman" w:cs="Times New Roman"/>
                <w:spacing w:val="-10"/>
                <w:kern w:val="2"/>
                <w:sz w:val="21"/>
                <w:szCs w:val="21"/>
              </w:rPr>
              <w:t>19.2hm</w:t>
            </w:r>
            <w:r w:rsidRPr="00F663EA">
              <w:rPr>
                <w:rFonts w:ascii="Times New Roman" w:hAnsi="Times New Roman" w:cs="Times New Roman"/>
                <w:spacing w:val="-10"/>
                <w:kern w:val="2"/>
                <w:sz w:val="21"/>
                <w:szCs w:val="21"/>
                <w:vertAlign w:val="superscript"/>
              </w:rPr>
              <w:t>2</w:t>
            </w:r>
            <w:r w:rsidRPr="00F663EA">
              <w:rPr>
                <w:rFonts w:ascii="Times New Roman" w:hAnsi="Times New Roman" w:cs="Times New Roman"/>
                <w:spacing w:val="-10"/>
                <w:kern w:val="2"/>
                <w:sz w:val="21"/>
                <w:szCs w:val="21"/>
              </w:rPr>
              <w:t>，水域及河滩地</w:t>
            </w:r>
            <w:r w:rsidRPr="00F663EA">
              <w:rPr>
                <w:rFonts w:ascii="Times New Roman" w:hAnsi="Times New Roman" w:cs="Times New Roman"/>
                <w:spacing w:val="-10"/>
                <w:kern w:val="2"/>
                <w:sz w:val="21"/>
                <w:szCs w:val="21"/>
              </w:rPr>
              <w:t>14.07hm</w:t>
            </w:r>
            <w:r w:rsidRPr="00F663EA">
              <w:rPr>
                <w:rFonts w:ascii="Times New Roman" w:hAnsi="Times New Roman" w:cs="Times New Roman"/>
                <w:spacing w:val="-10"/>
                <w:kern w:val="2"/>
                <w:sz w:val="21"/>
                <w:szCs w:val="21"/>
                <w:vertAlign w:val="superscript"/>
              </w:rPr>
              <w:t>2</w:t>
            </w:r>
            <w:r w:rsidRPr="00F663EA">
              <w:rPr>
                <w:rFonts w:ascii="Times New Roman" w:hAnsi="Times New Roman" w:cs="Times New Roman"/>
                <w:spacing w:val="-10"/>
                <w:kern w:val="2"/>
                <w:sz w:val="21"/>
                <w:szCs w:val="21"/>
              </w:rPr>
              <w:t>，住宅用地</w:t>
            </w:r>
            <w:r w:rsidRPr="00F663EA">
              <w:rPr>
                <w:rFonts w:ascii="Times New Roman" w:hAnsi="Times New Roman" w:cs="Times New Roman"/>
                <w:spacing w:val="-10"/>
                <w:kern w:val="2"/>
                <w:sz w:val="21"/>
                <w:szCs w:val="21"/>
              </w:rPr>
              <w:t>1.28hm</w:t>
            </w:r>
            <w:r w:rsidRPr="00F663EA">
              <w:rPr>
                <w:rFonts w:ascii="Times New Roman" w:hAnsi="Times New Roman" w:cs="Times New Roman"/>
                <w:spacing w:val="-10"/>
                <w:kern w:val="2"/>
                <w:sz w:val="21"/>
                <w:szCs w:val="21"/>
                <w:vertAlign w:val="superscript"/>
              </w:rPr>
              <w:t>2</w:t>
            </w:r>
            <w:r w:rsidRPr="00F663EA">
              <w:rPr>
                <w:rFonts w:ascii="Times New Roman" w:hAnsi="Times New Roman" w:cs="Times New Roman"/>
                <w:spacing w:val="-10"/>
                <w:kern w:val="2"/>
                <w:sz w:val="21"/>
                <w:szCs w:val="21"/>
              </w:rPr>
              <w:t>，交通设施用地</w:t>
            </w:r>
            <w:r w:rsidRPr="00F663EA">
              <w:rPr>
                <w:rFonts w:ascii="Times New Roman" w:hAnsi="Times New Roman" w:cs="Times New Roman"/>
                <w:spacing w:val="-10"/>
                <w:kern w:val="2"/>
                <w:sz w:val="21"/>
                <w:szCs w:val="21"/>
              </w:rPr>
              <w:t>0.82hm</w:t>
            </w:r>
            <w:r w:rsidRPr="00F663EA">
              <w:rPr>
                <w:rFonts w:ascii="Times New Roman" w:hAnsi="Times New Roman" w:cs="Times New Roman"/>
                <w:spacing w:val="-10"/>
                <w:kern w:val="2"/>
                <w:sz w:val="21"/>
                <w:szCs w:val="21"/>
                <w:vertAlign w:val="superscript"/>
              </w:rPr>
              <w:t>2</w:t>
            </w:r>
          </w:p>
        </w:tc>
        <w:tc>
          <w:tcPr>
            <w:tcW w:w="2138" w:type="pct"/>
            <w:vAlign w:val="center"/>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除工程永久性占地外，应合理调配施工临时性用地，尽可能少占用林地，</w:t>
            </w:r>
            <w:r w:rsidRPr="00F663EA">
              <w:rPr>
                <w:rFonts w:ascii="Times New Roman" w:hAnsi="Times New Roman" w:cs="Times New Roman"/>
                <w:sz w:val="21"/>
                <w:szCs w:val="21"/>
                <w:lang w:eastAsia="zh-CN"/>
              </w:rPr>
              <w:t xml:space="preserve"> </w:t>
            </w:r>
            <w:r w:rsidRPr="00F663EA">
              <w:rPr>
                <w:rFonts w:ascii="Times New Roman" w:hAnsi="Times New Roman" w:cs="Times New Roman"/>
                <w:sz w:val="21"/>
                <w:szCs w:val="21"/>
                <w:lang w:eastAsia="zh-CN"/>
              </w:rPr>
              <w:t>采取生态恢复和补偿措施</w:t>
            </w:r>
          </w:p>
        </w:tc>
      </w:tr>
      <w:tr w:rsidR="00B94B5D" w:rsidRPr="00F663EA" w:rsidTr="00B94B5D">
        <w:trPr>
          <w:trHeight w:val="1268"/>
        </w:trPr>
        <w:tc>
          <w:tcPr>
            <w:tcW w:w="774" w:type="pct"/>
            <w:vAlign w:val="center"/>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地表水环境</w:t>
            </w: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拟建坝址以上</w:t>
            </w:r>
            <w:r w:rsidRPr="00F663EA">
              <w:rPr>
                <w:rFonts w:ascii="Times New Roman" w:hAnsi="Times New Roman" w:cs="Times New Roman"/>
                <w:sz w:val="21"/>
                <w:szCs w:val="21"/>
                <w:lang w:eastAsia="zh-CN"/>
              </w:rPr>
              <w:t>2.1km</w:t>
            </w:r>
            <w:r w:rsidRPr="00F663EA">
              <w:rPr>
                <w:rFonts w:ascii="Times New Roman" w:hAnsi="Times New Roman" w:cs="Times New Roman"/>
                <w:sz w:val="21"/>
                <w:szCs w:val="21"/>
                <w:lang w:eastAsia="zh-CN"/>
              </w:rPr>
              <w:t>门家河回水河段及坝址至下游门家河电站</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lang w:eastAsia="zh-CN"/>
              </w:rPr>
              <w:t>5</w:t>
            </w:r>
            <w:r w:rsidRPr="00F663EA">
              <w:rPr>
                <w:rFonts w:ascii="Times New Roman" w:hAnsi="Times New Roman" w:cs="Times New Roman"/>
                <w:sz w:val="21"/>
                <w:szCs w:val="21"/>
              </w:rPr>
              <w:t>km</w:t>
            </w:r>
            <w:r w:rsidRPr="00F663EA">
              <w:rPr>
                <w:rFonts w:ascii="Times New Roman" w:hAnsi="Times New Roman" w:cs="Times New Roman"/>
                <w:sz w:val="21"/>
                <w:szCs w:val="21"/>
              </w:rPr>
              <w:t>的减水河段</w:t>
            </w:r>
          </w:p>
        </w:tc>
        <w:tc>
          <w:tcPr>
            <w:tcW w:w="2138" w:type="pct"/>
            <w:vAlign w:val="center"/>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pacing w:val="-10"/>
                <w:sz w:val="21"/>
                <w:szCs w:val="21"/>
                <w:lang w:eastAsia="zh-CN"/>
              </w:rPr>
              <w:t>保持或优于</w:t>
            </w:r>
            <w:r w:rsidRPr="00F663EA">
              <w:rPr>
                <w:rFonts w:ascii="Times New Roman" w:hAnsi="Times New Roman" w:cs="Times New Roman"/>
                <w:spacing w:val="-10"/>
                <w:sz w:val="21"/>
                <w:szCs w:val="21"/>
                <w:lang w:eastAsia="zh-CN"/>
              </w:rPr>
              <w:t xml:space="preserve"> </w:t>
            </w:r>
            <w:r w:rsidRPr="00F663EA">
              <w:rPr>
                <w:rFonts w:ascii="Times New Roman" w:hAnsi="Times New Roman" w:cs="Times New Roman"/>
                <w:spacing w:val="-3"/>
                <w:sz w:val="21"/>
                <w:szCs w:val="21"/>
                <w:lang w:eastAsia="zh-CN"/>
              </w:rPr>
              <w:t xml:space="preserve">III </w:t>
            </w:r>
            <w:r w:rsidRPr="00F663EA">
              <w:rPr>
                <w:rFonts w:ascii="Times New Roman" w:hAnsi="Times New Roman" w:cs="Times New Roman"/>
                <w:spacing w:val="-9"/>
                <w:sz w:val="21"/>
                <w:szCs w:val="21"/>
                <w:lang w:eastAsia="zh-CN"/>
              </w:rPr>
              <w:t>类水质，保障坝下最小</w:t>
            </w:r>
            <w:r w:rsidRPr="00F663EA">
              <w:rPr>
                <w:rFonts w:ascii="Times New Roman" w:hAnsi="Times New Roman" w:cs="Times New Roman"/>
                <w:spacing w:val="-2"/>
                <w:sz w:val="21"/>
                <w:szCs w:val="21"/>
                <w:lang w:eastAsia="zh-CN"/>
              </w:rPr>
              <w:t>生态需水量</w:t>
            </w:r>
          </w:p>
        </w:tc>
      </w:tr>
      <w:tr w:rsidR="00B94B5D" w:rsidRPr="00F663EA" w:rsidTr="00B94B5D">
        <w:trPr>
          <w:trHeight w:val="633"/>
        </w:trPr>
        <w:tc>
          <w:tcPr>
            <w:tcW w:w="774" w:type="pct"/>
            <w:vAlign w:val="center"/>
            <w:hideMark/>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声环境及大</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气环境</w:t>
            </w:r>
          </w:p>
        </w:tc>
        <w:tc>
          <w:tcPr>
            <w:tcW w:w="2088" w:type="pct"/>
            <w:vMerge w:val="restart"/>
            <w:vAlign w:val="center"/>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水库坝址施工区及输水管线沿线</w:t>
            </w:r>
            <w:r w:rsidR="00F663EA" w:rsidRPr="00F663EA">
              <w:rPr>
                <w:rFonts w:ascii="Times New Roman" w:hAnsi="Times New Roman" w:cs="Times New Roman"/>
                <w:sz w:val="21"/>
                <w:szCs w:val="21"/>
                <w:lang w:eastAsia="zh-CN"/>
              </w:rPr>
              <w:t>敏感目标</w:t>
            </w: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采取合理的措施减轻噪声和废气对居</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民和施工人员的影响</w:t>
            </w:r>
          </w:p>
        </w:tc>
      </w:tr>
      <w:tr w:rsidR="00B94B5D" w:rsidRPr="00F663EA" w:rsidTr="00B94B5D">
        <w:trPr>
          <w:trHeight w:val="951"/>
        </w:trPr>
        <w:tc>
          <w:tcPr>
            <w:tcW w:w="774" w:type="pct"/>
            <w:vAlign w:val="center"/>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生活质量</w:t>
            </w:r>
          </w:p>
        </w:tc>
        <w:tc>
          <w:tcPr>
            <w:tcW w:w="2088" w:type="pct"/>
            <w:vMerge/>
            <w:vAlign w:val="center"/>
            <w:hideMark/>
          </w:tcPr>
          <w:p w:rsidR="00B94B5D" w:rsidRPr="00F663EA" w:rsidRDefault="00B94B5D" w:rsidP="00F663EA">
            <w:pPr>
              <w:widowControl/>
              <w:autoSpaceDE/>
              <w:autoSpaceDN/>
              <w:spacing w:line="240" w:lineRule="auto"/>
              <w:ind w:firstLineChars="0" w:firstLine="0"/>
              <w:jc w:val="center"/>
              <w:rPr>
                <w:sz w:val="21"/>
              </w:rPr>
            </w:pP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实际生活质量在工程兴建后不低于现有生活水平</w:t>
            </w:r>
            <w:r w:rsidR="00E97427">
              <w:rPr>
                <w:rFonts w:ascii="Times New Roman" w:hAnsi="Times New Roman" w:cs="Times New Roman"/>
                <w:sz w:val="21"/>
                <w:szCs w:val="21"/>
                <w:lang w:eastAsia="zh-CN"/>
              </w:rPr>
              <w:t>（</w:t>
            </w:r>
            <w:r w:rsidRPr="00F663EA">
              <w:rPr>
                <w:rFonts w:ascii="Times New Roman" w:hAnsi="Times New Roman" w:cs="Times New Roman"/>
                <w:sz w:val="21"/>
                <w:szCs w:val="21"/>
                <w:lang w:eastAsia="zh-CN"/>
              </w:rPr>
              <w:t>包括人均收入、居住环</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境、公用设施等</w:t>
            </w:r>
            <w:r w:rsidR="00E97427">
              <w:rPr>
                <w:rFonts w:ascii="Times New Roman" w:hAnsi="Times New Roman" w:cs="Times New Roman"/>
                <w:sz w:val="21"/>
                <w:szCs w:val="21"/>
              </w:rPr>
              <w:t>）</w:t>
            </w:r>
          </w:p>
        </w:tc>
      </w:tr>
      <w:tr w:rsidR="00B94B5D" w:rsidRPr="00F663EA" w:rsidTr="00B94B5D">
        <w:trPr>
          <w:trHeight w:val="633"/>
        </w:trPr>
        <w:tc>
          <w:tcPr>
            <w:tcW w:w="774" w:type="pct"/>
            <w:vAlign w:val="center"/>
          </w:tcPr>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人群健康</w:t>
            </w:r>
          </w:p>
        </w:tc>
        <w:tc>
          <w:tcPr>
            <w:tcW w:w="208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工程所在地居民及施工人员</w:t>
            </w:r>
            <w:r w:rsidR="00E97427">
              <w:rPr>
                <w:rFonts w:ascii="Times New Roman" w:hAnsi="Times New Roman" w:cs="Times New Roman"/>
                <w:sz w:val="21"/>
                <w:szCs w:val="21"/>
                <w:lang w:eastAsia="zh-CN"/>
              </w:rPr>
              <w:t>（</w:t>
            </w:r>
            <w:r w:rsidRPr="00F663EA">
              <w:rPr>
                <w:rFonts w:ascii="Times New Roman" w:hAnsi="Times New Roman" w:cs="Times New Roman"/>
                <w:sz w:val="21"/>
                <w:szCs w:val="21"/>
                <w:lang w:eastAsia="zh-CN"/>
              </w:rPr>
              <w:t>高峰期</w:t>
            </w:r>
          </w:p>
          <w:p w:rsidR="00B94B5D" w:rsidRPr="00F663EA" w:rsidRDefault="00F663EA" w:rsidP="00F663EA">
            <w:pPr>
              <w:pStyle w:val="TableParagraph"/>
              <w:rPr>
                <w:rFonts w:ascii="Times New Roman" w:hAnsi="Times New Roman" w:cs="Times New Roman"/>
                <w:sz w:val="21"/>
                <w:szCs w:val="21"/>
              </w:rPr>
            </w:pPr>
            <w:r w:rsidRPr="00F663EA">
              <w:rPr>
                <w:rFonts w:ascii="Times New Roman" w:hAnsi="Times New Roman" w:cs="Times New Roman"/>
                <w:sz w:val="21"/>
                <w:szCs w:val="21"/>
                <w:lang w:eastAsia="zh-CN"/>
              </w:rPr>
              <w:t>3</w:t>
            </w:r>
            <w:r w:rsidR="00B94B5D" w:rsidRPr="00F663EA">
              <w:rPr>
                <w:rFonts w:ascii="Times New Roman" w:hAnsi="Times New Roman" w:cs="Times New Roman"/>
                <w:sz w:val="21"/>
                <w:szCs w:val="21"/>
              </w:rPr>
              <w:t xml:space="preserve">00 </w:t>
            </w:r>
            <w:r w:rsidR="00B94B5D" w:rsidRPr="00F663EA">
              <w:rPr>
                <w:rFonts w:ascii="Times New Roman" w:hAnsi="Times New Roman" w:cs="Times New Roman"/>
                <w:sz w:val="21"/>
                <w:szCs w:val="21"/>
              </w:rPr>
              <w:t>人</w:t>
            </w:r>
            <w:r w:rsidR="00E97427">
              <w:rPr>
                <w:rFonts w:ascii="Times New Roman" w:hAnsi="Times New Roman" w:cs="Times New Roman"/>
                <w:sz w:val="21"/>
                <w:szCs w:val="21"/>
              </w:rPr>
              <w:t>）</w:t>
            </w:r>
          </w:p>
        </w:tc>
        <w:tc>
          <w:tcPr>
            <w:tcW w:w="2138" w:type="pct"/>
            <w:vAlign w:val="center"/>
            <w:hideMark/>
          </w:tcPr>
          <w:p w:rsidR="00B94B5D" w:rsidRPr="00F663EA" w:rsidRDefault="00B94B5D" w:rsidP="00F663EA">
            <w:pPr>
              <w:pStyle w:val="TableParagraph"/>
              <w:rPr>
                <w:rFonts w:ascii="Times New Roman" w:hAnsi="Times New Roman" w:cs="Times New Roman"/>
                <w:sz w:val="21"/>
                <w:szCs w:val="21"/>
                <w:lang w:eastAsia="zh-CN"/>
              </w:rPr>
            </w:pPr>
            <w:r w:rsidRPr="00F663EA">
              <w:rPr>
                <w:rFonts w:ascii="Times New Roman" w:hAnsi="Times New Roman" w:cs="Times New Roman"/>
                <w:sz w:val="21"/>
                <w:szCs w:val="21"/>
                <w:lang w:eastAsia="zh-CN"/>
              </w:rPr>
              <w:t>控制与工程建设和运行有关的传染</w:t>
            </w:r>
          </w:p>
          <w:p w:rsidR="00B94B5D" w:rsidRPr="00F663EA" w:rsidRDefault="00B94B5D" w:rsidP="00F663EA">
            <w:pPr>
              <w:pStyle w:val="TableParagraph"/>
              <w:rPr>
                <w:rFonts w:ascii="Times New Roman" w:hAnsi="Times New Roman" w:cs="Times New Roman"/>
                <w:sz w:val="21"/>
                <w:szCs w:val="21"/>
              </w:rPr>
            </w:pPr>
            <w:r w:rsidRPr="00F663EA">
              <w:rPr>
                <w:rFonts w:ascii="Times New Roman" w:hAnsi="Times New Roman" w:cs="Times New Roman"/>
                <w:sz w:val="21"/>
                <w:szCs w:val="21"/>
              </w:rPr>
              <w:t>性、流行性疾病及地方病</w:t>
            </w:r>
          </w:p>
        </w:tc>
      </w:tr>
    </w:tbl>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pPr>
    </w:p>
    <w:p w:rsidR="006175A6" w:rsidRDefault="006175A6" w:rsidP="00F663EA">
      <w:pPr>
        <w:ind w:firstLineChars="0" w:firstLine="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30" w:name="_Toc80170090"/>
      <w:r>
        <w:rPr>
          <w:rFonts w:hint="eastAsia"/>
        </w:rPr>
        <w:lastRenderedPageBreak/>
        <w:t>工程概况</w:t>
      </w:r>
      <w:bookmarkEnd w:id="30"/>
    </w:p>
    <w:p w:rsidR="006175A6" w:rsidRDefault="009B4BA7">
      <w:pPr>
        <w:pStyle w:val="2"/>
      </w:pPr>
      <w:bookmarkStart w:id="31" w:name="_Toc80170091"/>
      <w:r>
        <w:rPr>
          <w:rFonts w:hint="eastAsia"/>
        </w:rPr>
        <w:t>流域规划</w:t>
      </w:r>
      <w:bookmarkEnd w:id="31"/>
    </w:p>
    <w:p w:rsidR="006175A6" w:rsidRDefault="009B4BA7">
      <w:pPr>
        <w:pStyle w:val="3"/>
      </w:pPr>
      <w:r>
        <w:rPr>
          <w:rFonts w:hint="eastAsia"/>
        </w:rPr>
        <w:t>流域概况</w:t>
      </w:r>
    </w:p>
    <w:p w:rsidR="006175A6" w:rsidRDefault="009B4BA7">
      <w:pPr>
        <w:ind w:firstLine="480"/>
      </w:pPr>
      <w:r>
        <w:rPr>
          <w:rFonts w:hint="eastAsia"/>
        </w:rPr>
        <w:t>高岚河为长江的二级支流，位于湖北省兴山县境内，发源于湖北省兴山县榛子乡海拔</w:t>
      </w:r>
      <w:r>
        <w:rPr>
          <w:rFonts w:hint="eastAsia"/>
        </w:rPr>
        <w:t>1826m</w:t>
      </w:r>
      <w:r>
        <w:rPr>
          <w:rFonts w:hint="eastAsia"/>
        </w:rPr>
        <w:t>的丁家斋，从河源自东南向西北在榛子乡的石柱村纳入右岸张家沟支流；在此处河流再由东北折向西南，至水月寺镇梅坪村的两河口纳入左岸的龙滩河支流；从河源至水月寺镇梅坪村的两河口称为门家河；以下至水月寺镇杉树坪村的两河口叫孔子河，分别纳入了右岸斗子沟以及左岸的白鸡河、凉伞河及滩淤河等支流，至水月寺镇杉树坪村的两河口纳入左岸重要支流王家河；此以下即称为高岚河，在峡口镇集镇汇入香溪河。从河源至汇入香溪河的河口全长</w:t>
      </w:r>
      <w:r>
        <w:rPr>
          <w:rFonts w:hint="eastAsia"/>
        </w:rPr>
        <w:t>63km</w:t>
      </w:r>
      <w:r>
        <w:rPr>
          <w:rFonts w:hint="eastAsia"/>
        </w:rPr>
        <w:t>，天然落差</w:t>
      </w:r>
      <w:r>
        <w:rPr>
          <w:rFonts w:hint="eastAsia"/>
        </w:rPr>
        <w:t>1480m</w:t>
      </w:r>
      <w:r>
        <w:rPr>
          <w:rFonts w:hint="eastAsia"/>
        </w:rPr>
        <w:t>，平均坡降</w:t>
      </w:r>
      <w:r>
        <w:rPr>
          <w:rFonts w:hint="eastAsia"/>
        </w:rPr>
        <w:t>16.14</w:t>
      </w:r>
      <w:r>
        <w:rPr>
          <w:rFonts w:hint="eastAsia"/>
        </w:rPr>
        <w:t>‰。</w:t>
      </w:r>
    </w:p>
    <w:p w:rsidR="006175A6" w:rsidRDefault="009B4BA7">
      <w:pPr>
        <w:ind w:firstLine="480"/>
      </w:pPr>
      <w:r>
        <w:rPr>
          <w:rFonts w:hint="eastAsia"/>
        </w:rPr>
        <w:t>拟建工程项目位于高岚河上游的门家河内，该段流域内山高坡陡，多为</w:t>
      </w:r>
      <w:r>
        <w:rPr>
          <w:rFonts w:hint="eastAsia"/>
        </w:rPr>
        <w:t>V</w:t>
      </w:r>
      <w:r>
        <w:rPr>
          <w:rFonts w:hint="eastAsia"/>
        </w:rPr>
        <w:t>型峡谷地貌，峡谷两岸植被较好，雨量充沛，森林植被较好，主要种植水保林、硬阔林、马尾松等，森林覆盖率在</w:t>
      </w:r>
      <w:r>
        <w:rPr>
          <w:rFonts w:hint="eastAsia"/>
        </w:rPr>
        <w:t>70%</w:t>
      </w:r>
      <w:r>
        <w:rPr>
          <w:rFonts w:hint="eastAsia"/>
        </w:rPr>
        <w:t>以上，良好的植被，涵养水土，有效的防止了水土流失。流域河床宽一般在</w:t>
      </w:r>
      <w:r>
        <w:rPr>
          <w:rFonts w:hint="eastAsia"/>
        </w:rPr>
        <w:t>15</w:t>
      </w:r>
      <w:r>
        <w:rPr>
          <w:rFonts w:hint="eastAsia"/>
        </w:rPr>
        <w:t>～</w:t>
      </w:r>
      <w:r>
        <w:rPr>
          <w:rFonts w:hint="eastAsia"/>
        </w:rPr>
        <w:t>50m</w:t>
      </w:r>
      <w:r>
        <w:rPr>
          <w:rFonts w:hint="eastAsia"/>
        </w:rPr>
        <w:t>不等，大部分为“</w:t>
      </w:r>
      <w:r>
        <w:rPr>
          <w:rFonts w:hint="eastAsia"/>
        </w:rPr>
        <w:t>V</w:t>
      </w:r>
      <w:r>
        <w:rPr>
          <w:rFonts w:hint="eastAsia"/>
        </w:rPr>
        <w:t>”型河谷，少部分为“</w:t>
      </w:r>
      <w:r>
        <w:rPr>
          <w:rFonts w:hint="eastAsia"/>
        </w:rPr>
        <w:t>U</w:t>
      </w:r>
      <w:r>
        <w:rPr>
          <w:rFonts w:hint="eastAsia"/>
        </w:rPr>
        <w:t>”型河谷，一般河床两岸都有完整的岩石出露。</w:t>
      </w:r>
    </w:p>
    <w:p w:rsidR="006175A6" w:rsidRDefault="009B4BA7">
      <w:pPr>
        <w:pStyle w:val="3"/>
      </w:pPr>
      <w:r>
        <w:rPr>
          <w:rFonts w:hint="eastAsia"/>
        </w:rPr>
        <w:t>规划方案</w:t>
      </w:r>
    </w:p>
    <w:p w:rsidR="006175A6" w:rsidRDefault="009B4BA7">
      <w:pPr>
        <w:ind w:firstLine="480"/>
      </w:pPr>
      <w:r>
        <w:rPr>
          <w:rFonts w:hint="eastAsia"/>
        </w:rPr>
        <w:t>门家河流域上游目前基本处于未开发状态，此前的前期工作均属查勘深度，勘测规划资料较少。流域目前还未编制流域综合规划报告，</w:t>
      </w:r>
      <w:r>
        <w:rPr>
          <w:rFonts w:hint="eastAsia"/>
        </w:rPr>
        <w:t>2008</w:t>
      </w:r>
      <w:r>
        <w:rPr>
          <w:rFonts w:hint="eastAsia"/>
        </w:rPr>
        <w:t>年编制完成的《湖北省兴山县水能开发规划修编报告》对该流域提出了水能开发的一个规划，</w:t>
      </w:r>
      <w:r>
        <w:rPr>
          <w:rFonts w:hint="eastAsia"/>
        </w:rPr>
        <w:t>2008</w:t>
      </w:r>
      <w:r>
        <w:rPr>
          <w:rFonts w:hint="eastAsia"/>
        </w:rPr>
        <w:t>年</w:t>
      </w:r>
      <w:r>
        <w:rPr>
          <w:rFonts w:hint="eastAsia"/>
        </w:rPr>
        <w:t>3</w:t>
      </w:r>
      <w:r>
        <w:rPr>
          <w:rFonts w:hint="eastAsia"/>
        </w:rPr>
        <w:t>月，兴山县人民政府以“兴政函</w:t>
      </w:r>
      <w:r>
        <w:rPr>
          <w:rFonts w:hint="eastAsia"/>
        </w:rPr>
        <w:t>[2008]11</w:t>
      </w:r>
      <w:r>
        <w:rPr>
          <w:rFonts w:hint="eastAsia"/>
        </w:rPr>
        <w:t>号”予以批复。该规划于门家河上游兴建门坎石电站，电站坝址位于流域上游，规划中的门坎石水库，即为本次设计的两河口水库。</w:t>
      </w:r>
    </w:p>
    <w:p w:rsidR="006175A6" w:rsidRDefault="009B4BA7">
      <w:pPr>
        <w:ind w:firstLine="480"/>
      </w:pPr>
      <w:r>
        <w:rPr>
          <w:rFonts w:hint="eastAsia"/>
        </w:rPr>
        <w:t>2008</w:t>
      </w:r>
      <w:r>
        <w:rPr>
          <w:rFonts w:hint="eastAsia"/>
        </w:rPr>
        <w:t>年至今，兴山县黄粮镇的缺水情况日益突出，新建水库对黄粮集镇进行供水尤为必要。为此，兴山县水利局积极争取上级主管部门意见，本工程最终纳入了国家全国中型水库建设的总体安排，故门家河流域上游的开发任务急需进行改变，兴山县政府也是积极支持在该流域兴建水库进行黄粮集镇供水和灌溉，</w:t>
      </w:r>
      <w:r>
        <w:rPr>
          <w:rFonts w:hint="eastAsia"/>
        </w:rPr>
        <w:lastRenderedPageBreak/>
        <w:t>水能开发以后再进行考虑。</w:t>
      </w:r>
    </w:p>
    <w:p w:rsidR="006175A6" w:rsidRDefault="009B4BA7">
      <w:pPr>
        <w:pStyle w:val="3"/>
      </w:pPr>
      <w:r>
        <w:rPr>
          <w:rFonts w:hint="eastAsia"/>
        </w:rPr>
        <w:t>流域水电开发现状</w:t>
      </w:r>
    </w:p>
    <w:p w:rsidR="006175A6" w:rsidRDefault="009B4BA7">
      <w:pPr>
        <w:ind w:firstLine="480"/>
      </w:pPr>
      <w:r>
        <w:rPr>
          <w:rFonts w:hint="eastAsia"/>
        </w:rPr>
        <w:t>高岚河流域由孔子河和夏阳河二条支流组成，夏阳河发源于兴山与宜昌交界的大老林林场的高山区，流经高岚至两河口与孔子河汇合。孔子河发源于邻县保康县与宜昌交界的高山区，水量充沛，水流稳定，且自然落差大，水能十分集中，具有梯级开发的良好条件。其在两河口与夏阳河汇合成高岚河，流经建阳坪至峡口镇注入香溪河。高岚河河道长度</w:t>
      </w:r>
      <w:r>
        <w:rPr>
          <w:rFonts w:hint="eastAsia"/>
        </w:rPr>
        <w:t>60km</w:t>
      </w:r>
      <w:r>
        <w:rPr>
          <w:rFonts w:hint="eastAsia"/>
        </w:rPr>
        <w:t>，流域面积</w:t>
      </w:r>
      <w:r>
        <w:rPr>
          <w:rFonts w:hint="eastAsia"/>
        </w:rPr>
        <w:t>1023km</w:t>
      </w:r>
      <w:r>
        <w:rPr>
          <w:rFonts w:hint="eastAsia"/>
          <w:vertAlign w:val="superscript"/>
        </w:rPr>
        <w:t>2</w:t>
      </w:r>
      <w:r>
        <w:rPr>
          <w:rFonts w:hint="eastAsia"/>
        </w:rPr>
        <w:t>，多年平均流量</w:t>
      </w:r>
      <w:r>
        <w:rPr>
          <w:rFonts w:hint="eastAsia"/>
        </w:rPr>
        <w:t>17.8m</w:t>
      </w:r>
      <w:r>
        <w:rPr>
          <w:rFonts w:hint="eastAsia"/>
          <w:vertAlign w:val="superscript"/>
        </w:rPr>
        <w:t>3</w:t>
      </w:r>
      <w:r>
        <w:rPr>
          <w:rFonts w:hint="eastAsia"/>
        </w:rPr>
        <w:t>/s</w:t>
      </w:r>
      <w:r>
        <w:rPr>
          <w:rFonts w:hint="eastAsia"/>
        </w:rPr>
        <w:t>。全流域理论蕴藏量约</w:t>
      </w:r>
      <w:r>
        <w:rPr>
          <w:rFonts w:hint="eastAsia"/>
        </w:rPr>
        <w:t>7.02</w:t>
      </w:r>
      <w:r>
        <w:rPr>
          <w:rFonts w:hint="eastAsia"/>
        </w:rPr>
        <w:t>万</w:t>
      </w:r>
      <w:r>
        <w:rPr>
          <w:rFonts w:hint="eastAsia"/>
        </w:rPr>
        <w:t>kW</w:t>
      </w:r>
      <w:r>
        <w:rPr>
          <w:rFonts w:hint="eastAsia"/>
        </w:rPr>
        <w:t>，可开发装机</w:t>
      </w:r>
      <w:r>
        <w:rPr>
          <w:rFonts w:hint="eastAsia"/>
        </w:rPr>
        <w:t>5.67</w:t>
      </w:r>
      <w:r>
        <w:rPr>
          <w:rFonts w:hint="eastAsia"/>
        </w:rPr>
        <w:t>万</w:t>
      </w:r>
      <w:r>
        <w:rPr>
          <w:rFonts w:hint="eastAsia"/>
        </w:rPr>
        <w:t>kW</w:t>
      </w:r>
      <w:r>
        <w:rPr>
          <w:rFonts w:hint="eastAsia"/>
        </w:rPr>
        <w:t>。</w:t>
      </w:r>
    </w:p>
    <w:p w:rsidR="006175A6" w:rsidRDefault="009B4BA7">
      <w:pPr>
        <w:ind w:firstLine="480"/>
      </w:pPr>
      <w:r>
        <w:rPr>
          <w:rFonts w:hint="eastAsia"/>
        </w:rPr>
        <w:t>1991</w:t>
      </w:r>
      <w:r>
        <w:rPr>
          <w:rFonts w:hint="eastAsia"/>
        </w:rPr>
        <w:t>年</w:t>
      </w:r>
      <w:r>
        <w:rPr>
          <w:rFonts w:hint="eastAsia"/>
        </w:rPr>
        <w:t>11</w:t>
      </w:r>
      <w:r>
        <w:rPr>
          <w:rFonts w:hint="eastAsia"/>
        </w:rPr>
        <w:t>月，兴山县水电局、兴山水利水电勘测设计室编制《湖北省兴山县高岚河流域规划报告》，规划拟定了</w:t>
      </w:r>
      <w:r>
        <w:rPr>
          <w:rFonts w:hint="eastAsia"/>
        </w:rPr>
        <w:t>17</w:t>
      </w:r>
      <w:r>
        <w:rPr>
          <w:rFonts w:hint="eastAsia"/>
        </w:rPr>
        <w:t>座梯级电站，总装机容量</w:t>
      </w:r>
      <w:r>
        <w:rPr>
          <w:rFonts w:hint="eastAsia"/>
        </w:rPr>
        <w:t>3.746</w:t>
      </w:r>
      <w:r>
        <w:rPr>
          <w:rFonts w:hint="eastAsia"/>
        </w:rPr>
        <w:t>万</w:t>
      </w:r>
      <w:r>
        <w:rPr>
          <w:rFonts w:hint="eastAsia"/>
        </w:rPr>
        <w:t>kW</w:t>
      </w:r>
      <w:r>
        <w:rPr>
          <w:rFonts w:hint="eastAsia"/>
        </w:rPr>
        <w:t>，其中规划有门坎石和鸳鸯水两座调节水库。另外高岚河已建电站</w:t>
      </w:r>
      <w:r>
        <w:rPr>
          <w:rFonts w:hint="eastAsia"/>
        </w:rPr>
        <w:t>11</w:t>
      </w:r>
      <w:r>
        <w:rPr>
          <w:rFonts w:hint="eastAsia"/>
        </w:rPr>
        <w:t>座，总装机容量</w:t>
      </w:r>
      <w:r>
        <w:rPr>
          <w:rFonts w:hint="eastAsia"/>
        </w:rPr>
        <w:t>1.141</w:t>
      </w:r>
      <w:r>
        <w:rPr>
          <w:rFonts w:hint="eastAsia"/>
        </w:rPr>
        <w:t>万</w:t>
      </w:r>
      <w:r>
        <w:rPr>
          <w:rFonts w:hint="eastAsia"/>
        </w:rPr>
        <w:t>kW</w:t>
      </w:r>
      <w:r>
        <w:rPr>
          <w:rFonts w:hint="eastAsia"/>
        </w:rPr>
        <w:t>。</w:t>
      </w:r>
    </w:p>
    <w:p w:rsidR="006175A6" w:rsidRDefault="009B4BA7">
      <w:pPr>
        <w:ind w:firstLine="480"/>
      </w:pPr>
      <w:r>
        <w:rPr>
          <w:rFonts w:hint="eastAsia"/>
        </w:rPr>
        <w:t>宜昌市水利水电勘察设计院于</w:t>
      </w:r>
      <w:r>
        <w:rPr>
          <w:rFonts w:hint="eastAsia"/>
        </w:rPr>
        <w:t>2008</w:t>
      </w:r>
      <w:r>
        <w:rPr>
          <w:rFonts w:hint="eastAsia"/>
        </w:rPr>
        <w:t>年</w:t>
      </w:r>
      <w:r>
        <w:rPr>
          <w:rFonts w:hint="eastAsia"/>
        </w:rPr>
        <w:t>1</w:t>
      </w:r>
      <w:r>
        <w:rPr>
          <w:rFonts w:hint="eastAsia"/>
        </w:rPr>
        <w:t>月编制了《湖北省兴山县水能开发规划修编报告》，</w:t>
      </w:r>
      <w:r>
        <w:rPr>
          <w:rFonts w:hint="eastAsia"/>
        </w:rPr>
        <w:t>2008</w:t>
      </w:r>
      <w:r>
        <w:rPr>
          <w:rFonts w:hint="eastAsia"/>
        </w:rPr>
        <w:t>年</w:t>
      </w:r>
      <w:r>
        <w:rPr>
          <w:rFonts w:hint="eastAsia"/>
        </w:rPr>
        <w:t>3</w:t>
      </w:r>
      <w:r>
        <w:rPr>
          <w:rFonts w:hint="eastAsia"/>
        </w:rPr>
        <w:t>月，兴山县人民政府以“兴政函</w:t>
      </w:r>
      <w:r>
        <w:rPr>
          <w:rFonts w:hint="eastAsia"/>
        </w:rPr>
        <w:t>[2008]11</w:t>
      </w:r>
      <w:r>
        <w:rPr>
          <w:rFonts w:hint="eastAsia"/>
        </w:rPr>
        <w:t>号”予以批复。报告对已建水电站进行了资料汇总整理，同时对未开发水电站进行了规划。两河口水库以下高岚河流域已建及规划水电站主要技术经济指标表见</w:t>
      </w:r>
      <w:r w:rsidR="008301B8">
        <w:rPr>
          <w:rFonts w:hint="eastAsia"/>
        </w:rPr>
        <w:t>下表。</w:t>
      </w:r>
    </w:p>
    <w:p w:rsidR="008301B8" w:rsidRDefault="008301B8" w:rsidP="008301B8">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sidRPr="008301B8">
        <w:rPr>
          <w:rFonts w:hint="eastAsia"/>
        </w:rPr>
        <w:t>高岚河流域已建及规划水电站主要技术经济指标表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6"/>
        <w:gridCol w:w="1207"/>
        <w:gridCol w:w="968"/>
        <w:gridCol w:w="727"/>
        <w:gridCol w:w="847"/>
        <w:gridCol w:w="813"/>
        <w:gridCol w:w="727"/>
        <w:gridCol w:w="727"/>
        <w:gridCol w:w="727"/>
        <w:gridCol w:w="847"/>
      </w:tblGrid>
      <w:tr w:rsidR="008301B8" w:rsidRPr="008301B8" w:rsidTr="008301B8">
        <w:trPr>
          <w:trHeight w:val="340"/>
          <w:jc w:val="center"/>
        </w:trPr>
        <w:tc>
          <w:tcPr>
            <w:tcW w:w="437" w:type="pct"/>
            <w:vMerge w:val="restart"/>
            <w:vAlign w:val="center"/>
            <w:hideMark/>
          </w:tcPr>
          <w:p w:rsidR="008301B8" w:rsidRPr="008301B8" w:rsidRDefault="008301B8" w:rsidP="008301B8">
            <w:pPr>
              <w:pStyle w:val="TableParagraph"/>
              <w:ind w:firstLine="460"/>
              <w:rPr>
                <w:rFonts w:ascii="Times New Roman" w:hAnsi="Times New Roman" w:cs="Times New Roman"/>
                <w:sz w:val="21"/>
                <w:szCs w:val="21"/>
                <w:lang w:eastAsia="zh-CN"/>
              </w:rPr>
            </w:pPr>
          </w:p>
          <w:p w:rsidR="008301B8" w:rsidRPr="008301B8" w:rsidRDefault="008301B8" w:rsidP="008301B8">
            <w:pPr>
              <w:pStyle w:val="TableParagraph"/>
              <w:spacing w:before="1"/>
              <w:ind w:left="151"/>
              <w:rPr>
                <w:rFonts w:ascii="Times New Roman" w:hAnsi="Times New Roman" w:cs="Times New Roman"/>
                <w:sz w:val="21"/>
                <w:szCs w:val="21"/>
              </w:rPr>
            </w:pPr>
            <w:r w:rsidRPr="008301B8">
              <w:rPr>
                <w:rFonts w:ascii="Times New Roman" w:hAnsi="Times New Roman" w:cs="Times New Roman"/>
                <w:sz w:val="21"/>
                <w:szCs w:val="21"/>
              </w:rPr>
              <w:t>序号</w:t>
            </w:r>
          </w:p>
        </w:tc>
        <w:tc>
          <w:tcPr>
            <w:tcW w:w="726" w:type="pct"/>
            <w:vMerge w:val="restart"/>
            <w:vAlign w:val="center"/>
            <w:hideMark/>
          </w:tcPr>
          <w:p w:rsidR="008301B8" w:rsidRPr="008301B8" w:rsidRDefault="008301B8" w:rsidP="008301B8">
            <w:pPr>
              <w:pStyle w:val="TableParagraph"/>
              <w:spacing w:before="151"/>
              <w:ind w:left="406" w:right="373"/>
              <w:rPr>
                <w:rFonts w:ascii="Times New Roman" w:hAnsi="Times New Roman" w:cs="Times New Roman"/>
                <w:sz w:val="21"/>
                <w:szCs w:val="21"/>
              </w:rPr>
            </w:pPr>
            <w:r w:rsidRPr="008301B8">
              <w:rPr>
                <w:rFonts w:ascii="Times New Roman" w:hAnsi="Times New Roman" w:cs="Times New Roman"/>
                <w:sz w:val="21"/>
                <w:szCs w:val="21"/>
              </w:rPr>
              <w:t>所在河流</w:t>
            </w:r>
          </w:p>
        </w:tc>
        <w:tc>
          <w:tcPr>
            <w:tcW w:w="582" w:type="pct"/>
            <w:vMerge w:val="restart"/>
            <w:vAlign w:val="center"/>
            <w:hideMark/>
          </w:tcPr>
          <w:p w:rsidR="008301B8" w:rsidRPr="008301B8" w:rsidRDefault="008301B8" w:rsidP="008301B8">
            <w:pPr>
              <w:pStyle w:val="TableParagraph"/>
              <w:spacing w:before="151"/>
              <w:ind w:left="283" w:right="249"/>
              <w:rPr>
                <w:rFonts w:ascii="Times New Roman" w:hAnsi="Times New Roman" w:cs="Times New Roman"/>
                <w:sz w:val="21"/>
                <w:szCs w:val="21"/>
              </w:rPr>
            </w:pPr>
            <w:r w:rsidRPr="008301B8">
              <w:rPr>
                <w:rFonts w:ascii="Times New Roman" w:hAnsi="Times New Roman" w:cs="Times New Roman"/>
                <w:sz w:val="21"/>
                <w:szCs w:val="21"/>
              </w:rPr>
              <w:t>电站名称</w:t>
            </w:r>
          </w:p>
        </w:tc>
        <w:tc>
          <w:tcPr>
            <w:tcW w:w="437" w:type="pct"/>
            <w:vAlign w:val="center"/>
            <w:hideMark/>
          </w:tcPr>
          <w:p w:rsidR="008301B8" w:rsidRPr="008301B8" w:rsidRDefault="008301B8" w:rsidP="008301B8">
            <w:pPr>
              <w:pStyle w:val="TableParagraph"/>
              <w:spacing w:before="2"/>
              <w:ind w:left="160"/>
              <w:rPr>
                <w:rFonts w:ascii="Times New Roman" w:hAnsi="Times New Roman" w:cs="Times New Roman"/>
                <w:sz w:val="21"/>
                <w:szCs w:val="21"/>
              </w:rPr>
            </w:pPr>
            <w:r w:rsidRPr="008301B8">
              <w:rPr>
                <w:rFonts w:ascii="Times New Roman" w:hAnsi="Times New Roman" w:cs="Times New Roman"/>
                <w:spacing w:val="-1"/>
                <w:sz w:val="21"/>
                <w:szCs w:val="21"/>
              </w:rPr>
              <w:t>承雨</w:t>
            </w:r>
          </w:p>
          <w:p w:rsidR="008301B8" w:rsidRPr="008301B8" w:rsidRDefault="008301B8" w:rsidP="008301B8">
            <w:pPr>
              <w:pStyle w:val="TableParagraph"/>
              <w:spacing w:before="4" w:line="263" w:lineRule="exact"/>
              <w:ind w:left="160"/>
              <w:rPr>
                <w:rFonts w:ascii="Times New Roman" w:hAnsi="Times New Roman" w:cs="Times New Roman"/>
                <w:sz w:val="21"/>
                <w:szCs w:val="21"/>
              </w:rPr>
            </w:pPr>
            <w:r w:rsidRPr="008301B8">
              <w:rPr>
                <w:rFonts w:ascii="Times New Roman" w:hAnsi="Times New Roman" w:cs="Times New Roman"/>
                <w:spacing w:val="-1"/>
                <w:sz w:val="21"/>
                <w:szCs w:val="21"/>
              </w:rPr>
              <w:t>面积</w:t>
            </w:r>
          </w:p>
        </w:tc>
        <w:tc>
          <w:tcPr>
            <w:tcW w:w="509" w:type="pct"/>
            <w:vAlign w:val="center"/>
            <w:hideMark/>
          </w:tcPr>
          <w:p w:rsidR="008301B8" w:rsidRPr="008301B8" w:rsidRDefault="008301B8" w:rsidP="008301B8">
            <w:pPr>
              <w:pStyle w:val="TableParagraph"/>
              <w:spacing w:before="2"/>
              <w:ind w:left="220"/>
              <w:rPr>
                <w:rFonts w:ascii="Times New Roman" w:hAnsi="Times New Roman" w:cs="Times New Roman"/>
                <w:sz w:val="21"/>
                <w:szCs w:val="21"/>
              </w:rPr>
            </w:pPr>
            <w:r w:rsidRPr="008301B8">
              <w:rPr>
                <w:rFonts w:ascii="Times New Roman" w:hAnsi="Times New Roman" w:cs="Times New Roman"/>
                <w:spacing w:val="-1"/>
                <w:sz w:val="21"/>
                <w:szCs w:val="21"/>
              </w:rPr>
              <w:t>装机</w:t>
            </w:r>
          </w:p>
          <w:p w:rsidR="008301B8" w:rsidRPr="008301B8" w:rsidRDefault="008301B8" w:rsidP="008301B8">
            <w:pPr>
              <w:pStyle w:val="TableParagraph"/>
              <w:spacing w:before="4" w:line="263" w:lineRule="exact"/>
              <w:ind w:left="220"/>
              <w:rPr>
                <w:rFonts w:ascii="Times New Roman" w:hAnsi="Times New Roman" w:cs="Times New Roman"/>
                <w:sz w:val="21"/>
                <w:szCs w:val="21"/>
              </w:rPr>
            </w:pPr>
            <w:r w:rsidRPr="008301B8">
              <w:rPr>
                <w:rFonts w:ascii="Times New Roman" w:hAnsi="Times New Roman" w:cs="Times New Roman"/>
                <w:spacing w:val="-1"/>
                <w:sz w:val="21"/>
                <w:szCs w:val="21"/>
              </w:rPr>
              <w:t>容量</w:t>
            </w:r>
          </w:p>
        </w:tc>
        <w:tc>
          <w:tcPr>
            <w:tcW w:w="489" w:type="pct"/>
            <w:vAlign w:val="center"/>
            <w:hideMark/>
          </w:tcPr>
          <w:p w:rsidR="008301B8" w:rsidRPr="008301B8" w:rsidRDefault="008301B8" w:rsidP="008301B8">
            <w:pPr>
              <w:pStyle w:val="TableParagraph"/>
              <w:spacing w:before="144"/>
              <w:ind w:left="147" w:right="117"/>
              <w:rPr>
                <w:rFonts w:ascii="Times New Roman" w:hAnsi="Times New Roman" w:cs="Times New Roman"/>
                <w:sz w:val="21"/>
                <w:szCs w:val="21"/>
              </w:rPr>
            </w:pPr>
            <w:r w:rsidRPr="008301B8">
              <w:rPr>
                <w:rFonts w:ascii="Times New Roman" w:hAnsi="Times New Roman" w:cs="Times New Roman"/>
                <w:sz w:val="21"/>
                <w:szCs w:val="21"/>
              </w:rPr>
              <w:t>库容</w:t>
            </w:r>
          </w:p>
        </w:tc>
        <w:tc>
          <w:tcPr>
            <w:tcW w:w="437" w:type="pct"/>
            <w:vAlign w:val="center"/>
            <w:hideMark/>
          </w:tcPr>
          <w:p w:rsidR="008301B8" w:rsidRPr="008301B8" w:rsidRDefault="008301B8" w:rsidP="008301B8">
            <w:pPr>
              <w:pStyle w:val="TableParagraph"/>
              <w:spacing w:before="144"/>
              <w:ind w:left="140" w:right="110"/>
              <w:rPr>
                <w:rFonts w:ascii="Times New Roman" w:hAnsi="Times New Roman" w:cs="Times New Roman"/>
                <w:sz w:val="21"/>
                <w:szCs w:val="21"/>
              </w:rPr>
            </w:pPr>
            <w:r w:rsidRPr="008301B8">
              <w:rPr>
                <w:rFonts w:ascii="Times New Roman" w:hAnsi="Times New Roman" w:cs="Times New Roman"/>
                <w:sz w:val="21"/>
                <w:szCs w:val="21"/>
              </w:rPr>
              <w:t>坝高</w:t>
            </w:r>
          </w:p>
        </w:tc>
        <w:tc>
          <w:tcPr>
            <w:tcW w:w="437" w:type="pct"/>
            <w:vAlign w:val="center"/>
            <w:hideMark/>
          </w:tcPr>
          <w:p w:rsidR="008301B8" w:rsidRPr="008301B8" w:rsidRDefault="008301B8" w:rsidP="008301B8">
            <w:pPr>
              <w:pStyle w:val="TableParagraph"/>
              <w:spacing w:before="2"/>
              <w:ind w:left="158"/>
              <w:rPr>
                <w:rFonts w:ascii="Times New Roman" w:hAnsi="Times New Roman" w:cs="Times New Roman"/>
                <w:sz w:val="21"/>
                <w:szCs w:val="21"/>
              </w:rPr>
            </w:pPr>
            <w:r w:rsidRPr="008301B8">
              <w:rPr>
                <w:rFonts w:ascii="Times New Roman" w:hAnsi="Times New Roman" w:cs="Times New Roman"/>
                <w:spacing w:val="-1"/>
                <w:sz w:val="21"/>
                <w:szCs w:val="21"/>
              </w:rPr>
              <w:t>设计</w:t>
            </w:r>
          </w:p>
          <w:p w:rsidR="008301B8" w:rsidRPr="008301B8" w:rsidRDefault="008301B8" w:rsidP="008301B8">
            <w:pPr>
              <w:pStyle w:val="TableParagraph"/>
              <w:spacing w:before="4" w:line="263" w:lineRule="exact"/>
              <w:ind w:left="158"/>
              <w:rPr>
                <w:rFonts w:ascii="Times New Roman" w:hAnsi="Times New Roman" w:cs="Times New Roman"/>
                <w:sz w:val="21"/>
                <w:szCs w:val="21"/>
              </w:rPr>
            </w:pPr>
            <w:r w:rsidRPr="008301B8">
              <w:rPr>
                <w:rFonts w:ascii="Times New Roman" w:hAnsi="Times New Roman" w:cs="Times New Roman"/>
                <w:spacing w:val="-1"/>
                <w:sz w:val="21"/>
                <w:szCs w:val="21"/>
              </w:rPr>
              <w:t>流量</w:t>
            </w:r>
          </w:p>
        </w:tc>
        <w:tc>
          <w:tcPr>
            <w:tcW w:w="437" w:type="pct"/>
            <w:vAlign w:val="center"/>
            <w:hideMark/>
          </w:tcPr>
          <w:p w:rsidR="008301B8" w:rsidRPr="008301B8" w:rsidRDefault="008301B8" w:rsidP="008301B8">
            <w:pPr>
              <w:pStyle w:val="TableParagraph"/>
              <w:spacing w:before="2"/>
              <w:ind w:left="159"/>
              <w:rPr>
                <w:rFonts w:ascii="Times New Roman" w:hAnsi="Times New Roman" w:cs="Times New Roman"/>
                <w:sz w:val="21"/>
                <w:szCs w:val="21"/>
              </w:rPr>
            </w:pPr>
            <w:r w:rsidRPr="008301B8">
              <w:rPr>
                <w:rFonts w:ascii="Times New Roman" w:hAnsi="Times New Roman" w:cs="Times New Roman"/>
                <w:spacing w:val="-1"/>
                <w:sz w:val="21"/>
                <w:szCs w:val="21"/>
              </w:rPr>
              <w:t>设计</w:t>
            </w:r>
          </w:p>
          <w:p w:rsidR="008301B8" w:rsidRPr="008301B8" w:rsidRDefault="008301B8" w:rsidP="008301B8">
            <w:pPr>
              <w:pStyle w:val="TableParagraph"/>
              <w:spacing w:before="4" w:line="263" w:lineRule="exact"/>
              <w:ind w:left="159"/>
              <w:rPr>
                <w:rFonts w:ascii="Times New Roman" w:hAnsi="Times New Roman" w:cs="Times New Roman"/>
                <w:sz w:val="21"/>
                <w:szCs w:val="21"/>
              </w:rPr>
            </w:pPr>
            <w:r w:rsidRPr="008301B8">
              <w:rPr>
                <w:rFonts w:ascii="Times New Roman" w:hAnsi="Times New Roman" w:cs="Times New Roman"/>
                <w:spacing w:val="-1"/>
                <w:sz w:val="21"/>
                <w:szCs w:val="21"/>
              </w:rPr>
              <w:t>水头</w:t>
            </w:r>
          </w:p>
        </w:tc>
        <w:tc>
          <w:tcPr>
            <w:tcW w:w="509" w:type="pct"/>
            <w:vAlign w:val="center"/>
            <w:hideMark/>
          </w:tcPr>
          <w:p w:rsidR="008301B8" w:rsidRPr="008301B8" w:rsidRDefault="008301B8" w:rsidP="008301B8">
            <w:pPr>
              <w:pStyle w:val="TableParagraph"/>
              <w:spacing w:before="2"/>
              <w:ind w:left="221"/>
              <w:rPr>
                <w:rFonts w:ascii="Times New Roman" w:hAnsi="Times New Roman" w:cs="Times New Roman"/>
                <w:sz w:val="21"/>
                <w:szCs w:val="21"/>
              </w:rPr>
            </w:pPr>
            <w:r w:rsidRPr="008301B8">
              <w:rPr>
                <w:rFonts w:ascii="Times New Roman" w:hAnsi="Times New Roman" w:cs="Times New Roman"/>
                <w:spacing w:val="-1"/>
                <w:sz w:val="21"/>
                <w:szCs w:val="21"/>
              </w:rPr>
              <w:t>年发</w:t>
            </w:r>
          </w:p>
          <w:p w:rsidR="008301B8" w:rsidRPr="008301B8" w:rsidRDefault="008301B8" w:rsidP="008301B8">
            <w:pPr>
              <w:pStyle w:val="TableParagraph"/>
              <w:spacing w:before="4" w:line="263" w:lineRule="exact"/>
              <w:ind w:left="221"/>
              <w:rPr>
                <w:rFonts w:ascii="Times New Roman" w:hAnsi="Times New Roman" w:cs="Times New Roman"/>
                <w:sz w:val="21"/>
                <w:szCs w:val="21"/>
              </w:rPr>
            </w:pPr>
            <w:r w:rsidRPr="008301B8">
              <w:rPr>
                <w:rFonts w:ascii="Times New Roman" w:hAnsi="Times New Roman" w:cs="Times New Roman"/>
                <w:spacing w:val="-1"/>
                <w:sz w:val="21"/>
                <w:szCs w:val="21"/>
              </w:rPr>
              <w:t>电量</w:t>
            </w:r>
          </w:p>
        </w:tc>
      </w:tr>
      <w:tr w:rsidR="008301B8" w:rsidRPr="008301B8" w:rsidTr="008301B8">
        <w:trPr>
          <w:trHeight w:val="340"/>
          <w:jc w:val="center"/>
        </w:trPr>
        <w:tc>
          <w:tcPr>
            <w:tcW w:w="437" w:type="pct"/>
            <w:vMerge/>
            <w:vAlign w:val="center"/>
            <w:hideMark/>
          </w:tcPr>
          <w:p w:rsidR="008301B8" w:rsidRPr="008301B8" w:rsidRDefault="008301B8" w:rsidP="008301B8">
            <w:pPr>
              <w:widowControl/>
              <w:ind w:firstLine="420"/>
              <w:jc w:val="center"/>
              <w:rPr>
                <w:sz w:val="21"/>
              </w:rPr>
            </w:pPr>
          </w:p>
        </w:tc>
        <w:tc>
          <w:tcPr>
            <w:tcW w:w="726" w:type="pct"/>
            <w:vMerge/>
            <w:vAlign w:val="center"/>
            <w:hideMark/>
          </w:tcPr>
          <w:p w:rsidR="008301B8" w:rsidRPr="008301B8" w:rsidRDefault="008301B8" w:rsidP="008301B8">
            <w:pPr>
              <w:widowControl/>
              <w:ind w:firstLine="420"/>
              <w:jc w:val="center"/>
              <w:rPr>
                <w:sz w:val="21"/>
              </w:rPr>
            </w:pPr>
          </w:p>
        </w:tc>
        <w:tc>
          <w:tcPr>
            <w:tcW w:w="582" w:type="pct"/>
            <w:vMerge/>
            <w:vAlign w:val="center"/>
            <w:hideMark/>
          </w:tcPr>
          <w:p w:rsidR="008301B8" w:rsidRPr="008301B8" w:rsidRDefault="008301B8" w:rsidP="008301B8">
            <w:pPr>
              <w:widowControl/>
              <w:ind w:firstLine="420"/>
              <w:jc w:val="center"/>
              <w:rPr>
                <w:sz w:val="21"/>
              </w:rPr>
            </w:pPr>
          </w:p>
        </w:tc>
        <w:tc>
          <w:tcPr>
            <w:tcW w:w="437" w:type="pct"/>
            <w:vAlign w:val="center"/>
            <w:hideMark/>
          </w:tcPr>
          <w:p w:rsidR="008301B8" w:rsidRPr="008301B8" w:rsidRDefault="008301B8" w:rsidP="008301B8">
            <w:pPr>
              <w:pStyle w:val="TableParagraph"/>
              <w:spacing w:before="14" w:line="251" w:lineRule="exact"/>
              <w:ind w:left="205"/>
              <w:rPr>
                <w:rFonts w:ascii="Times New Roman" w:hAnsi="Times New Roman" w:cs="Times New Roman"/>
                <w:sz w:val="21"/>
                <w:szCs w:val="21"/>
              </w:rPr>
            </w:pPr>
            <w:r w:rsidRPr="008301B8">
              <w:rPr>
                <w:rFonts w:ascii="Times New Roman" w:hAnsi="Times New Roman" w:cs="Times New Roman"/>
                <w:sz w:val="21"/>
                <w:szCs w:val="21"/>
              </w:rPr>
              <w:t>km²</w:t>
            </w:r>
          </w:p>
        </w:tc>
        <w:tc>
          <w:tcPr>
            <w:tcW w:w="509" w:type="pct"/>
            <w:vAlign w:val="center"/>
            <w:hideMark/>
          </w:tcPr>
          <w:p w:rsidR="008301B8" w:rsidRPr="008301B8" w:rsidRDefault="008301B8" w:rsidP="008301B8">
            <w:pPr>
              <w:pStyle w:val="TableParagraph"/>
              <w:spacing w:before="14" w:line="251" w:lineRule="exact"/>
              <w:ind w:left="145" w:right="117"/>
              <w:rPr>
                <w:rFonts w:ascii="Times New Roman" w:hAnsi="Times New Roman" w:cs="Times New Roman"/>
                <w:sz w:val="21"/>
                <w:szCs w:val="21"/>
              </w:rPr>
            </w:pPr>
            <w:r w:rsidRPr="008301B8">
              <w:rPr>
                <w:rFonts w:ascii="Times New Roman" w:hAnsi="Times New Roman" w:cs="Times New Roman"/>
                <w:sz w:val="21"/>
                <w:szCs w:val="21"/>
              </w:rPr>
              <w:t>kW</w:t>
            </w:r>
          </w:p>
        </w:tc>
        <w:tc>
          <w:tcPr>
            <w:tcW w:w="489" w:type="pct"/>
            <w:vAlign w:val="center"/>
            <w:hideMark/>
          </w:tcPr>
          <w:p w:rsidR="008301B8" w:rsidRPr="008301B8" w:rsidRDefault="008301B8" w:rsidP="008301B8">
            <w:pPr>
              <w:pStyle w:val="TableParagraph"/>
              <w:spacing w:before="2" w:line="263" w:lineRule="exact"/>
              <w:ind w:left="147" w:right="118"/>
              <w:rPr>
                <w:rFonts w:ascii="Times New Roman" w:hAnsi="Times New Roman" w:cs="Times New Roman"/>
                <w:sz w:val="21"/>
                <w:szCs w:val="21"/>
              </w:rPr>
            </w:pPr>
            <w:r w:rsidRPr="008301B8">
              <w:rPr>
                <w:rFonts w:ascii="Times New Roman" w:hAnsi="Times New Roman" w:cs="Times New Roman"/>
                <w:spacing w:val="55"/>
                <w:sz w:val="21"/>
                <w:szCs w:val="21"/>
              </w:rPr>
              <w:t>万</w:t>
            </w:r>
            <w:r w:rsidRPr="008301B8">
              <w:rPr>
                <w:rFonts w:ascii="Times New Roman" w:hAnsi="Times New Roman" w:cs="Times New Roman"/>
                <w:sz w:val="21"/>
                <w:szCs w:val="21"/>
              </w:rPr>
              <w:t>m³</w:t>
            </w:r>
          </w:p>
        </w:tc>
        <w:tc>
          <w:tcPr>
            <w:tcW w:w="437" w:type="pct"/>
            <w:vAlign w:val="center"/>
            <w:hideMark/>
          </w:tcPr>
          <w:p w:rsidR="008301B8" w:rsidRPr="008301B8" w:rsidRDefault="008301B8" w:rsidP="008301B8">
            <w:pPr>
              <w:pStyle w:val="TableParagraph"/>
              <w:spacing w:before="14" w:line="251" w:lineRule="exact"/>
              <w:ind w:left="29"/>
              <w:rPr>
                <w:rFonts w:ascii="Times New Roman" w:hAnsi="Times New Roman" w:cs="Times New Roman"/>
                <w:sz w:val="21"/>
                <w:szCs w:val="21"/>
              </w:rPr>
            </w:pPr>
            <w:r w:rsidRPr="008301B8">
              <w:rPr>
                <w:rFonts w:ascii="Times New Roman" w:hAnsi="Times New Roman" w:cs="Times New Roman"/>
                <w:sz w:val="21"/>
                <w:szCs w:val="21"/>
              </w:rPr>
              <w:t>m</w:t>
            </w:r>
          </w:p>
        </w:tc>
        <w:tc>
          <w:tcPr>
            <w:tcW w:w="437" w:type="pct"/>
            <w:vAlign w:val="center"/>
            <w:hideMark/>
          </w:tcPr>
          <w:p w:rsidR="008301B8" w:rsidRPr="008301B8" w:rsidRDefault="008301B8" w:rsidP="008301B8">
            <w:pPr>
              <w:pStyle w:val="TableParagraph"/>
              <w:spacing w:before="14" w:line="251" w:lineRule="exact"/>
              <w:ind w:right="154"/>
              <w:rPr>
                <w:rFonts w:ascii="Times New Roman" w:hAnsi="Times New Roman" w:cs="Times New Roman"/>
                <w:sz w:val="21"/>
                <w:szCs w:val="21"/>
              </w:rPr>
            </w:pPr>
            <w:r w:rsidRPr="008301B8">
              <w:rPr>
                <w:rFonts w:ascii="Times New Roman" w:hAnsi="Times New Roman" w:cs="Times New Roman"/>
                <w:sz w:val="21"/>
                <w:szCs w:val="21"/>
              </w:rPr>
              <w:t>m³/s</w:t>
            </w:r>
          </w:p>
        </w:tc>
        <w:tc>
          <w:tcPr>
            <w:tcW w:w="437" w:type="pct"/>
            <w:vAlign w:val="center"/>
            <w:hideMark/>
          </w:tcPr>
          <w:p w:rsidR="008301B8" w:rsidRPr="008301B8" w:rsidRDefault="008301B8" w:rsidP="008301B8">
            <w:pPr>
              <w:pStyle w:val="TableParagraph"/>
              <w:spacing w:before="14" w:line="251" w:lineRule="exact"/>
              <w:ind w:left="30"/>
              <w:rPr>
                <w:rFonts w:ascii="Times New Roman" w:hAnsi="Times New Roman" w:cs="Times New Roman"/>
                <w:sz w:val="21"/>
                <w:szCs w:val="21"/>
              </w:rPr>
            </w:pPr>
            <w:r w:rsidRPr="008301B8">
              <w:rPr>
                <w:rFonts w:ascii="Times New Roman" w:hAnsi="Times New Roman" w:cs="Times New Roman"/>
                <w:sz w:val="21"/>
                <w:szCs w:val="21"/>
              </w:rPr>
              <w:t>m</w:t>
            </w:r>
          </w:p>
        </w:tc>
        <w:tc>
          <w:tcPr>
            <w:tcW w:w="509" w:type="pct"/>
            <w:vAlign w:val="center"/>
            <w:hideMark/>
          </w:tcPr>
          <w:p w:rsidR="008301B8" w:rsidRPr="008301B8" w:rsidRDefault="008301B8" w:rsidP="008301B8">
            <w:pPr>
              <w:pStyle w:val="TableParagraph"/>
              <w:spacing w:before="2" w:line="263" w:lineRule="exact"/>
              <w:ind w:left="146" w:right="108"/>
              <w:rPr>
                <w:rFonts w:ascii="Times New Roman" w:hAnsi="Times New Roman" w:cs="Times New Roman"/>
                <w:sz w:val="21"/>
                <w:szCs w:val="21"/>
              </w:rPr>
            </w:pPr>
            <w:r w:rsidRPr="008301B8">
              <w:rPr>
                <w:rFonts w:ascii="Times New Roman" w:hAnsi="Times New Roman" w:cs="Times New Roman"/>
                <w:sz w:val="21"/>
                <w:szCs w:val="21"/>
              </w:rPr>
              <w:t>万度</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2" w:line="263" w:lineRule="exact"/>
              <w:ind w:left="21"/>
              <w:rPr>
                <w:rFonts w:ascii="Times New Roman" w:hAnsi="Times New Roman" w:cs="Times New Roman"/>
                <w:sz w:val="21"/>
                <w:szCs w:val="21"/>
              </w:rPr>
            </w:pPr>
            <w:r w:rsidRPr="008301B8">
              <w:rPr>
                <w:rFonts w:ascii="Times New Roman" w:hAnsi="Times New Roman" w:cs="Times New Roman"/>
                <w:sz w:val="21"/>
                <w:szCs w:val="21"/>
              </w:rPr>
              <w:t>一</w:t>
            </w:r>
          </w:p>
        </w:tc>
        <w:tc>
          <w:tcPr>
            <w:tcW w:w="726" w:type="pct"/>
            <w:vAlign w:val="center"/>
            <w:hideMark/>
          </w:tcPr>
          <w:p w:rsidR="008301B8" w:rsidRPr="008301B8" w:rsidRDefault="008301B8" w:rsidP="008301B8">
            <w:pPr>
              <w:pStyle w:val="TableParagraph"/>
              <w:spacing w:before="2" w:line="263" w:lineRule="exact"/>
              <w:ind w:left="113"/>
              <w:rPr>
                <w:rFonts w:ascii="Times New Roman" w:hAnsi="Times New Roman" w:cs="Times New Roman"/>
                <w:sz w:val="21"/>
                <w:szCs w:val="21"/>
              </w:rPr>
            </w:pPr>
            <w:r w:rsidRPr="008301B8">
              <w:rPr>
                <w:rFonts w:ascii="Times New Roman" w:hAnsi="Times New Roman" w:cs="Times New Roman"/>
                <w:sz w:val="21"/>
                <w:szCs w:val="21"/>
              </w:rPr>
              <w:t>已建电站</w:t>
            </w:r>
          </w:p>
        </w:tc>
        <w:tc>
          <w:tcPr>
            <w:tcW w:w="582"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4" w:line="251" w:lineRule="exact"/>
              <w:ind w:left="146" w:right="117"/>
              <w:rPr>
                <w:rFonts w:ascii="Times New Roman" w:hAnsi="Times New Roman" w:cs="Times New Roman"/>
                <w:bCs/>
                <w:sz w:val="21"/>
                <w:szCs w:val="21"/>
              </w:rPr>
            </w:pPr>
            <w:r w:rsidRPr="008301B8">
              <w:rPr>
                <w:rFonts w:ascii="Times New Roman" w:hAnsi="Times New Roman" w:cs="Times New Roman"/>
                <w:bCs/>
                <w:sz w:val="21"/>
                <w:szCs w:val="21"/>
              </w:rPr>
              <w:t>31800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4" w:line="251" w:lineRule="exact"/>
              <w:ind w:left="146" w:right="108"/>
              <w:rPr>
                <w:rFonts w:ascii="Times New Roman" w:hAnsi="Times New Roman" w:cs="Times New Roman"/>
                <w:bCs/>
                <w:sz w:val="21"/>
                <w:szCs w:val="21"/>
              </w:rPr>
            </w:pPr>
            <w:r w:rsidRPr="008301B8">
              <w:rPr>
                <w:rFonts w:ascii="Times New Roman" w:hAnsi="Times New Roman" w:cs="Times New Roman"/>
                <w:bCs/>
                <w:sz w:val="21"/>
                <w:szCs w:val="21"/>
              </w:rPr>
              <w:t>13964</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6" w:line="249" w:lineRule="exact"/>
              <w:ind w:left="21"/>
              <w:rPr>
                <w:rFonts w:ascii="Times New Roman" w:hAnsi="Times New Roman" w:cs="Times New Roman"/>
                <w:sz w:val="21"/>
                <w:szCs w:val="21"/>
              </w:rPr>
            </w:pPr>
            <w:r w:rsidRPr="008301B8">
              <w:rPr>
                <w:rFonts w:ascii="Times New Roman" w:hAnsi="Times New Roman" w:cs="Times New Roman"/>
                <w:sz w:val="21"/>
                <w:szCs w:val="21"/>
              </w:rPr>
              <w:t>1</w:t>
            </w:r>
          </w:p>
        </w:tc>
        <w:tc>
          <w:tcPr>
            <w:tcW w:w="726" w:type="pct"/>
            <w:vAlign w:val="center"/>
            <w:hideMark/>
          </w:tcPr>
          <w:p w:rsidR="008301B8" w:rsidRPr="008301B8" w:rsidRDefault="008301B8" w:rsidP="008301B8">
            <w:pPr>
              <w:pStyle w:val="TableParagraph"/>
              <w:spacing w:before="2" w:line="264" w:lineRule="exact"/>
              <w:ind w:left="113"/>
              <w:rPr>
                <w:rFonts w:ascii="Times New Roman" w:hAnsi="Times New Roman" w:cs="Times New Roman"/>
                <w:sz w:val="21"/>
                <w:szCs w:val="21"/>
              </w:rPr>
            </w:pPr>
            <w:r w:rsidRPr="008301B8">
              <w:rPr>
                <w:rFonts w:ascii="Times New Roman" w:hAnsi="Times New Roman" w:cs="Times New Roman"/>
                <w:sz w:val="21"/>
                <w:szCs w:val="21"/>
              </w:rPr>
              <w:t>高岚河</w:t>
            </w:r>
          </w:p>
        </w:tc>
        <w:tc>
          <w:tcPr>
            <w:tcW w:w="582" w:type="pct"/>
            <w:vAlign w:val="center"/>
            <w:hideMark/>
          </w:tcPr>
          <w:p w:rsidR="008301B8" w:rsidRPr="008301B8" w:rsidRDefault="008301B8" w:rsidP="008301B8">
            <w:pPr>
              <w:pStyle w:val="TableParagraph"/>
              <w:spacing w:before="2" w:line="264" w:lineRule="exact"/>
              <w:ind w:left="115"/>
              <w:rPr>
                <w:rFonts w:ascii="Times New Roman" w:hAnsi="Times New Roman" w:cs="Times New Roman"/>
                <w:sz w:val="21"/>
                <w:szCs w:val="21"/>
              </w:rPr>
            </w:pPr>
            <w:r w:rsidRPr="008301B8">
              <w:rPr>
                <w:rFonts w:ascii="Times New Roman" w:hAnsi="Times New Roman" w:cs="Times New Roman"/>
                <w:sz w:val="21"/>
                <w:szCs w:val="21"/>
              </w:rPr>
              <w:t>建阳坪</w:t>
            </w:r>
          </w:p>
        </w:tc>
        <w:tc>
          <w:tcPr>
            <w:tcW w:w="437" w:type="pct"/>
            <w:vAlign w:val="center"/>
            <w:hideMark/>
          </w:tcPr>
          <w:p w:rsidR="008301B8" w:rsidRPr="008301B8" w:rsidRDefault="008301B8" w:rsidP="008301B8">
            <w:pPr>
              <w:pStyle w:val="TableParagraph"/>
              <w:spacing w:before="16" w:line="249" w:lineRule="exact"/>
              <w:ind w:left="215"/>
              <w:rPr>
                <w:rFonts w:ascii="Times New Roman" w:hAnsi="Times New Roman" w:cs="Times New Roman"/>
                <w:sz w:val="21"/>
                <w:szCs w:val="21"/>
              </w:rPr>
            </w:pPr>
            <w:r w:rsidRPr="008301B8">
              <w:rPr>
                <w:rFonts w:ascii="Times New Roman" w:hAnsi="Times New Roman" w:cs="Times New Roman"/>
                <w:sz w:val="21"/>
                <w:szCs w:val="21"/>
              </w:rPr>
              <w:t>879</w:t>
            </w:r>
          </w:p>
        </w:tc>
        <w:tc>
          <w:tcPr>
            <w:tcW w:w="509" w:type="pct"/>
            <w:vAlign w:val="center"/>
            <w:hideMark/>
          </w:tcPr>
          <w:p w:rsidR="008301B8" w:rsidRPr="008301B8" w:rsidRDefault="008301B8" w:rsidP="008301B8">
            <w:pPr>
              <w:pStyle w:val="TableParagraph"/>
              <w:spacing w:before="16" w:line="249" w:lineRule="exact"/>
              <w:ind w:left="146" w:right="117"/>
              <w:rPr>
                <w:rFonts w:ascii="Times New Roman" w:hAnsi="Times New Roman" w:cs="Times New Roman"/>
                <w:sz w:val="21"/>
                <w:szCs w:val="21"/>
              </w:rPr>
            </w:pPr>
            <w:r w:rsidRPr="008301B8">
              <w:rPr>
                <w:rFonts w:ascii="Times New Roman" w:hAnsi="Times New Roman" w:cs="Times New Roman"/>
                <w:sz w:val="21"/>
                <w:szCs w:val="21"/>
              </w:rPr>
              <w:t>1000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6" w:line="249" w:lineRule="exact"/>
              <w:ind w:right="154"/>
              <w:rPr>
                <w:rFonts w:ascii="Times New Roman" w:hAnsi="Times New Roman" w:cs="Times New Roman"/>
                <w:sz w:val="21"/>
                <w:szCs w:val="21"/>
              </w:rPr>
            </w:pPr>
            <w:r w:rsidRPr="008301B8">
              <w:rPr>
                <w:rFonts w:ascii="Times New Roman" w:hAnsi="Times New Roman" w:cs="Times New Roman"/>
                <w:sz w:val="21"/>
                <w:szCs w:val="21"/>
              </w:rPr>
              <w:t>16.2</w:t>
            </w:r>
          </w:p>
        </w:tc>
        <w:tc>
          <w:tcPr>
            <w:tcW w:w="437" w:type="pct"/>
            <w:vAlign w:val="center"/>
            <w:hideMark/>
          </w:tcPr>
          <w:p w:rsidR="008301B8" w:rsidRPr="008301B8" w:rsidRDefault="008301B8" w:rsidP="008301B8">
            <w:pPr>
              <w:pStyle w:val="TableParagraph"/>
              <w:spacing w:before="16" w:line="249" w:lineRule="exact"/>
              <w:ind w:left="138" w:right="110"/>
              <w:rPr>
                <w:rFonts w:ascii="Times New Roman" w:hAnsi="Times New Roman" w:cs="Times New Roman"/>
                <w:sz w:val="21"/>
                <w:szCs w:val="21"/>
              </w:rPr>
            </w:pPr>
            <w:r w:rsidRPr="008301B8">
              <w:rPr>
                <w:rFonts w:ascii="Times New Roman" w:hAnsi="Times New Roman" w:cs="Times New Roman"/>
                <w:sz w:val="21"/>
                <w:szCs w:val="21"/>
              </w:rPr>
              <w:t>8.6</w:t>
            </w:r>
          </w:p>
        </w:tc>
        <w:tc>
          <w:tcPr>
            <w:tcW w:w="509" w:type="pct"/>
            <w:vAlign w:val="center"/>
            <w:hideMark/>
          </w:tcPr>
          <w:p w:rsidR="008301B8" w:rsidRPr="008301B8" w:rsidRDefault="008301B8" w:rsidP="008301B8">
            <w:pPr>
              <w:pStyle w:val="TableParagraph"/>
              <w:spacing w:before="16" w:line="249" w:lineRule="exact"/>
              <w:ind w:left="146" w:right="108"/>
              <w:rPr>
                <w:rFonts w:ascii="Times New Roman" w:hAnsi="Times New Roman" w:cs="Times New Roman"/>
                <w:sz w:val="21"/>
                <w:szCs w:val="21"/>
              </w:rPr>
            </w:pPr>
            <w:r w:rsidRPr="008301B8">
              <w:rPr>
                <w:rFonts w:ascii="Times New Roman" w:hAnsi="Times New Roman" w:cs="Times New Roman"/>
                <w:sz w:val="21"/>
                <w:szCs w:val="21"/>
              </w:rPr>
              <w:t>577</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5" w:line="249" w:lineRule="exact"/>
              <w:ind w:left="21"/>
              <w:rPr>
                <w:rFonts w:ascii="Times New Roman" w:hAnsi="Times New Roman" w:cs="Times New Roman"/>
                <w:sz w:val="21"/>
                <w:szCs w:val="21"/>
              </w:rPr>
            </w:pPr>
            <w:r w:rsidRPr="008301B8">
              <w:rPr>
                <w:rFonts w:ascii="Times New Roman" w:hAnsi="Times New Roman" w:cs="Times New Roman"/>
                <w:sz w:val="21"/>
                <w:szCs w:val="21"/>
              </w:rPr>
              <w:t>2</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before="1" w:line="264" w:lineRule="exact"/>
              <w:ind w:left="115"/>
              <w:rPr>
                <w:rFonts w:ascii="Times New Roman" w:hAnsi="Times New Roman" w:cs="Times New Roman"/>
                <w:sz w:val="21"/>
                <w:szCs w:val="21"/>
              </w:rPr>
            </w:pPr>
            <w:r w:rsidRPr="008301B8">
              <w:rPr>
                <w:rFonts w:ascii="Times New Roman" w:hAnsi="Times New Roman" w:cs="Times New Roman"/>
                <w:sz w:val="21"/>
                <w:szCs w:val="21"/>
              </w:rPr>
              <w:t>石家坝</w:t>
            </w:r>
          </w:p>
        </w:tc>
        <w:tc>
          <w:tcPr>
            <w:tcW w:w="437" w:type="pct"/>
            <w:vAlign w:val="center"/>
            <w:hideMark/>
          </w:tcPr>
          <w:p w:rsidR="008301B8" w:rsidRPr="008301B8" w:rsidRDefault="008301B8" w:rsidP="008301B8">
            <w:pPr>
              <w:pStyle w:val="TableParagraph"/>
              <w:spacing w:before="15" w:line="249" w:lineRule="exact"/>
              <w:ind w:left="215"/>
              <w:rPr>
                <w:rFonts w:ascii="Times New Roman" w:hAnsi="Times New Roman" w:cs="Times New Roman"/>
                <w:sz w:val="21"/>
                <w:szCs w:val="21"/>
              </w:rPr>
            </w:pPr>
            <w:r w:rsidRPr="008301B8">
              <w:rPr>
                <w:rFonts w:ascii="Times New Roman" w:hAnsi="Times New Roman" w:cs="Times New Roman"/>
                <w:sz w:val="21"/>
                <w:szCs w:val="21"/>
              </w:rPr>
              <w:t>812</w:t>
            </w:r>
          </w:p>
        </w:tc>
        <w:tc>
          <w:tcPr>
            <w:tcW w:w="509" w:type="pct"/>
            <w:vAlign w:val="center"/>
            <w:hideMark/>
          </w:tcPr>
          <w:p w:rsidR="008301B8" w:rsidRPr="008301B8" w:rsidRDefault="008301B8" w:rsidP="008301B8">
            <w:pPr>
              <w:pStyle w:val="TableParagraph"/>
              <w:spacing w:before="15" w:line="249" w:lineRule="exact"/>
              <w:ind w:left="146" w:right="117"/>
              <w:rPr>
                <w:rFonts w:ascii="Times New Roman" w:hAnsi="Times New Roman" w:cs="Times New Roman"/>
                <w:sz w:val="21"/>
                <w:szCs w:val="21"/>
              </w:rPr>
            </w:pPr>
            <w:r w:rsidRPr="008301B8">
              <w:rPr>
                <w:rFonts w:ascii="Times New Roman" w:hAnsi="Times New Roman" w:cs="Times New Roman"/>
                <w:sz w:val="21"/>
                <w:szCs w:val="21"/>
              </w:rPr>
              <w:t>3750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5" w:line="249" w:lineRule="exact"/>
              <w:ind w:right="238"/>
              <w:rPr>
                <w:rFonts w:ascii="Times New Roman" w:hAnsi="Times New Roman" w:cs="Times New Roman"/>
                <w:sz w:val="21"/>
                <w:szCs w:val="21"/>
              </w:rPr>
            </w:pPr>
            <w:r w:rsidRPr="008301B8">
              <w:rPr>
                <w:rFonts w:ascii="Times New Roman" w:hAnsi="Times New Roman" w:cs="Times New Roman"/>
                <w:sz w:val="21"/>
                <w:szCs w:val="21"/>
              </w:rPr>
              <w:t>10</w:t>
            </w:r>
          </w:p>
        </w:tc>
        <w:tc>
          <w:tcPr>
            <w:tcW w:w="437" w:type="pct"/>
            <w:vAlign w:val="center"/>
            <w:hideMark/>
          </w:tcPr>
          <w:p w:rsidR="008301B8" w:rsidRPr="008301B8" w:rsidRDefault="008301B8" w:rsidP="008301B8">
            <w:pPr>
              <w:pStyle w:val="TableParagraph"/>
              <w:spacing w:before="15" w:line="249" w:lineRule="exact"/>
              <w:ind w:left="136" w:right="110"/>
              <w:rPr>
                <w:rFonts w:ascii="Times New Roman" w:hAnsi="Times New Roman" w:cs="Times New Roman"/>
                <w:sz w:val="21"/>
                <w:szCs w:val="21"/>
              </w:rPr>
            </w:pPr>
            <w:r w:rsidRPr="008301B8">
              <w:rPr>
                <w:rFonts w:ascii="Times New Roman" w:hAnsi="Times New Roman" w:cs="Times New Roman"/>
                <w:sz w:val="21"/>
                <w:szCs w:val="21"/>
              </w:rPr>
              <w:t>42</w:t>
            </w:r>
          </w:p>
        </w:tc>
        <w:tc>
          <w:tcPr>
            <w:tcW w:w="509" w:type="pct"/>
            <w:vAlign w:val="center"/>
            <w:hideMark/>
          </w:tcPr>
          <w:p w:rsidR="008301B8" w:rsidRPr="008301B8" w:rsidRDefault="008301B8" w:rsidP="008301B8">
            <w:pPr>
              <w:pStyle w:val="TableParagraph"/>
              <w:spacing w:before="15" w:line="249" w:lineRule="exact"/>
              <w:ind w:left="146" w:right="108"/>
              <w:rPr>
                <w:rFonts w:ascii="Times New Roman" w:hAnsi="Times New Roman" w:cs="Times New Roman"/>
                <w:sz w:val="21"/>
                <w:szCs w:val="21"/>
              </w:rPr>
            </w:pPr>
            <w:r w:rsidRPr="008301B8">
              <w:rPr>
                <w:rFonts w:ascii="Times New Roman" w:hAnsi="Times New Roman" w:cs="Times New Roman"/>
                <w:sz w:val="21"/>
                <w:szCs w:val="21"/>
              </w:rPr>
              <w:t>1481</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5" w:line="249" w:lineRule="exact"/>
              <w:ind w:left="21"/>
              <w:rPr>
                <w:rFonts w:ascii="Times New Roman" w:hAnsi="Times New Roman" w:cs="Times New Roman"/>
                <w:sz w:val="21"/>
                <w:szCs w:val="21"/>
              </w:rPr>
            </w:pPr>
            <w:r w:rsidRPr="008301B8">
              <w:rPr>
                <w:rFonts w:ascii="Times New Roman" w:hAnsi="Times New Roman" w:cs="Times New Roman"/>
                <w:sz w:val="21"/>
                <w:szCs w:val="21"/>
              </w:rPr>
              <w:t>3</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before="1" w:line="264" w:lineRule="exact"/>
              <w:ind w:left="115"/>
              <w:rPr>
                <w:rFonts w:ascii="Times New Roman" w:hAnsi="Times New Roman" w:cs="Times New Roman"/>
                <w:sz w:val="21"/>
                <w:szCs w:val="21"/>
              </w:rPr>
            </w:pPr>
            <w:r w:rsidRPr="008301B8">
              <w:rPr>
                <w:rFonts w:ascii="Times New Roman" w:hAnsi="Times New Roman" w:cs="Times New Roman"/>
                <w:sz w:val="21"/>
                <w:szCs w:val="21"/>
              </w:rPr>
              <w:t>杨道河</w:t>
            </w:r>
          </w:p>
        </w:tc>
        <w:tc>
          <w:tcPr>
            <w:tcW w:w="437" w:type="pct"/>
            <w:vAlign w:val="center"/>
            <w:hideMark/>
          </w:tcPr>
          <w:p w:rsidR="008301B8" w:rsidRPr="008301B8" w:rsidRDefault="008301B8" w:rsidP="008301B8">
            <w:pPr>
              <w:pStyle w:val="TableParagraph"/>
              <w:spacing w:before="15" w:line="249" w:lineRule="exact"/>
              <w:ind w:left="215"/>
              <w:rPr>
                <w:rFonts w:ascii="Times New Roman" w:hAnsi="Times New Roman" w:cs="Times New Roman"/>
                <w:sz w:val="21"/>
                <w:szCs w:val="21"/>
              </w:rPr>
            </w:pPr>
            <w:r w:rsidRPr="008301B8">
              <w:rPr>
                <w:rFonts w:ascii="Times New Roman" w:hAnsi="Times New Roman" w:cs="Times New Roman"/>
                <w:sz w:val="21"/>
                <w:szCs w:val="21"/>
              </w:rPr>
              <w:t>692</w:t>
            </w:r>
          </w:p>
        </w:tc>
        <w:tc>
          <w:tcPr>
            <w:tcW w:w="509" w:type="pct"/>
            <w:vAlign w:val="center"/>
            <w:hideMark/>
          </w:tcPr>
          <w:p w:rsidR="008301B8" w:rsidRPr="008301B8" w:rsidRDefault="008301B8" w:rsidP="008301B8">
            <w:pPr>
              <w:pStyle w:val="TableParagraph"/>
              <w:spacing w:before="15" w:line="249" w:lineRule="exact"/>
              <w:ind w:left="146" w:right="117"/>
              <w:rPr>
                <w:rFonts w:ascii="Times New Roman" w:hAnsi="Times New Roman" w:cs="Times New Roman"/>
                <w:sz w:val="21"/>
                <w:szCs w:val="21"/>
              </w:rPr>
            </w:pPr>
            <w:r w:rsidRPr="008301B8">
              <w:rPr>
                <w:rFonts w:ascii="Times New Roman" w:hAnsi="Times New Roman" w:cs="Times New Roman"/>
                <w:sz w:val="21"/>
                <w:szCs w:val="21"/>
              </w:rPr>
              <w:t>7500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5" w:line="249" w:lineRule="exact"/>
              <w:ind w:right="238"/>
              <w:rPr>
                <w:rFonts w:ascii="Times New Roman" w:hAnsi="Times New Roman" w:cs="Times New Roman"/>
                <w:sz w:val="21"/>
                <w:szCs w:val="21"/>
              </w:rPr>
            </w:pPr>
            <w:r w:rsidRPr="008301B8">
              <w:rPr>
                <w:rFonts w:ascii="Times New Roman" w:hAnsi="Times New Roman" w:cs="Times New Roman"/>
                <w:sz w:val="21"/>
                <w:szCs w:val="21"/>
              </w:rPr>
              <w:t>14</w:t>
            </w:r>
          </w:p>
        </w:tc>
        <w:tc>
          <w:tcPr>
            <w:tcW w:w="437" w:type="pct"/>
            <w:vAlign w:val="center"/>
            <w:hideMark/>
          </w:tcPr>
          <w:p w:rsidR="008301B8" w:rsidRPr="008301B8" w:rsidRDefault="008301B8" w:rsidP="008301B8">
            <w:pPr>
              <w:pStyle w:val="TableParagraph"/>
              <w:spacing w:before="15" w:line="249" w:lineRule="exact"/>
              <w:ind w:left="136" w:right="110"/>
              <w:rPr>
                <w:rFonts w:ascii="Times New Roman" w:hAnsi="Times New Roman" w:cs="Times New Roman"/>
                <w:sz w:val="21"/>
                <w:szCs w:val="21"/>
              </w:rPr>
            </w:pPr>
            <w:r w:rsidRPr="008301B8">
              <w:rPr>
                <w:rFonts w:ascii="Times New Roman" w:hAnsi="Times New Roman" w:cs="Times New Roman"/>
                <w:sz w:val="21"/>
                <w:szCs w:val="21"/>
              </w:rPr>
              <w:t>75</w:t>
            </w:r>
          </w:p>
        </w:tc>
        <w:tc>
          <w:tcPr>
            <w:tcW w:w="509" w:type="pct"/>
            <w:vAlign w:val="center"/>
            <w:hideMark/>
          </w:tcPr>
          <w:p w:rsidR="008301B8" w:rsidRPr="008301B8" w:rsidRDefault="008301B8" w:rsidP="008301B8">
            <w:pPr>
              <w:pStyle w:val="TableParagraph"/>
              <w:spacing w:before="15" w:line="249" w:lineRule="exact"/>
              <w:ind w:left="146" w:right="108"/>
              <w:rPr>
                <w:rFonts w:ascii="Times New Roman" w:hAnsi="Times New Roman" w:cs="Times New Roman"/>
                <w:sz w:val="21"/>
                <w:szCs w:val="21"/>
              </w:rPr>
            </w:pPr>
            <w:r w:rsidRPr="008301B8">
              <w:rPr>
                <w:rFonts w:ascii="Times New Roman" w:hAnsi="Times New Roman" w:cs="Times New Roman"/>
                <w:sz w:val="21"/>
                <w:szCs w:val="21"/>
              </w:rPr>
              <w:t>3802</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5" w:line="250" w:lineRule="exact"/>
              <w:ind w:left="21"/>
              <w:rPr>
                <w:rFonts w:ascii="Times New Roman" w:hAnsi="Times New Roman" w:cs="Times New Roman"/>
                <w:sz w:val="21"/>
                <w:szCs w:val="21"/>
              </w:rPr>
            </w:pPr>
            <w:r w:rsidRPr="008301B8">
              <w:rPr>
                <w:rFonts w:ascii="Times New Roman" w:hAnsi="Times New Roman" w:cs="Times New Roman"/>
                <w:sz w:val="21"/>
                <w:szCs w:val="21"/>
              </w:rPr>
              <w:t>4</w:t>
            </w:r>
          </w:p>
        </w:tc>
        <w:tc>
          <w:tcPr>
            <w:tcW w:w="726" w:type="pct"/>
            <w:vAlign w:val="center"/>
            <w:hideMark/>
          </w:tcPr>
          <w:p w:rsidR="008301B8" w:rsidRPr="008301B8" w:rsidRDefault="008301B8" w:rsidP="008301B8">
            <w:pPr>
              <w:pStyle w:val="TableParagraph"/>
              <w:spacing w:before="1" w:line="265" w:lineRule="exact"/>
              <w:ind w:left="113"/>
              <w:rPr>
                <w:rFonts w:ascii="Times New Roman" w:hAnsi="Times New Roman" w:cs="Times New Roman"/>
                <w:sz w:val="21"/>
                <w:szCs w:val="21"/>
              </w:rPr>
            </w:pPr>
            <w:r w:rsidRPr="008301B8">
              <w:rPr>
                <w:rFonts w:ascii="Times New Roman" w:hAnsi="Times New Roman" w:cs="Times New Roman"/>
                <w:sz w:val="21"/>
                <w:szCs w:val="21"/>
              </w:rPr>
              <w:t>孔子河</w:t>
            </w:r>
          </w:p>
        </w:tc>
        <w:tc>
          <w:tcPr>
            <w:tcW w:w="582" w:type="pct"/>
            <w:vAlign w:val="center"/>
            <w:hideMark/>
          </w:tcPr>
          <w:p w:rsidR="008301B8" w:rsidRPr="008301B8" w:rsidRDefault="008301B8" w:rsidP="008301B8">
            <w:pPr>
              <w:pStyle w:val="TableParagraph"/>
              <w:spacing w:before="1" w:line="265" w:lineRule="exact"/>
              <w:ind w:left="115"/>
              <w:rPr>
                <w:rFonts w:ascii="Times New Roman" w:hAnsi="Times New Roman" w:cs="Times New Roman"/>
                <w:sz w:val="21"/>
                <w:szCs w:val="21"/>
              </w:rPr>
            </w:pPr>
            <w:r w:rsidRPr="008301B8">
              <w:rPr>
                <w:rFonts w:ascii="Times New Roman" w:hAnsi="Times New Roman" w:cs="Times New Roman"/>
                <w:sz w:val="21"/>
                <w:szCs w:val="21"/>
              </w:rPr>
              <w:t>朝天吼</w:t>
            </w:r>
          </w:p>
        </w:tc>
        <w:tc>
          <w:tcPr>
            <w:tcW w:w="437" w:type="pct"/>
            <w:vAlign w:val="center"/>
            <w:hideMark/>
          </w:tcPr>
          <w:p w:rsidR="008301B8" w:rsidRPr="008301B8" w:rsidRDefault="008301B8" w:rsidP="008301B8">
            <w:pPr>
              <w:pStyle w:val="TableParagraph"/>
              <w:spacing w:before="15" w:line="250" w:lineRule="exact"/>
              <w:ind w:left="215"/>
              <w:rPr>
                <w:rFonts w:ascii="Times New Roman" w:hAnsi="Times New Roman" w:cs="Times New Roman"/>
                <w:sz w:val="21"/>
                <w:szCs w:val="21"/>
              </w:rPr>
            </w:pPr>
            <w:r w:rsidRPr="008301B8">
              <w:rPr>
                <w:rFonts w:ascii="Times New Roman" w:hAnsi="Times New Roman" w:cs="Times New Roman"/>
                <w:sz w:val="21"/>
                <w:szCs w:val="21"/>
              </w:rPr>
              <w:t>433</w:t>
            </w:r>
          </w:p>
        </w:tc>
        <w:tc>
          <w:tcPr>
            <w:tcW w:w="509" w:type="pct"/>
            <w:vAlign w:val="center"/>
            <w:hideMark/>
          </w:tcPr>
          <w:p w:rsidR="008301B8" w:rsidRPr="008301B8" w:rsidRDefault="008301B8" w:rsidP="008301B8">
            <w:pPr>
              <w:pStyle w:val="TableParagraph"/>
              <w:spacing w:before="15" w:line="250" w:lineRule="exact"/>
              <w:ind w:left="146" w:right="117"/>
              <w:rPr>
                <w:rFonts w:ascii="Times New Roman" w:hAnsi="Times New Roman" w:cs="Times New Roman"/>
                <w:sz w:val="21"/>
                <w:szCs w:val="21"/>
              </w:rPr>
            </w:pPr>
            <w:r w:rsidRPr="008301B8">
              <w:rPr>
                <w:rFonts w:ascii="Times New Roman" w:hAnsi="Times New Roman" w:cs="Times New Roman"/>
                <w:sz w:val="21"/>
                <w:szCs w:val="21"/>
              </w:rPr>
              <w:t>5000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5" w:line="250" w:lineRule="exact"/>
              <w:ind w:right="154"/>
              <w:rPr>
                <w:rFonts w:ascii="Times New Roman" w:hAnsi="Times New Roman" w:cs="Times New Roman"/>
                <w:sz w:val="21"/>
                <w:szCs w:val="21"/>
              </w:rPr>
            </w:pPr>
            <w:r w:rsidRPr="008301B8">
              <w:rPr>
                <w:rFonts w:ascii="Times New Roman" w:hAnsi="Times New Roman" w:cs="Times New Roman"/>
                <w:sz w:val="21"/>
                <w:szCs w:val="21"/>
              </w:rPr>
              <w:t>7.86</w:t>
            </w:r>
          </w:p>
        </w:tc>
        <w:tc>
          <w:tcPr>
            <w:tcW w:w="437" w:type="pct"/>
            <w:vAlign w:val="center"/>
            <w:hideMark/>
          </w:tcPr>
          <w:p w:rsidR="008301B8" w:rsidRPr="008301B8" w:rsidRDefault="008301B8" w:rsidP="008301B8">
            <w:pPr>
              <w:pStyle w:val="TableParagraph"/>
              <w:spacing w:before="15" w:line="250" w:lineRule="exact"/>
              <w:ind w:left="138" w:right="110"/>
              <w:rPr>
                <w:rFonts w:ascii="Times New Roman" w:hAnsi="Times New Roman" w:cs="Times New Roman"/>
                <w:sz w:val="21"/>
                <w:szCs w:val="21"/>
              </w:rPr>
            </w:pPr>
            <w:r w:rsidRPr="008301B8">
              <w:rPr>
                <w:rFonts w:ascii="Times New Roman" w:hAnsi="Times New Roman" w:cs="Times New Roman"/>
                <w:sz w:val="21"/>
                <w:szCs w:val="21"/>
              </w:rPr>
              <w:t>79.7</w:t>
            </w:r>
          </w:p>
        </w:tc>
        <w:tc>
          <w:tcPr>
            <w:tcW w:w="509" w:type="pct"/>
            <w:vAlign w:val="center"/>
            <w:hideMark/>
          </w:tcPr>
          <w:p w:rsidR="008301B8" w:rsidRPr="008301B8" w:rsidRDefault="008301B8" w:rsidP="008301B8">
            <w:pPr>
              <w:pStyle w:val="TableParagraph"/>
              <w:spacing w:before="15" w:line="250" w:lineRule="exact"/>
              <w:ind w:left="146" w:right="108"/>
              <w:rPr>
                <w:rFonts w:ascii="Times New Roman" w:hAnsi="Times New Roman" w:cs="Times New Roman"/>
                <w:sz w:val="21"/>
                <w:szCs w:val="21"/>
              </w:rPr>
            </w:pPr>
            <w:r w:rsidRPr="008301B8">
              <w:rPr>
                <w:rFonts w:ascii="Times New Roman" w:hAnsi="Times New Roman" w:cs="Times New Roman"/>
                <w:sz w:val="21"/>
                <w:szCs w:val="21"/>
              </w:rPr>
              <w:t>1885</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4" w:line="250" w:lineRule="exact"/>
              <w:ind w:left="21"/>
              <w:rPr>
                <w:rFonts w:ascii="Times New Roman" w:hAnsi="Times New Roman" w:cs="Times New Roman"/>
                <w:sz w:val="21"/>
                <w:szCs w:val="21"/>
              </w:rPr>
            </w:pPr>
            <w:r w:rsidRPr="008301B8">
              <w:rPr>
                <w:rFonts w:ascii="Times New Roman" w:hAnsi="Times New Roman" w:cs="Times New Roman"/>
                <w:sz w:val="21"/>
                <w:szCs w:val="21"/>
              </w:rPr>
              <w:t>5</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line="265" w:lineRule="exact"/>
              <w:ind w:left="115"/>
              <w:rPr>
                <w:rFonts w:ascii="Times New Roman" w:hAnsi="Times New Roman" w:cs="Times New Roman"/>
                <w:sz w:val="21"/>
                <w:szCs w:val="21"/>
              </w:rPr>
            </w:pPr>
            <w:r w:rsidRPr="008301B8">
              <w:rPr>
                <w:rFonts w:ascii="Times New Roman" w:hAnsi="Times New Roman" w:cs="Times New Roman"/>
                <w:sz w:val="21"/>
                <w:szCs w:val="21"/>
              </w:rPr>
              <w:t>高岚河</w:t>
            </w:r>
          </w:p>
        </w:tc>
        <w:tc>
          <w:tcPr>
            <w:tcW w:w="437" w:type="pct"/>
            <w:vAlign w:val="center"/>
            <w:hideMark/>
          </w:tcPr>
          <w:p w:rsidR="008301B8" w:rsidRPr="008301B8" w:rsidRDefault="008301B8" w:rsidP="008301B8">
            <w:pPr>
              <w:pStyle w:val="TableParagraph"/>
              <w:spacing w:before="14" w:line="250" w:lineRule="exact"/>
              <w:ind w:left="215"/>
              <w:rPr>
                <w:rFonts w:ascii="Times New Roman" w:hAnsi="Times New Roman" w:cs="Times New Roman"/>
                <w:sz w:val="21"/>
                <w:szCs w:val="21"/>
              </w:rPr>
            </w:pPr>
            <w:r w:rsidRPr="008301B8">
              <w:rPr>
                <w:rFonts w:ascii="Times New Roman" w:hAnsi="Times New Roman" w:cs="Times New Roman"/>
                <w:sz w:val="21"/>
                <w:szCs w:val="21"/>
              </w:rPr>
              <w:t>341</w:t>
            </w:r>
          </w:p>
        </w:tc>
        <w:tc>
          <w:tcPr>
            <w:tcW w:w="509" w:type="pct"/>
            <w:vAlign w:val="center"/>
            <w:hideMark/>
          </w:tcPr>
          <w:p w:rsidR="008301B8" w:rsidRPr="008301B8" w:rsidRDefault="008301B8" w:rsidP="008301B8">
            <w:pPr>
              <w:pStyle w:val="TableParagraph"/>
              <w:spacing w:before="14" w:line="250" w:lineRule="exact"/>
              <w:ind w:left="146" w:right="117"/>
              <w:rPr>
                <w:rFonts w:ascii="Times New Roman" w:hAnsi="Times New Roman" w:cs="Times New Roman"/>
                <w:sz w:val="21"/>
                <w:szCs w:val="21"/>
              </w:rPr>
            </w:pPr>
            <w:r w:rsidRPr="008301B8">
              <w:rPr>
                <w:rFonts w:ascii="Times New Roman" w:hAnsi="Times New Roman" w:cs="Times New Roman"/>
                <w:sz w:val="21"/>
                <w:szCs w:val="21"/>
              </w:rPr>
              <w:t>1050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4" w:line="250" w:lineRule="exact"/>
              <w:ind w:right="209"/>
              <w:rPr>
                <w:rFonts w:ascii="Times New Roman" w:hAnsi="Times New Roman" w:cs="Times New Roman"/>
                <w:sz w:val="21"/>
                <w:szCs w:val="21"/>
              </w:rPr>
            </w:pPr>
            <w:r w:rsidRPr="008301B8">
              <w:rPr>
                <w:rFonts w:ascii="Times New Roman" w:hAnsi="Times New Roman" w:cs="Times New Roman"/>
                <w:sz w:val="21"/>
                <w:szCs w:val="21"/>
              </w:rPr>
              <w:t>4.7</w:t>
            </w:r>
          </w:p>
        </w:tc>
        <w:tc>
          <w:tcPr>
            <w:tcW w:w="437" w:type="pct"/>
            <w:vAlign w:val="center"/>
            <w:hideMark/>
          </w:tcPr>
          <w:p w:rsidR="008301B8" w:rsidRPr="008301B8" w:rsidRDefault="008301B8" w:rsidP="008301B8">
            <w:pPr>
              <w:pStyle w:val="TableParagraph"/>
              <w:spacing w:before="14" w:line="250" w:lineRule="exact"/>
              <w:ind w:left="138" w:right="110"/>
              <w:rPr>
                <w:rFonts w:ascii="Times New Roman" w:hAnsi="Times New Roman" w:cs="Times New Roman"/>
                <w:sz w:val="21"/>
                <w:szCs w:val="21"/>
              </w:rPr>
            </w:pPr>
            <w:r w:rsidRPr="008301B8">
              <w:rPr>
                <w:rFonts w:ascii="Times New Roman" w:hAnsi="Times New Roman" w:cs="Times New Roman"/>
                <w:sz w:val="21"/>
                <w:szCs w:val="21"/>
              </w:rPr>
              <w:t>28.5</w:t>
            </w:r>
          </w:p>
        </w:tc>
        <w:tc>
          <w:tcPr>
            <w:tcW w:w="509" w:type="pct"/>
            <w:vAlign w:val="center"/>
            <w:hideMark/>
          </w:tcPr>
          <w:p w:rsidR="008301B8" w:rsidRPr="008301B8" w:rsidRDefault="008301B8" w:rsidP="008301B8">
            <w:pPr>
              <w:pStyle w:val="TableParagraph"/>
              <w:spacing w:before="14" w:line="250" w:lineRule="exact"/>
              <w:ind w:left="146" w:right="108"/>
              <w:rPr>
                <w:rFonts w:ascii="Times New Roman" w:hAnsi="Times New Roman" w:cs="Times New Roman"/>
                <w:sz w:val="21"/>
                <w:szCs w:val="21"/>
              </w:rPr>
            </w:pPr>
            <w:r w:rsidRPr="008301B8">
              <w:rPr>
                <w:rFonts w:ascii="Times New Roman" w:hAnsi="Times New Roman" w:cs="Times New Roman"/>
                <w:sz w:val="21"/>
                <w:szCs w:val="21"/>
              </w:rPr>
              <w:t>407</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4" w:line="250" w:lineRule="exact"/>
              <w:ind w:left="21"/>
              <w:rPr>
                <w:rFonts w:ascii="Times New Roman" w:hAnsi="Times New Roman" w:cs="Times New Roman"/>
                <w:sz w:val="21"/>
                <w:szCs w:val="21"/>
              </w:rPr>
            </w:pPr>
            <w:r w:rsidRPr="008301B8">
              <w:rPr>
                <w:rFonts w:ascii="Times New Roman" w:hAnsi="Times New Roman" w:cs="Times New Roman"/>
                <w:sz w:val="21"/>
                <w:szCs w:val="21"/>
              </w:rPr>
              <w:t>6</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line="265" w:lineRule="exact"/>
              <w:ind w:left="115"/>
              <w:rPr>
                <w:rFonts w:ascii="Times New Roman" w:hAnsi="Times New Roman" w:cs="Times New Roman"/>
                <w:sz w:val="21"/>
                <w:szCs w:val="21"/>
              </w:rPr>
            </w:pPr>
            <w:r w:rsidRPr="008301B8">
              <w:rPr>
                <w:rFonts w:ascii="Times New Roman" w:hAnsi="Times New Roman" w:cs="Times New Roman"/>
                <w:sz w:val="21"/>
                <w:szCs w:val="21"/>
              </w:rPr>
              <w:t>孔子峡</w:t>
            </w:r>
          </w:p>
        </w:tc>
        <w:tc>
          <w:tcPr>
            <w:tcW w:w="437" w:type="pct"/>
            <w:vAlign w:val="center"/>
            <w:hideMark/>
          </w:tcPr>
          <w:p w:rsidR="008301B8" w:rsidRPr="008301B8" w:rsidRDefault="008301B8" w:rsidP="008301B8">
            <w:pPr>
              <w:pStyle w:val="TableParagraph"/>
              <w:spacing w:before="14" w:line="250" w:lineRule="exact"/>
              <w:ind w:left="215"/>
              <w:rPr>
                <w:rFonts w:ascii="Times New Roman" w:hAnsi="Times New Roman" w:cs="Times New Roman"/>
                <w:sz w:val="21"/>
                <w:szCs w:val="21"/>
              </w:rPr>
            </w:pPr>
            <w:r w:rsidRPr="008301B8">
              <w:rPr>
                <w:rFonts w:ascii="Times New Roman" w:hAnsi="Times New Roman" w:cs="Times New Roman"/>
                <w:sz w:val="21"/>
                <w:szCs w:val="21"/>
              </w:rPr>
              <w:t>260</w:t>
            </w:r>
          </w:p>
        </w:tc>
        <w:tc>
          <w:tcPr>
            <w:tcW w:w="509" w:type="pct"/>
            <w:vAlign w:val="center"/>
            <w:hideMark/>
          </w:tcPr>
          <w:p w:rsidR="008301B8" w:rsidRPr="008301B8" w:rsidRDefault="008301B8" w:rsidP="008301B8">
            <w:pPr>
              <w:pStyle w:val="TableParagraph"/>
              <w:spacing w:before="14" w:line="250" w:lineRule="exact"/>
              <w:ind w:left="146" w:right="117"/>
              <w:rPr>
                <w:rFonts w:ascii="Times New Roman" w:hAnsi="Times New Roman" w:cs="Times New Roman"/>
                <w:sz w:val="21"/>
                <w:szCs w:val="21"/>
              </w:rPr>
            </w:pPr>
            <w:r w:rsidRPr="008301B8">
              <w:rPr>
                <w:rFonts w:ascii="Times New Roman" w:hAnsi="Times New Roman" w:cs="Times New Roman"/>
                <w:sz w:val="21"/>
                <w:szCs w:val="21"/>
              </w:rPr>
              <w:t>4000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4" w:line="250" w:lineRule="exact"/>
              <w:ind w:right="209"/>
              <w:rPr>
                <w:rFonts w:ascii="Times New Roman" w:hAnsi="Times New Roman" w:cs="Times New Roman"/>
                <w:sz w:val="21"/>
                <w:szCs w:val="21"/>
              </w:rPr>
            </w:pPr>
            <w:r w:rsidRPr="008301B8">
              <w:rPr>
                <w:rFonts w:ascii="Times New Roman" w:hAnsi="Times New Roman" w:cs="Times New Roman"/>
                <w:sz w:val="21"/>
                <w:szCs w:val="21"/>
              </w:rPr>
              <w:t>6.0</w:t>
            </w:r>
          </w:p>
        </w:tc>
        <w:tc>
          <w:tcPr>
            <w:tcW w:w="437" w:type="pct"/>
            <w:vAlign w:val="center"/>
            <w:hideMark/>
          </w:tcPr>
          <w:p w:rsidR="008301B8" w:rsidRPr="008301B8" w:rsidRDefault="008301B8" w:rsidP="008301B8">
            <w:pPr>
              <w:pStyle w:val="TableParagraph"/>
              <w:spacing w:before="14" w:line="250" w:lineRule="exact"/>
              <w:ind w:left="138" w:right="110"/>
              <w:rPr>
                <w:rFonts w:ascii="Times New Roman" w:hAnsi="Times New Roman" w:cs="Times New Roman"/>
                <w:sz w:val="21"/>
                <w:szCs w:val="21"/>
              </w:rPr>
            </w:pPr>
            <w:r w:rsidRPr="008301B8">
              <w:rPr>
                <w:rFonts w:ascii="Times New Roman" w:hAnsi="Times New Roman" w:cs="Times New Roman"/>
                <w:sz w:val="21"/>
                <w:szCs w:val="21"/>
              </w:rPr>
              <w:t>83.5</w:t>
            </w:r>
          </w:p>
        </w:tc>
        <w:tc>
          <w:tcPr>
            <w:tcW w:w="509" w:type="pct"/>
            <w:vAlign w:val="center"/>
            <w:hideMark/>
          </w:tcPr>
          <w:p w:rsidR="008301B8" w:rsidRPr="008301B8" w:rsidRDefault="008301B8" w:rsidP="008301B8">
            <w:pPr>
              <w:pStyle w:val="TableParagraph"/>
              <w:spacing w:before="14" w:line="250" w:lineRule="exact"/>
              <w:ind w:left="146" w:right="108"/>
              <w:rPr>
                <w:rFonts w:ascii="Times New Roman" w:hAnsi="Times New Roman" w:cs="Times New Roman"/>
                <w:sz w:val="21"/>
                <w:szCs w:val="21"/>
              </w:rPr>
            </w:pPr>
            <w:r w:rsidRPr="008301B8">
              <w:rPr>
                <w:rFonts w:ascii="Times New Roman" w:hAnsi="Times New Roman" w:cs="Times New Roman"/>
                <w:sz w:val="21"/>
                <w:szCs w:val="21"/>
              </w:rPr>
              <w:t>1636</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4" w:line="250" w:lineRule="exact"/>
              <w:ind w:left="21"/>
              <w:rPr>
                <w:rFonts w:ascii="Times New Roman" w:hAnsi="Times New Roman" w:cs="Times New Roman"/>
                <w:sz w:val="21"/>
                <w:szCs w:val="21"/>
              </w:rPr>
            </w:pPr>
            <w:r w:rsidRPr="008301B8">
              <w:rPr>
                <w:rFonts w:ascii="Times New Roman" w:hAnsi="Times New Roman" w:cs="Times New Roman"/>
                <w:sz w:val="21"/>
                <w:szCs w:val="21"/>
              </w:rPr>
              <w:t>7</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before="2" w:line="263" w:lineRule="exact"/>
              <w:ind w:left="115"/>
              <w:rPr>
                <w:rFonts w:ascii="Times New Roman" w:hAnsi="Times New Roman" w:cs="Times New Roman"/>
                <w:sz w:val="21"/>
                <w:szCs w:val="21"/>
              </w:rPr>
            </w:pPr>
            <w:r w:rsidRPr="008301B8">
              <w:rPr>
                <w:rFonts w:ascii="Times New Roman" w:hAnsi="Times New Roman" w:cs="Times New Roman"/>
                <w:sz w:val="21"/>
                <w:szCs w:val="21"/>
              </w:rPr>
              <w:t>白鸡河</w:t>
            </w:r>
          </w:p>
        </w:tc>
        <w:tc>
          <w:tcPr>
            <w:tcW w:w="437" w:type="pct"/>
            <w:vAlign w:val="center"/>
            <w:hideMark/>
          </w:tcPr>
          <w:p w:rsidR="008301B8" w:rsidRPr="008301B8" w:rsidRDefault="008301B8" w:rsidP="008301B8">
            <w:pPr>
              <w:pStyle w:val="TableParagraph"/>
              <w:spacing w:before="14" w:line="250" w:lineRule="exact"/>
              <w:ind w:left="215"/>
              <w:rPr>
                <w:rFonts w:ascii="Times New Roman" w:hAnsi="Times New Roman" w:cs="Times New Roman"/>
                <w:sz w:val="21"/>
                <w:szCs w:val="21"/>
              </w:rPr>
            </w:pPr>
            <w:r w:rsidRPr="008301B8">
              <w:rPr>
                <w:rFonts w:ascii="Times New Roman" w:hAnsi="Times New Roman" w:cs="Times New Roman"/>
                <w:sz w:val="21"/>
                <w:szCs w:val="21"/>
              </w:rPr>
              <w:t>226</w:t>
            </w:r>
          </w:p>
        </w:tc>
        <w:tc>
          <w:tcPr>
            <w:tcW w:w="509" w:type="pct"/>
            <w:vAlign w:val="center"/>
            <w:hideMark/>
          </w:tcPr>
          <w:p w:rsidR="008301B8" w:rsidRPr="008301B8" w:rsidRDefault="008301B8" w:rsidP="008301B8">
            <w:pPr>
              <w:pStyle w:val="TableParagraph"/>
              <w:spacing w:before="14" w:line="250" w:lineRule="exact"/>
              <w:ind w:left="146" w:right="117"/>
              <w:rPr>
                <w:rFonts w:ascii="Times New Roman" w:hAnsi="Times New Roman" w:cs="Times New Roman"/>
                <w:sz w:val="21"/>
                <w:szCs w:val="21"/>
              </w:rPr>
            </w:pPr>
            <w:r w:rsidRPr="008301B8">
              <w:rPr>
                <w:rFonts w:ascii="Times New Roman" w:hAnsi="Times New Roman" w:cs="Times New Roman"/>
                <w:sz w:val="21"/>
                <w:szCs w:val="21"/>
              </w:rPr>
              <w:t>4000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4" w:line="250" w:lineRule="exact"/>
              <w:ind w:right="209"/>
              <w:rPr>
                <w:rFonts w:ascii="Times New Roman" w:hAnsi="Times New Roman" w:cs="Times New Roman"/>
                <w:sz w:val="21"/>
                <w:szCs w:val="21"/>
              </w:rPr>
            </w:pPr>
            <w:r w:rsidRPr="008301B8">
              <w:rPr>
                <w:rFonts w:ascii="Times New Roman" w:hAnsi="Times New Roman" w:cs="Times New Roman"/>
                <w:sz w:val="21"/>
                <w:szCs w:val="21"/>
              </w:rPr>
              <w:t>5.1</w:t>
            </w:r>
          </w:p>
        </w:tc>
        <w:tc>
          <w:tcPr>
            <w:tcW w:w="437" w:type="pct"/>
            <w:vAlign w:val="center"/>
            <w:hideMark/>
          </w:tcPr>
          <w:p w:rsidR="008301B8" w:rsidRPr="008301B8" w:rsidRDefault="008301B8" w:rsidP="008301B8">
            <w:pPr>
              <w:pStyle w:val="TableParagraph"/>
              <w:spacing w:before="14" w:line="250" w:lineRule="exact"/>
              <w:ind w:left="140" w:right="109"/>
              <w:rPr>
                <w:rFonts w:ascii="Times New Roman" w:hAnsi="Times New Roman" w:cs="Times New Roman"/>
                <w:sz w:val="21"/>
                <w:szCs w:val="21"/>
              </w:rPr>
            </w:pPr>
            <w:r w:rsidRPr="008301B8">
              <w:rPr>
                <w:rFonts w:ascii="Times New Roman" w:hAnsi="Times New Roman" w:cs="Times New Roman"/>
                <w:sz w:val="21"/>
                <w:szCs w:val="21"/>
              </w:rPr>
              <w:t>102</w:t>
            </w:r>
          </w:p>
        </w:tc>
        <w:tc>
          <w:tcPr>
            <w:tcW w:w="509" w:type="pct"/>
            <w:vAlign w:val="center"/>
            <w:hideMark/>
          </w:tcPr>
          <w:p w:rsidR="008301B8" w:rsidRPr="008301B8" w:rsidRDefault="008301B8" w:rsidP="008301B8">
            <w:pPr>
              <w:pStyle w:val="TableParagraph"/>
              <w:spacing w:before="14" w:line="250" w:lineRule="exact"/>
              <w:ind w:left="146" w:right="108"/>
              <w:rPr>
                <w:rFonts w:ascii="Times New Roman" w:hAnsi="Times New Roman" w:cs="Times New Roman"/>
                <w:sz w:val="21"/>
                <w:szCs w:val="21"/>
              </w:rPr>
            </w:pPr>
            <w:r w:rsidRPr="008301B8">
              <w:rPr>
                <w:rFonts w:ascii="Times New Roman" w:hAnsi="Times New Roman" w:cs="Times New Roman"/>
                <w:sz w:val="21"/>
                <w:szCs w:val="21"/>
              </w:rPr>
              <w:t>1636</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4" w:line="251" w:lineRule="exact"/>
              <w:ind w:left="21"/>
              <w:rPr>
                <w:rFonts w:ascii="Times New Roman" w:hAnsi="Times New Roman" w:cs="Times New Roman"/>
                <w:sz w:val="21"/>
                <w:szCs w:val="21"/>
              </w:rPr>
            </w:pPr>
            <w:r w:rsidRPr="008301B8">
              <w:rPr>
                <w:rFonts w:ascii="Times New Roman" w:hAnsi="Times New Roman" w:cs="Times New Roman"/>
                <w:sz w:val="21"/>
                <w:szCs w:val="21"/>
              </w:rPr>
              <w:t>8</w:t>
            </w: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hideMark/>
          </w:tcPr>
          <w:p w:rsidR="008301B8" w:rsidRPr="008301B8" w:rsidRDefault="008301B8" w:rsidP="008301B8">
            <w:pPr>
              <w:pStyle w:val="TableParagraph"/>
              <w:spacing w:before="2" w:line="264" w:lineRule="exact"/>
              <w:ind w:left="115"/>
              <w:rPr>
                <w:rFonts w:ascii="Times New Roman" w:hAnsi="Times New Roman" w:cs="Times New Roman"/>
                <w:sz w:val="21"/>
                <w:szCs w:val="21"/>
              </w:rPr>
            </w:pPr>
            <w:r w:rsidRPr="008301B8">
              <w:rPr>
                <w:rFonts w:ascii="Times New Roman" w:hAnsi="Times New Roman" w:cs="Times New Roman"/>
                <w:sz w:val="21"/>
                <w:szCs w:val="21"/>
              </w:rPr>
              <w:t>桃园</w:t>
            </w:r>
          </w:p>
        </w:tc>
        <w:tc>
          <w:tcPr>
            <w:tcW w:w="437" w:type="pct"/>
            <w:vAlign w:val="center"/>
            <w:hideMark/>
          </w:tcPr>
          <w:p w:rsidR="008301B8" w:rsidRPr="008301B8" w:rsidRDefault="008301B8" w:rsidP="008301B8">
            <w:pPr>
              <w:pStyle w:val="TableParagraph"/>
              <w:spacing w:before="14" w:line="251" w:lineRule="exact"/>
              <w:ind w:left="215"/>
              <w:rPr>
                <w:rFonts w:ascii="Times New Roman" w:hAnsi="Times New Roman" w:cs="Times New Roman"/>
                <w:sz w:val="21"/>
                <w:szCs w:val="21"/>
              </w:rPr>
            </w:pPr>
            <w:r w:rsidRPr="008301B8">
              <w:rPr>
                <w:rFonts w:ascii="Times New Roman" w:hAnsi="Times New Roman" w:cs="Times New Roman"/>
                <w:sz w:val="21"/>
                <w:szCs w:val="21"/>
              </w:rPr>
              <w:t>196</w:t>
            </w:r>
          </w:p>
        </w:tc>
        <w:tc>
          <w:tcPr>
            <w:tcW w:w="509" w:type="pct"/>
            <w:vAlign w:val="center"/>
            <w:hideMark/>
          </w:tcPr>
          <w:p w:rsidR="008301B8" w:rsidRPr="008301B8" w:rsidRDefault="008301B8" w:rsidP="008301B8">
            <w:pPr>
              <w:pStyle w:val="TableParagraph"/>
              <w:spacing w:before="14" w:line="251" w:lineRule="exact"/>
              <w:ind w:left="146" w:right="117"/>
              <w:rPr>
                <w:rFonts w:ascii="Times New Roman" w:hAnsi="Times New Roman" w:cs="Times New Roman"/>
                <w:sz w:val="21"/>
                <w:szCs w:val="21"/>
              </w:rPr>
            </w:pPr>
            <w:r w:rsidRPr="008301B8">
              <w:rPr>
                <w:rFonts w:ascii="Times New Roman" w:hAnsi="Times New Roman" w:cs="Times New Roman"/>
                <w:sz w:val="21"/>
                <w:szCs w:val="21"/>
              </w:rPr>
              <w:t>3000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4" w:line="251" w:lineRule="exact"/>
              <w:ind w:right="209"/>
              <w:rPr>
                <w:rFonts w:ascii="Times New Roman" w:hAnsi="Times New Roman" w:cs="Times New Roman"/>
                <w:sz w:val="21"/>
                <w:szCs w:val="21"/>
              </w:rPr>
            </w:pPr>
            <w:r w:rsidRPr="008301B8">
              <w:rPr>
                <w:rFonts w:ascii="Times New Roman" w:hAnsi="Times New Roman" w:cs="Times New Roman"/>
                <w:sz w:val="21"/>
                <w:szCs w:val="21"/>
              </w:rPr>
              <w:t>5.4</w:t>
            </w:r>
          </w:p>
        </w:tc>
        <w:tc>
          <w:tcPr>
            <w:tcW w:w="437" w:type="pct"/>
            <w:vAlign w:val="center"/>
            <w:hideMark/>
          </w:tcPr>
          <w:p w:rsidR="008301B8" w:rsidRPr="008301B8" w:rsidRDefault="008301B8" w:rsidP="008301B8">
            <w:pPr>
              <w:pStyle w:val="TableParagraph"/>
              <w:spacing w:before="14" w:line="251" w:lineRule="exact"/>
              <w:ind w:left="138" w:right="110"/>
              <w:rPr>
                <w:rFonts w:ascii="Times New Roman" w:hAnsi="Times New Roman" w:cs="Times New Roman"/>
                <w:sz w:val="21"/>
                <w:szCs w:val="21"/>
              </w:rPr>
            </w:pPr>
            <w:r w:rsidRPr="008301B8">
              <w:rPr>
                <w:rFonts w:ascii="Times New Roman" w:hAnsi="Times New Roman" w:cs="Times New Roman"/>
                <w:sz w:val="21"/>
                <w:szCs w:val="21"/>
              </w:rPr>
              <w:t>74.8</w:t>
            </w:r>
          </w:p>
        </w:tc>
        <w:tc>
          <w:tcPr>
            <w:tcW w:w="509" w:type="pct"/>
            <w:vAlign w:val="center"/>
            <w:hideMark/>
          </w:tcPr>
          <w:p w:rsidR="008301B8" w:rsidRPr="008301B8" w:rsidRDefault="008301B8" w:rsidP="008301B8">
            <w:pPr>
              <w:pStyle w:val="TableParagraph"/>
              <w:spacing w:before="14" w:line="251" w:lineRule="exact"/>
              <w:ind w:left="146" w:right="108"/>
              <w:rPr>
                <w:rFonts w:ascii="Times New Roman" w:hAnsi="Times New Roman" w:cs="Times New Roman"/>
                <w:sz w:val="21"/>
                <w:szCs w:val="21"/>
              </w:rPr>
            </w:pPr>
            <w:r w:rsidRPr="008301B8">
              <w:rPr>
                <w:rFonts w:ascii="Times New Roman" w:hAnsi="Times New Roman" w:cs="Times New Roman"/>
                <w:sz w:val="21"/>
                <w:szCs w:val="21"/>
              </w:rPr>
              <w:t>1364</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3" w:line="251" w:lineRule="exact"/>
              <w:ind w:left="21"/>
              <w:rPr>
                <w:rFonts w:ascii="Times New Roman" w:hAnsi="Times New Roman" w:cs="Times New Roman"/>
                <w:sz w:val="21"/>
                <w:szCs w:val="21"/>
              </w:rPr>
            </w:pPr>
            <w:r w:rsidRPr="008301B8">
              <w:rPr>
                <w:rFonts w:ascii="Times New Roman" w:hAnsi="Times New Roman" w:cs="Times New Roman"/>
                <w:sz w:val="21"/>
                <w:szCs w:val="21"/>
              </w:rPr>
              <w:t>9</w:t>
            </w:r>
          </w:p>
        </w:tc>
        <w:tc>
          <w:tcPr>
            <w:tcW w:w="726" w:type="pct"/>
            <w:vAlign w:val="center"/>
            <w:hideMark/>
          </w:tcPr>
          <w:p w:rsidR="008301B8" w:rsidRPr="008301B8" w:rsidRDefault="008301B8" w:rsidP="008301B8">
            <w:pPr>
              <w:pStyle w:val="TableParagraph"/>
              <w:spacing w:before="1" w:line="264" w:lineRule="exact"/>
              <w:ind w:left="113"/>
              <w:rPr>
                <w:rFonts w:ascii="Times New Roman" w:hAnsi="Times New Roman" w:cs="Times New Roman"/>
                <w:sz w:val="21"/>
                <w:szCs w:val="21"/>
              </w:rPr>
            </w:pPr>
            <w:r w:rsidRPr="008301B8">
              <w:rPr>
                <w:rFonts w:ascii="Times New Roman" w:hAnsi="Times New Roman" w:cs="Times New Roman"/>
                <w:sz w:val="21"/>
                <w:szCs w:val="21"/>
              </w:rPr>
              <w:t>门家河</w:t>
            </w:r>
          </w:p>
        </w:tc>
        <w:tc>
          <w:tcPr>
            <w:tcW w:w="582" w:type="pct"/>
            <w:vAlign w:val="center"/>
            <w:hideMark/>
          </w:tcPr>
          <w:p w:rsidR="008301B8" w:rsidRPr="008301B8" w:rsidRDefault="008301B8" w:rsidP="008301B8">
            <w:pPr>
              <w:pStyle w:val="TableParagraph"/>
              <w:spacing w:before="1" w:line="264" w:lineRule="exact"/>
              <w:ind w:left="115"/>
              <w:rPr>
                <w:rFonts w:ascii="Times New Roman" w:hAnsi="Times New Roman" w:cs="Times New Roman"/>
                <w:sz w:val="21"/>
                <w:szCs w:val="21"/>
              </w:rPr>
            </w:pPr>
            <w:r w:rsidRPr="008301B8">
              <w:rPr>
                <w:rFonts w:ascii="Times New Roman" w:hAnsi="Times New Roman" w:cs="Times New Roman"/>
                <w:sz w:val="21"/>
                <w:szCs w:val="21"/>
              </w:rPr>
              <w:t>门家河</w:t>
            </w:r>
          </w:p>
        </w:tc>
        <w:tc>
          <w:tcPr>
            <w:tcW w:w="437" w:type="pct"/>
            <w:vAlign w:val="center"/>
            <w:hideMark/>
          </w:tcPr>
          <w:p w:rsidR="008301B8" w:rsidRPr="008301B8" w:rsidRDefault="008301B8" w:rsidP="008301B8">
            <w:pPr>
              <w:pStyle w:val="TableParagraph"/>
              <w:spacing w:before="13" w:line="251" w:lineRule="exact"/>
              <w:ind w:left="215"/>
              <w:rPr>
                <w:rFonts w:ascii="Times New Roman" w:hAnsi="Times New Roman" w:cs="Times New Roman"/>
                <w:sz w:val="21"/>
                <w:szCs w:val="21"/>
              </w:rPr>
            </w:pPr>
            <w:r w:rsidRPr="008301B8">
              <w:rPr>
                <w:rFonts w:ascii="Times New Roman" w:hAnsi="Times New Roman" w:cs="Times New Roman"/>
                <w:sz w:val="21"/>
                <w:szCs w:val="21"/>
              </w:rPr>
              <w:t>100</w:t>
            </w:r>
          </w:p>
        </w:tc>
        <w:tc>
          <w:tcPr>
            <w:tcW w:w="509" w:type="pct"/>
            <w:vAlign w:val="center"/>
            <w:hideMark/>
          </w:tcPr>
          <w:p w:rsidR="008301B8" w:rsidRPr="008301B8" w:rsidRDefault="008301B8" w:rsidP="008301B8">
            <w:pPr>
              <w:pStyle w:val="TableParagraph"/>
              <w:spacing w:before="13" w:line="251" w:lineRule="exact"/>
              <w:ind w:left="146" w:right="117"/>
              <w:rPr>
                <w:rFonts w:ascii="Times New Roman" w:hAnsi="Times New Roman" w:cs="Times New Roman"/>
                <w:sz w:val="21"/>
                <w:szCs w:val="21"/>
              </w:rPr>
            </w:pPr>
            <w:r w:rsidRPr="008301B8">
              <w:rPr>
                <w:rFonts w:ascii="Times New Roman" w:hAnsi="Times New Roman" w:cs="Times New Roman"/>
                <w:sz w:val="21"/>
                <w:szCs w:val="21"/>
              </w:rPr>
              <w:t>2500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hideMark/>
          </w:tcPr>
          <w:p w:rsidR="008301B8" w:rsidRPr="008301B8" w:rsidRDefault="008301B8" w:rsidP="008301B8">
            <w:pPr>
              <w:pStyle w:val="TableParagraph"/>
              <w:spacing w:before="13" w:line="251" w:lineRule="exact"/>
              <w:ind w:right="154"/>
              <w:rPr>
                <w:rFonts w:ascii="Times New Roman" w:hAnsi="Times New Roman" w:cs="Times New Roman"/>
                <w:sz w:val="21"/>
                <w:szCs w:val="21"/>
              </w:rPr>
            </w:pPr>
            <w:r w:rsidRPr="008301B8">
              <w:rPr>
                <w:rFonts w:ascii="Times New Roman" w:hAnsi="Times New Roman" w:cs="Times New Roman"/>
                <w:sz w:val="21"/>
                <w:szCs w:val="21"/>
              </w:rPr>
              <w:t>2.94</w:t>
            </w:r>
          </w:p>
        </w:tc>
        <w:tc>
          <w:tcPr>
            <w:tcW w:w="437" w:type="pct"/>
            <w:vAlign w:val="center"/>
            <w:hideMark/>
          </w:tcPr>
          <w:p w:rsidR="008301B8" w:rsidRPr="008301B8" w:rsidRDefault="008301B8" w:rsidP="008301B8">
            <w:pPr>
              <w:pStyle w:val="TableParagraph"/>
              <w:spacing w:before="13" w:line="251" w:lineRule="exact"/>
              <w:ind w:left="140" w:right="109"/>
              <w:rPr>
                <w:rFonts w:ascii="Times New Roman" w:hAnsi="Times New Roman" w:cs="Times New Roman"/>
                <w:sz w:val="21"/>
                <w:szCs w:val="21"/>
              </w:rPr>
            </w:pPr>
            <w:r w:rsidRPr="008301B8">
              <w:rPr>
                <w:rFonts w:ascii="Times New Roman" w:hAnsi="Times New Roman" w:cs="Times New Roman"/>
                <w:sz w:val="21"/>
                <w:szCs w:val="21"/>
              </w:rPr>
              <w:t>119</w:t>
            </w:r>
          </w:p>
        </w:tc>
        <w:tc>
          <w:tcPr>
            <w:tcW w:w="509" w:type="pct"/>
            <w:vAlign w:val="center"/>
            <w:hideMark/>
          </w:tcPr>
          <w:p w:rsidR="008301B8" w:rsidRPr="008301B8" w:rsidRDefault="008301B8" w:rsidP="008301B8">
            <w:pPr>
              <w:pStyle w:val="TableParagraph"/>
              <w:spacing w:before="13" w:line="251" w:lineRule="exact"/>
              <w:ind w:left="146" w:right="108"/>
              <w:rPr>
                <w:rFonts w:ascii="Times New Roman" w:hAnsi="Times New Roman" w:cs="Times New Roman"/>
                <w:sz w:val="21"/>
                <w:szCs w:val="21"/>
              </w:rPr>
            </w:pPr>
            <w:r w:rsidRPr="008301B8">
              <w:rPr>
                <w:rFonts w:ascii="Times New Roman" w:hAnsi="Times New Roman" w:cs="Times New Roman"/>
                <w:sz w:val="21"/>
                <w:szCs w:val="21"/>
              </w:rPr>
              <w:t>1176</w:t>
            </w:r>
          </w:p>
        </w:tc>
      </w:tr>
      <w:tr w:rsidR="008301B8" w:rsidRPr="008301B8" w:rsidTr="008301B8">
        <w:trPr>
          <w:trHeight w:val="340"/>
          <w:jc w:val="center"/>
        </w:trPr>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tcPr>
          <w:p w:rsidR="008301B8" w:rsidRPr="008301B8" w:rsidRDefault="008301B8" w:rsidP="008301B8">
            <w:pPr>
              <w:pStyle w:val="TableParagraph"/>
              <w:rPr>
                <w:rFonts w:ascii="Times New Roman" w:hAnsi="Times New Roman" w:cs="Times New Roman"/>
                <w:sz w:val="21"/>
                <w:szCs w:val="21"/>
              </w:rPr>
            </w:pP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tcPr>
          <w:p w:rsidR="008301B8" w:rsidRPr="008301B8" w:rsidRDefault="008301B8" w:rsidP="008301B8">
            <w:pPr>
              <w:pStyle w:val="TableParagraph"/>
              <w:rPr>
                <w:rFonts w:ascii="Times New Roman" w:hAnsi="Times New Roman" w:cs="Times New Roman"/>
                <w:sz w:val="21"/>
                <w:szCs w:val="21"/>
              </w:rPr>
            </w:pP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2" w:line="263" w:lineRule="exact"/>
              <w:ind w:left="21"/>
              <w:rPr>
                <w:rFonts w:ascii="Times New Roman" w:hAnsi="Times New Roman" w:cs="Times New Roman"/>
                <w:sz w:val="21"/>
                <w:szCs w:val="21"/>
              </w:rPr>
            </w:pPr>
            <w:r w:rsidRPr="008301B8">
              <w:rPr>
                <w:rFonts w:ascii="Times New Roman" w:hAnsi="Times New Roman" w:cs="Times New Roman"/>
                <w:sz w:val="21"/>
                <w:szCs w:val="21"/>
              </w:rPr>
              <w:t>二</w:t>
            </w:r>
          </w:p>
        </w:tc>
        <w:tc>
          <w:tcPr>
            <w:tcW w:w="726" w:type="pct"/>
            <w:vAlign w:val="center"/>
            <w:hideMark/>
          </w:tcPr>
          <w:p w:rsidR="008301B8" w:rsidRPr="008301B8" w:rsidRDefault="008301B8" w:rsidP="008301B8">
            <w:pPr>
              <w:pStyle w:val="TableParagraph"/>
              <w:spacing w:before="2" w:line="263" w:lineRule="exact"/>
              <w:ind w:left="113"/>
              <w:rPr>
                <w:rFonts w:ascii="Times New Roman" w:hAnsi="Times New Roman" w:cs="Times New Roman"/>
                <w:sz w:val="21"/>
                <w:szCs w:val="21"/>
              </w:rPr>
            </w:pPr>
            <w:r w:rsidRPr="008301B8">
              <w:rPr>
                <w:rFonts w:ascii="Times New Roman" w:hAnsi="Times New Roman" w:cs="Times New Roman"/>
                <w:sz w:val="21"/>
                <w:szCs w:val="21"/>
              </w:rPr>
              <w:t>规划电站</w:t>
            </w:r>
          </w:p>
        </w:tc>
        <w:tc>
          <w:tcPr>
            <w:tcW w:w="582"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7" w:line="248" w:lineRule="exact"/>
              <w:ind w:left="146" w:right="117"/>
              <w:rPr>
                <w:rFonts w:ascii="Times New Roman" w:hAnsi="Times New Roman" w:cs="Times New Roman"/>
                <w:bCs/>
                <w:sz w:val="21"/>
                <w:szCs w:val="21"/>
              </w:rPr>
            </w:pPr>
            <w:r w:rsidRPr="008301B8">
              <w:rPr>
                <w:rFonts w:ascii="Times New Roman" w:hAnsi="Times New Roman" w:cs="Times New Roman"/>
                <w:bCs/>
                <w:sz w:val="21"/>
                <w:szCs w:val="21"/>
              </w:rPr>
              <w:t>4000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7" w:line="248" w:lineRule="exact"/>
              <w:ind w:left="146" w:right="108"/>
              <w:rPr>
                <w:rFonts w:ascii="Times New Roman" w:hAnsi="Times New Roman" w:cs="Times New Roman"/>
                <w:bCs/>
                <w:sz w:val="21"/>
                <w:szCs w:val="21"/>
              </w:rPr>
            </w:pPr>
            <w:r w:rsidRPr="008301B8">
              <w:rPr>
                <w:rFonts w:ascii="Times New Roman" w:hAnsi="Times New Roman" w:cs="Times New Roman"/>
                <w:bCs/>
                <w:sz w:val="21"/>
                <w:szCs w:val="21"/>
              </w:rPr>
              <w:t>1146</w:t>
            </w:r>
          </w:p>
        </w:tc>
      </w:tr>
      <w:tr w:rsidR="008301B8" w:rsidRPr="008301B8" w:rsidTr="008301B8">
        <w:trPr>
          <w:trHeight w:val="340"/>
          <w:jc w:val="center"/>
        </w:trPr>
        <w:tc>
          <w:tcPr>
            <w:tcW w:w="437" w:type="pct"/>
            <w:vAlign w:val="center"/>
            <w:hideMark/>
          </w:tcPr>
          <w:p w:rsidR="008301B8" w:rsidRPr="008301B8" w:rsidRDefault="008301B8" w:rsidP="008301B8">
            <w:pPr>
              <w:pStyle w:val="TableParagraph"/>
              <w:spacing w:before="17" w:line="249" w:lineRule="exact"/>
              <w:ind w:left="21"/>
              <w:rPr>
                <w:rFonts w:ascii="Times New Roman" w:hAnsi="Times New Roman" w:cs="Times New Roman"/>
                <w:sz w:val="21"/>
                <w:szCs w:val="21"/>
              </w:rPr>
            </w:pPr>
            <w:r w:rsidRPr="008301B8">
              <w:rPr>
                <w:rFonts w:ascii="Times New Roman" w:hAnsi="Times New Roman" w:cs="Times New Roman"/>
                <w:sz w:val="21"/>
                <w:szCs w:val="21"/>
              </w:rPr>
              <w:lastRenderedPageBreak/>
              <w:t>1</w:t>
            </w:r>
          </w:p>
        </w:tc>
        <w:tc>
          <w:tcPr>
            <w:tcW w:w="726" w:type="pct"/>
            <w:vAlign w:val="center"/>
            <w:hideMark/>
          </w:tcPr>
          <w:p w:rsidR="008301B8" w:rsidRPr="008301B8" w:rsidRDefault="008301B8" w:rsidP="008301B8">
            <w:pPr>
              <w:pStyle w:val="TableParagraph"/>
              <w:spacing w:before="2" w:line="264" w:lineRule="exact"/>
              <w:ind w:left="113"/>
              <w:rPr>
                <w:rFonts w:ascii="Times New Roman" w:hAnsi="Times New Roman" w:cs="Times New Roman"/>
                <w:sz w:val="21"/>
                <w:szCs w:val="21"/>
              </w:rPr>
            </w:pPr>
            <w:r w:rsidRPr="008301B8">
              <w:rPr>
                <w:rFonts w:ascii="Times New Roman" w:hAnsi="Times New Roman" w:cs="Times New Roman"/>
                <w:sz w:val="21"/>
                <w:szCs w:val="21"/>
              </w:rPr>
              <w:t>门家河</w:t>
            </w:r>
          </w:p>
        </w:tc>
        <w:tc>
          <w:tcPr>
            <w:tcW w:w="582" w:type="pct"/>
            <w:vAlign w:val="center"/>
            <w:hideMark/>
          </w:tcPr>
          <w:p w:rsidR="008301B8" w:rsidRPr="008301B8" w:rsidRDefault="008301B8" w:rsidP="008301B8">
            <w:pPr>
              <w:pStyle w:val="TableParagraph"/>
              <w:spacing w:before="2" w:line="264" w:lineRule="exact"/>
              <w:ind w:left="115"/>
              <w:rPr>
                <w:rFonts w:ascii="Times New Roman" w:hAnsi="Times New Roman" w:cs="Times New Roman"/>
                <w:sz w:val="21"/>
                <w:szCs w:val="21"/>
              </w:rPr>
            </w:pPr>
            <w:r w:rsidRPr="008301B8">
              <w:rPr>
                <w:rFonts w:ascii="Times New Roman" w:hAnsi="Times New Roman" w:cs="Times New Roman"/>
                <w:sz w:val="21"/>
                <w:szCs w:val="21"/>
              </w:rPr>
              <w:t>门坎石</w:t>
            </w:r>
          </w:p>
        </w:tc>
        <w:tc>
          <w:tcPr>
            <w:tcW w:w="437" w:type="pct"/>
            <w:vAlign w:val="center"/>
            <w:hideMark/>
          </w:tcPr>
          <w:p w:rsidR="008301B8" w:rsidRPr="008301B8" w:rsidRDefault="008301B8" w:rsidP="008301B8">
            <w:pPr>
              <w:pStyle w:val="TableParagraph"/>
              <w:spacing w:before="17" w:line="249" w:lineRule="exact"/>
              <w:ind w:left="186"/>
              <w:rPr>
                <w:rFonts w:ascii="Times New Roman" w:hAnsi="Times New Roman" w:cs="Times New Roman"/>
                <w:sz w:val="21"/>
                <w:szCs w:val="21"/>
              </w:rPr>
            </w:pPr>
            <w:r w:rsidRPr="008301B8">
              <w:rPr>
                <w:rFonts w:ascii="Times New Roman" w:hAnsi="Times New Roman" w:cs="Times New Roman"/>
                <w:sz w:val="21"/>
                <w:szCs w:val="21"/>
              </w:rPr>
              <w:t>80.3</w:t>
            </w:r>
          </w:p>
        </w:tc>
        <w:tc>
          <w:tcPr>
            <w:tcW w:w="509" w:type="pct"/>
            <w:vAlign w:val="center"/>
            <w:hideMark/>
          </w:tcPr>
          <w:p w:rsidR="008301B8" w:rsidRPr="008301B8" w:rsidRDefault="008301B8" w:rsidP="008301B8">
            <w:pPr>
              <w:pStyle w:val="TableParagraph"/>
              <w:spacing w:before="17" w:line="249" w:lineRule="exact"/>
              <w:ind w:left="146" w:right="117"/>
              <w:rPr>
                <w:rFonts w:ascii="Times New Roman" w:hAnsi="Times New Roman" w:cs="Times New Roman"/>
                <w:sz w:val="21"/>
                <w:szCs w:val="21"/>
              </w:rPr>
            </w:pPr>
            <w:r w:rsidRPr="008301B8">
              <w:rPr>
                <w:rFonts w:ascii="Times New Roman" w:hAnsi="Times New Roman" w:cs="Times New Roman"/>
                <w:sz w:val="21"/>
                <w:szCs w:val="21"/>
              </w:rPr>
              <w:t>4000</w:t>
            </w:r>
          </w:p>
        </w:tc>
        <w:tc>
          <w:tcPr>
            <w:tcW w:w="489" w:type="pct"/>
            <w:vAlign w:val="center"/>
            <w:hideMark/>
          </w:tcPr>
          <w:p w:rsidR="008301B8" w:rsidRPr="008301B8" w:rsidRDefault="008301B8" w:rsidP="008301B8">
            <w:pPr>
              <w:pStyle w:val="TableParagraph"/>
              <w:spacing w:before="17" w:line="249" w:lineRule="exact"/>
              <w:ind w:left="147" w:right="117"/>
              <w:rPr>
                <w:rFonts w:ascii="Times New Roman" w:hAnsi="Times New Roman" w:cs="Times New Roman"/>
                <w:sz w:val="21"/>
                <w:szCs w:val="21"/>
              </w:rPr>
            </w:pPr>
            <w:r w:rsidRPr="008301B8">
              <w:rPr>
                <w:rFonts w:ascii="Times New Roman" w:hAnsi="Times New Roman" w:cs="Times New Roman"/>
                <w:sz w:val="21"/>
                <w:szCs w:val="21"/>
              </w:rPr>
              <w:t>2100</w:t>
            </w:r>
          </w:p>
        </w:tc>
        <w:tc>
          <w:tcPr>
            <w:tcW w:w="437" w:type="pct"/>
            <w:vAlign w:val="center"/>
            <w:hideMark/>
          </w:tcPr>
          <w:p w:rsidR="008301B8" w:rsidRPr="008301B8" w:rsidRDefault="008301B8" w:rsidP="008301B8">
            <w:pPr>
              <w:pStyle w:val="TableParagraph"/>
              <w:spacing w:before="17" w:line="249" w:lineRule="exact"/>
              <w:ind w:left="140" w:right="110"/>
              <w:rPr>
                <w:rFonts w:ascii="Times New Roman" w:hAnsi="Times New Roman" w:cs="Times New Roman"/>
                <w:sz w:val="21"/>
                <w:szCs w:val="21"/>
              </w:rPr>
            </w:pPr>
            <w:r w:rsidRPr="008301B8">
              <w:rPr>
                <w:rFonts w:ascii="Times New Roman" w:hAnsi="Times New Roman" w:cs="Times New Roman"/>
                <w:sz w:val="21"/>
                <w:szCs w:val="21"/>
              </w:rPr>
              <w:t>115</w:t>
            </w:r>
          </w:p>
        </w:tc>
        <w:tc>
          <w:tcPr>
            <w:tcW w:w="437" w:type="pct"/>
            <w:vAlign w:val="center"/>
            <w:hideMark/>
          </w:tcPr>
          <w:p w:rsidR="008301B8" w:rsidRPr="008301B8" w:rsidRDefault="008301B8" w:rsidP="008301B8">
            <w:pPr>
              <w:pStyle w:val="TableParagraph"/>
              <w:spacing w:before="17" w:line="249" w:lineRule="exact"/>
              <w:ind w:left="28"/>
              <w:rPr>
                <w:rFonts w:ascii="Times New Roman" w:hAnsi="Times New Roman" w:cs="Times New Roman"/>
                <w:sz w:val="21"/>
                <w:szCs w:val="21"/>
              </w:rPr>
            </w:pPr>
            <w:r w:rsidRPr="008301B8">
              <w:rPr>
                <w:rFonts w:ascii="Times New Roman" w:hAnsi="Times New Roman" w:cs="Times New Roman"/>
                <w:sz w:val="21"/>
                <w:szCs w:val="21"/>
              </w:rPr>
              <w:t>5</w:t>
            </w:r>
          </w:p>
        </w:tc>
        <w:tc>
          <w:tcPr>
            <w:tcW w:w="437" w:type="pct"/>
            <w:vAlign w:val="center"/>
            <w:hideMark/>
          </w:tcPr>
          <w:p w:rsidR="008301B8" w:rsidRPr="008301B8" w:rsidRDefault="008301B8" w:rsidP="008301B8">
            <w:pPr>
              <w:pStyle w:val="TableParagraph"/>
              <w:spacing w:before="17" w:line="249" w:lineRule="exact"/>
              <w:ind w:left="136" w:right="110"/>
              <w:rPr>
                <w:rFonts w:ascii="Times New Roman" w:hAnsi="Times New Roman" w:cs="Times New Roman"/>
                <w:sz w:val="21"/>
                <w:szCs w:val="21"/>
              </w:rPr>
            </w:pPr>
            <w:r w:rsidRPr="008301B8">
              <w:rPr>
                <w:rFonts w:ascii="Times New Roman" w:hAnsi="Times New Roman" w:cs="Times New Roman"/>
                <w:sz w:val="21"/>
                <w:szCs w:val="21"/>
              </w:rPr>
              <w:t>96</w:t>
            </w:r>
          </w:p>
        </w:tc>
        <w:tc>
          <w:tcPr>
            <w:tcW w:w="509" w:type="pct"/>
            <w:vAlign w:val="center"/>
            <w:hideMark/>
          </w:tcPr>
          <w:p w:rsidR="008301B8" w:rsidRPr="008301B8" w:rsidRDefault="008301B8" w:rsidP="008301B8">
            <w:pPr>
              <w:pStyle w:val="TableParagraph"/>
              <w:spacing w:before="17" w:line="249" w:lineRule="exact"/>
              <w:ind w:left="146" w:right="108"/>
              <w:rPr>
                <w:rFonts w:ascii="Times New Roman" w:hAnsi="Times New Roman" w:cs="Times New Roman"/>
                <w:sz w:val="21"/>
                <w:szCs w:val="21"/>
              </w:rPr>
            </w:pPr>
            <w:r w:rsidRPr="008301B8">
              <w:rPr>
                <w:rFonts w:ascii="Times New Roman" w:hAnsi="Times New Roman" w:cs="Times New Roman"/>
                <w:sz w:val="21"/>
                <w:szCs w:val="21"/>
              </w:rPr>
              <w:t>1146</w:t>
            </w:r>
          </w:p>
        </w:tc>
      </w:tr>
      <w:tr w:rsidR="008301B8" w:rsidRPr="008301B8" w:rsidTr="008301B8">
        <w:trPr>
          <w:trHeight w:val="340"/>
          <w:jc w:val="center"/>
        </w:trPr>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726" w:type="pct"/>
            <w:vAlign w:val="center"/>
          </w:tcPr>
          <w:p w:rsidR="008301B8" w:rsidRPr="008301B8" w:rsidRDefault="008301B8" w:rsidP="008301B8">
            <w:pPr>
              <w:pStyle w:val="TableParagraph"/>
              <w:rPr>
                <w:rFonts w:ascii="Times New Roman" w:hAnsi="Times New Roman" w:cs="Times New Roman"/>
                <w:sz w:val="21"/>
                <w:szCs w:val="21"/>
              </w:rPr>
            </w:pPr>
          </w:p>
        </w:tc>
        <w:tc>
          <w:tcPr>
            <w:tcW w:w="582"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tcPr>
          <w:p w:rsidR="008301B8" w:rsidRPr="008301B8" w:rsidRDefault="008301B8" w:rsidP="008301B8">
            <w:pPr>
              <w:pStyle w:val="TableParagraph"/>
              <w:rPr>
                <w:rFonts w:ascii="Times New Roman" w:hAnsi="Times New Roman" w:cs="Times New Roman"/>
                <w:sz w:val="21"/>
                <w:szCs w:val="21"/>
              </w:rPr>
            </w:pP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tcPr>
          <w:p w:rsidR="008301B8" w:rsidRPr="008301B8" w:rsidRDefault="008301B8" w:rsidP="008301B8">
            <w:pPr>
              <w:pStyle w:val="TableParagraph"/>
              <w:rPr>
                <w:rFonts w:ascii="Times New Roman" w:hAnsi="Times New Roman" w:cs="Times New Roman"/>
                <w:sz w:val="21"/>
                <w:szCs w:val="21"/>
              </w:rPr>
            </w:pPr>
          </w:p>
        </w:tc>
      </w:tr>
      <w:tr w:rsidR="008301B8" w:rsidRPr="008301B8" w:rsidTr="008301B8">
        <w:trPr>
          <w:trHeight w:val="340"/>
          <w:jc w:val="center"/>
        </w:trPr>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726" w:type="pct"/>
            <w:vAlign w:val="center"/>
            <w:hideMark/>
          </w:tcPr>
          <w:p w:rsidR="008301B8" w:rsidRPr="008301B8" w:rsidRDefault="008301B8" w:rsidP="008301B8">
            <w:pPr>
              <w:pStyle w:val="TableParagraph"/>
              <w:spacing w:before="2" w:line="263" w:lineRule="exact"/>
              <w:ind w:left="113"/>
              <w:rPr>
                <w:rFonts w:ascii="Times New Roman" w:hAnsi="Times New Roman" w:cs="Times New Roman"/>
                <w:sz w:val="21"/>
                <w:szCs w:val="21"/>
              </w:rPr>
            </w:pPr>
            <w:r w:rsidRPr="008301B8">
              <w:rPr>
                <w:rFonts w:ascii="Times New Roman" w:hAnsi="Times New Roman" w:cs="Times New Roman"/>
                <w:sz w:val="21"/>
                <w:szCs w:val="21"/>
              </w:rPr>
              <w:t>合计</w:t>
            </w:r>
          </w:p>
        </w:tc>
        <w:tc>
          <w:tcPr>
            <w:tcW w:w="582"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4" w:line="250" w:lineRule="exact"/>
              <w:ind w:left="146" w:right="117"/>
              <w:rPr>
                <w:rFonts w:ascii="Times New Roman" w:hAnsi="Times New Roman" w:cs="Times New Roman"/>
                <w:bCs/>
                <w:sz w:val="21"/>
                <w:szCs w:val="21"/>
              </w:rPr>
            </w:pPr>
            <w:r w:rsidRPr="008301B8">
              <w:rPr>
                <w:rFonts w:ascii="Times New Roman" w:hAnsi="Times New Roman" w:cs="Times New Roman"/>
                <w:bCs/>
                <w:sz w:val="21"/>
                <w:szCs w:val="21"/>
              </w:rPr>
              <w:t>35800</w:t>
            </w:r>
          </w:p>
        </w:tc>
        <w:tc>
          <w:tcPr>
            <w:tcW w:w="489"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437" w:type="pct"/>
            <w:vAlign w:val="center"/>
          </w:tcPr>
          <w:p w:rsidR="008301B8" w:rsidRPr="008301B8" w:rsidRDefault="008301B8" w:rsidP="008301B8">
            <w:pPr>
              <w:pStyle w:val="TableParagraph"/>
              <w:rPr>
                <w:rFonts w:ascii="Times New Roman" w:hAnsi="Times New Roman" w:cs="Times New Roman"/>
                <w:sz w:val="21"/>
                <w:szCs w:val="21"/>
              </w:rPr>
            </w:pPr>
          </w:p>
        </w:tc>
        <w:tc>
          <w:tcPr>
            <w:tcW w:w="509" w:type="pct"/>
            <w:vAlign w:val="center"/>
            <w:hideMark/>
          </w:tcPr>
          <w:p w:rsidR="008301B8" w:rsidRPr="008301B8" w:rsidRDefault="008301B8" w:rsidP="008301B8">
            <w:pPr>
              <w:pStyle w:val="TableParagraph"/>
              <w:spacing w:before="14" w:line="250" w:lineRule="exact"/>
              <w:ind w:left="146" w:right="108"/>
              <w:rPr>
                <w:rFonts w:ascii="Times New Roman" w:hAnsi="Times New Roman" w:cs="Times New Roman"/>
                <w:bCs/>
                <w:sz w:val="21"/>
                <w:szCs w:val="21"/>
              </w:rPr>
            </w:pPr>
            <w:r w:rsidRPr="008301B8">
              <w:rPr>
                <w:rFonts w:ascii="Times New Roman" w:hAnsi="Times New Roman" w:cs="Times New Roman"/>
                <w:bCs/>
                <w:sz w:val="21"/>
                <w:szCs w:val="21"/>
              </w:rPr>
              <w:t>15110</w:t>
            </w:r>
          </w:p>
        </w:tc>
      </w:tr>
    </w:tbl>
    <w:p w:rsidR="006175A6" w:rsidRDefault="009B4BA7">
      <w:pPr>
        <w:pStyle w:val="2"/>
      </w:pPr>
      <w:bookmarkStart w:id="32" w:name="_Toc80170092"/>
      <w:r>
        <w:rPr>
          <w:rFonts w:hint="eastAsia"/>
        </w:rPr>
        <w:t>工程地理位置</w:t>
      </w:r>
      <w:bookmarkEnd w:id="32"/>
    </w:p>
    <w:p w:rsidR="006175A6" w:rsidRDefault="009B4BA7">
      <w:pPr>
        <w:ind w:firstLine="480"/>
      </w:pPr>
      <w:r>
        <w:rPr>
          <w:rFonts w:hint="eastAsia"/>
        </w:rPr>
        <w:t>两河口水库工程坝址位于榛子乡石柱村高岚河上游的门家河流域上游，地理位置：北纬</w:t>
      </w:r>
      <w:r>
        <w:rPr>
          <w:rFonts w:hint="eastAsia"/>
        </w:rPr>
        <w:t>31</w:t>
      </w:r>
      <w:r>
        <w:rPr>
          <w:rFonts w:hint="eastAsia"/>
        </w:rPr>
        <w:t>°</w:t>
      </w:r>
      <w:r>
        <w:rPr>
          <w:rFonts w:hint="eastAsia"/>
        </w:rPr>
        <w:t>24</w:t>
      </w:r>
      <w:r>
        <w:rPr>
          <w:rFonts w:hint="eastAsia"/>
        </w:rPr>
        <w:t>´，东径</w:t>
      </w:r>
      <w:r>
        <w:rPr>
          <w:rFonts w:hint="eastAsia"/>
        </w:rPr>
        <w:t>111</w:t>
      </w:r>
      <w:r>
        <w:rPr>
          <w:rFonts w:hint="eastAsia"/>
        </w:rPr>
        <w:t>°</w:t>
      </w:r>
      <w:r>
        <w:rPr>
          <w:rFonts w:hint="eastAsia"/>
        </w:rPr>
        <w:t>01</w:t>
      </w:r>
      <w:r>
        <w:rPr>
          <w:rFonts w:hint="eastAsia"/>
        </w:rPr>
        <w:t>´。两河口水库的输水工程，跨榛子乡和黄粮镇，终点位于黄粮镇金家坝村龙洞湾。工程区位于兴山县的榛子乡及黄粮镇境内；从流域上看，工程区主要位于高岚河流域内。两河口水库位于榛子境内，而输水工程则跨榛子乡、水月寺镇和黄粮镇；供水区为黄粮镇。</w:t>
      </w:r>
    </w:p>
    <w:p w:rsidR="006175A6" w:rsidRDefault="009B4BA7">
      <w:pPr>
        <w:pStyle w:val="2"/>
      </w:pPr>
      <w:bookmarkStart w:id="33" w:name="_Toc80170093"/>
      <w:r>
        <w:rPr>
          <w:rFonts w:hint="eastAsia"/>
        </w:rPr>
        <w:t>工程任务、规模与运行方式</w:t>
      </w:r>
      <w:bookmarkEnd w:id="33"/>
    </w:p>
    <w:p w:rsidR="006175A6" w:rsidRDefault="009B4BA7">
      <w:pPr>
        <w:pStyle w:val="3"/>
      </w:pPr>
      <w:r>
        <w:rPr>
          <w:rFonts w:hint="eastAsia"/>
        </w:rPr>
        <w:t>工程基本情况</w:t>
      </w:r>
    </w:p>
    <w:p w:rsidR="006175A6" w:rsidRDefault="009B4BA7">
      <w:pPr>
        <w:ind w:firstLine="480"/>
      </w:pPr>
      <w:r>
        <w:rPr>
          <w:rFonts w:hint="eastAsia"/>
        </w:rPr>
        <w:t>（</w:t>
      </w:r>
      <w:r>
        <w:rPr>
          <w:rFonts w:hint="eastAsia"/>
        </w:rPr>
        <w:t>1</w:t>
      </w:r>
      <w:r>
        <w:rPr>
          <w:rFonts w:hint="eastAsia"/>
        </w:rPr>
        <w:t>）</w:t>
      </w:r>
      <w:r>
        <w:rPr>
          <w:rFonts w:hint="eastAsia"/>
        </w:rPr>
        <w:tab/>
      </w:r>
      <w:r>
        <w:rPr>
          <w:rFonts w:hint="eastAsia"/>
        </w:rPr>
        <w:t>项目名称：湖北兴山县两河口水库工程项目（重新审核）；</w:t>
      </w:r>
    </w:p>
    <w:p w:rsidR="006175A6" w:rsidRDefault="009B4BA7">
      <w:pPr>
        <w:ind w:firstLine="480"/>
      </w:pPr>
      <w:r>
        <w:rPr>
          <w:rFonts w:hint="eastAsia"/>
        </w:rPr>
        <w:t>（</w:t>
      </w:r>
      <w:r>
        <w:rPr>
          <w:rFonts w:hint="eastAsia"/>
        </w:rPr>
        <w:t>2</w:t>
      </w:r>
      <w:r>
        <w:rPr>
          <w:rFonts w:hint="eastAsia"/>
        </w:rPr>
        <w:t>）</w:t>
      </w:r>
      <w:r>
        <w:rPr>
          <w:rFonts w:hint="eastAsia"/>
        </w:rPr>
        <w:tab/>
      </w:r>
      <w:r>
        <w:rPr>
          <w:rFonts w:hint="eastAsia"/>
        </w:rPr>
        <w:t>建设地点：湖北省宜昌市兴山县榛子乡石柱村，北纬</w:t>
      </w:r>
      <w:r>
        <w:rPr>
          <w:rFonts w:hint="eastAsia"/>
        </w:rPr>
        <w:t>31</w:t>
      </w:r>
      <w:r>
        <w:rPr>
          <w:rFonts w:hint="eastAsia"/>
        </w:rPr>
        <w:t>°</w:t>
      </w:r>
      <w:r>
        <w:rPr>
          <w:rFonts w:hint="eastAsia"/>
        </w:rPr>
        <w:t>24</w:t>
      </w:r>
      <w:r>
        <w:rPr>
          <w:rFonts w:hint="eastAsia"/>
        </w:rPr>
        <w:t>´，东径</w:t>
      </w:r>
      <w:r>
        <w:rPr>
          <w:rFonts w:hint="eastAsia"/>
        </w:rPr>
        <w:t>111</w:t>
      </w:r>
      <w:r>
        <w:rPr>
          <w:rFonts w:hint="eastAsia"/>
        </w:rPr>
        <w:t>°</w:t>
      </w:r>
      <w:r>
        <w:rPr>
          <w:rFonts w:hint="eastAsia"/>
        </w:rPr>
        <w:t>01</w:t>
      </w:r>
      <w:r>
        <w:rPr>
          <w:rFonts w:hint="eastAsia"/>
        </w:rPr>
        <w:t>´；</w:t>
      </w:r>
    </w:p>
    <w:p w:rsidR="006175A6" w:rsidRDefault="009B4BA7">
      <w:pPr>
        <w:ind w:firstLine="480"/>
      </w:pPr>
      <w:r>
        <w:rPr>
          <w:rFonts w:hint="eastAsia"/>
        </w:rPr>
        <w:t>（</w:t>
      </w:r>
      <w:r>
        <w:rPr>
          <w:rFonts w:hint="eastAsia"/>
        </w:rPr>
        <w:t>3</w:t>
      </w:r>
      <w:r>
        <w:rPr>
          <w:rFonts w:hint="eastAsia"/>
        </w:rPr>
        <w:t>）</w:t>
      </w:r>
      <w:r>
        <w:rPr>
          <w:rFonts w:hint="eastAsia"/>
        </w:rPr>
        <w:tab/>
      </w:r>
      <w:r>
        <w:rPr>
          <w:rFonts w:hint="eastAsia"/>
        </w:rPr>
        <w:t>建设单位：兴山县水利局；</w:t>
      </w:r>
    </w:p>
    <w:p w:rsidR="006175A6" w:rsidRDefault="009B4BA7">
      <w:pPr>
        <w:ind w:firstLine="480"/>
      </w:pPr>
      <w:r>
        <w:rPr>
          <w:rFonts w:hint="eastAsia"/>
        </w:rPr>
        <w:t>（</w:t>
      </w:r>
      <w:r>
        <w:rPr>
          <w:rFonts w:hint="eastAsia"/>
        </w:rPr>
        <w:t>4</w:t>
      </w:r>
      <w:r>
        <w:rPr>
          <w:rFonts w:hint="eastAsia"/>
        </w:rPr>
        <w:t>）</w:t>
      </w:r>
      <w:r>
        <w:rPr>
          <w:rFonts w:hint="eastAsia"/>
        </w:rPr>
        <w:tab/>
      </w:r>
      <w:r>
        <w:rPr>
          <w:rFonts w:hint="eastAsia"/>
        </w:rPr>
        <w:t>项目性质：新建；</w:t>
      </w:r>
    </w:p>
    <w:p w:rsidR="006175A6" w:rsidRDefault="009B4BA7">
      <w:pPr>
        <w:ind w:firstLine="480"/>
      </w:pPr>
      <w:r>
        <w:rPr>
          <w:rFonts w:hint="eastAsia"/>
        </w:rPr>
        <w:t>（</w:t>
      </w:r>
      <w:r>
        <w:rPr>
          <w:rFonts w:hint="eastAsia"/>
        </w:rPr>
        <w:t>5</w:t>
      </w:r>
      <w:r>
        <w:rPr>
          <w:rFonts w:hint="eastAsia"/>
        </w:rPr>
        <w:t>）</w:t>
      </w:r>
      <w:r>
        <w:rPr>
          <w:rFonts w:hint="eastAsia"/>
        </w:rPr>
        <w:tab/>
      </w:r>
      <w:r>
        <w:rPr>
          <w:rFonts w:hint="eastAsia"/>
        </w:rPr>
        <w:t>行业类别：农林水利；</w:t>
      </w:r>
    </w:p>
    <w:p w:rsidR="006175A6" w:rsidRDefault="009B4BA7">
      <w:pPr>
        <w:ind w:firstLine="480"/>
      </w:pPr>
      <w:r>
        <w:rPr>
          <w:rFonts w:hint="eastAsia"/>
        </w:rPr>
        <w:t>（</w:t>
      </w:r>
      <w:r>
        <w:rPr>
          <w:rFonts w:hint="eastAsia"/>
        </w:rPr>
        <w:t>6</w:t>
      </w:r>
      <w:r>
        <w:rPr>
          <w:rFonts w:hint="eastAsia"/>
        </w:rPr>
        <w:t>）</w:t>
      </w:r>
      <w:r>
        <w:rPr>
          <w:rFonts w:hint="eastAsia"/>
        </w:rPr>
        <w:tab/>
      </w:r>
      <w:r>
        <w:rPr>
          <w:rFonts w:hint="eastAsia"/>
        </w:rPr>
        <w:t>工程内容：包括水库枢纽工程和输水工程等；</w:t>
      </w:r>
    </w:p>
    <w:p w:rsidR="006175A6" w:rsidRDefault="009B4BA7">
      <w:pPr>
        <w:ind w:firstLine="480"/>
      </w:pPr>
      <w:r>
        <w:rPr>
          <w:rFonts w:hint="eastAsia"/>
        </w:rPr>
        <w:t>（</w:t>
      </w:r>
      <w:r>
        <w:rPr>
          <w:rFonts w:hint="eastAsia"/>
        </w:rPr>
        <w:t>7</w:t>
      </w:r>
      <w:r>
        <w:rPr>
          <w:rFonts w:hint="eastAsia"/>
        </w:rPr>
        <w:t>）总库容：</w:t>
      </w:r>
      <w:r>
        <w:rPr>
          <w:rFonts w:hint="eastAsia"/>
        </w:rPr>
        <w:t>1075</w:t>
      </w:r>
      <w:r>
        <w:rPr>
          <w:rFonts w:hint="eastAsia"/>
        </w:rPr>
        <w:t>万</w:t>
      </w:r>
      <w:r>
        <w:rPr>
          <w:rFonts w:hint="eastAsia"/>
        </w:rPr>
        <w:t>m</w:t>
      </w:r>
      <w:r>
        <w:rPr>
          <w:rFonts w:hint="eastAsia"/>
          <w:vertAlign w:val="superscript"/>
        </w:rPr>
        <w:t>3</w:t>
      </w:r>
      <w:r>
        <w:rPr>
          <w:rFonts w:hint="eastAsia"/>
        </w:rPr>
        <w:t>；</w:t>
      </w:r>
    </w:p>
    <w:p w:rsidR="006175A6" w:rsidRDefault="009B4BA7">
      <w:pPr>
        <w:ind w:firstLine="480"/>
      </w:pPr>
      <w:r>
        <w:rPr>
          <w:rFonts w:hint="eastAsia"/>
        </w:rPr>
        <w:t>（</w:t>
      </w:r>
      <w:r>
        <w:rPr>
          <w:rFonts w:hint="eastAsia"/>
        </w:rPr>
        <w:t>8</w:t>
      </w:r>
      <w:r>
        <w:rPr>
          <w:rFonts w:hint="eastAsia"/>
        </w:rPr>
        <w:t>）工程投资：</w:t>
      </w:r>
      <w:r>
        <w:t>26882.03</w:t>
      </w:r>
      <w:r>
        <w:rPr>
          <w:rFonts w:hint="eastAsia"/>
        </w:rPr>
        <w:t>万元。</w:t>
      </w:r>
    </w:p>
    <w:p w:rsidR="006175A6" w:rsidRDefault="009B4BA7">
      <w:pPr>
        <w:pStyle w:val="3"/>
      </w:pPr>
      <w:r>
        <w:rPr>
          <w:rFonts w:hint="eastAsia"/>
        </w:rPr>
        <w:t>工程任务及规模</w:t>
      </w:r>
    </w:p>
    <w:p w:rsidR="006175A6" w:rsidRDefault="009B4BA7">
      <w:pPr>
        <w:ind w:firstLine="482"/>
        <w:rPr>
          <w:b/>
        </w:rPr>
      </w:pPr>
      <w:r>
        <w:rPr>
          <w:rFonts w:hint="eastAsia"/>
          <w:b/>
        </w:rPr>
        <w:t>一、工程任务</w:t>
      </w:r>
    </w:p>
    <w:p w:rsidR="006175A6" w:rsidRDefault="009B4BA7">
      <w:pPr>
        <w:ind w:firstLine="480"/>
      </w:pPr>
      <w:r>
        <w:rPr>
          <w:rFonts w:hint="eastAsia"/>
        </w:rPr>
        <w:t>两河口水库工程为水源工程，包括水库工程和配套输水工程；工程的主要任务，是将两河口水库的原水，引至黄粮等乡镇受水区，以满足黄粮、峡口、昭君及古夫共</w:t>
      </w:r>
      <w:r>
        <w:rPr>
          <w:rFonts w:hint="eastAsia"/>
        </w:rPr>
        <w:t>4</w:t>
      </w:r>
      <w:r>
        <w:rPr>
          <w:rFonts w:hint="eastAsia"/>
        </w:rPr>
        <w:t>个镇</w:t>
      </w:r>
      <w:r>
        <w:rPr>
          <w:rFonts w:hint="eastAsia"/>
        </w:rPr>
        <w:t>13</w:t>
      </w:r>
      <w:r>
        <w:rPr>
          <w:rFonts w:hint="eastAsia"/>
        </w:rPr>
        <w:t>个村，高程在</w:t>
      </w:r>
      <w:r>
        <w:rPr>
          <w:rFonts w:hint="eastAsia"/>
        </w:rPr>
        <w:t>1000.0m</w:t>
      </w:r>
      <w:r>
        <w:rPr>
          <w:rFonts w:hint="eastAsia"/>
        </w:rPr>
        <w:t>以下范围的农田灌溉及综合用水需求。设计灌溉面积</w:t>
      </w:r>
      <w:r>
        <w:rPr>
          <w:rFonts w:hint="eastAsia"/>
        </w:rPr>
        <w:t>2.8</w:t>
      </w:r>
      <w:r>
        <w:rPr>
          <w:rFonts w:hint="eastAsia"/>
        </w:rPr>
        <w:t>万亩，年均灌溉用水总量</w:t>
      </w:r>
      <w:r>
        <w:rPr>
          <w:rFonts w:hint="eastAsia"/>
        </w:rPr>
        <w:t>1346</w:t>
      </w:r>
      <w:r>
        <w:rPr>
          <w:rFonts w:hint="eastAsia"/>
        </w:rPr>
        <w:t>万</w:t>
      </w:r>
      <w:r>
        <w:rPr>
          <w:rFonts w:hint="eastAsia"/>
        </w:rPr>
        <w:t>m</w:t>
      </w:r>
      <w:r>
        <w:rPr>
          <w:rFonts w:hint="eastAsia"/>
        </w:rPr>
        <w:t>³；供水总人口</w:t>
      </w:r>
      <w:r>
        <w:rPr>
          <w:rFonts w:hint="eastAsia"/>
        </w:rPr>
        <w:t>3.1</w:t>
      </w:r>
      <w:r>
        <w:rPr>
          <w:rFonts w:hint="eastAsia"/>
        </w:rPr>
        <w:t>万人，年平均供水总量</w:t>
      </w:r>
      <w:r>
        <w:rPr>
          <w:rFonts w:hint="eastAsia"/>
        </w:rPr>
        <w:t>821</w:t>
      </w:r>
      <w:r>
        <w:rPr>
          <w:rFonts w:hint="eastAsia"/>
        </w:rPr>
        <w:t>万</w:t>
      </w:r>
      <w:r>
        <w:rPr>
          <w:rFonts w:hint="eastAsia"/>
        </w:rPr>
        <w:t>m</w:t>
      </w:r>
      <w:r>
        <w:rPr>
          <w:rFonts w:hint="eastAsia"/>
        </w:rPr>
        <w:t>³；涉及国土总面积</w:t>
      </w:r>
      <w:r>
        <w:rPr>
          <w:rFonts w:hint="eastAsia"/>
        </w:rPr>
        <w:t>55.8km</w:t>
      </w:r>
      <w:r>
        <w:rPr>
          <w:rFonts w:hint="eastAsia"/>
        </w:rPr>
        <w:t>²。</w:t>
      </w:r>
    </w:p>
    <w:p w:rsidR="006175A6" w:rsidRDefault="009B4BA7">
      <w:pPr>
        <w:ind w:firstLine="480"/>
      </w:pPr>
      <w:r>
        <w:rPr>
          <w:rFonts w:hint="eastAsia"/>
        </w:rPr>
        <w:lastRenderedPageBreak/>
        <w:t>因此，本工程的建设任务：为解决农业灌溉用水为主，并兼顾黄粮镇及周边乡镇村镇居民供水需求。</w:t>
      </w:r>
    </w:p>
    <w:p w:rsidR="006175A6" w:rsidRDefault="009B4BA7">
      <w:pPr>
        <w:ind w:firstLine="482"/>
        <w:rPr>
          <w:b/>
        </w:rPr>
      </w:pPr>
      <w:r>
        <w:rPr>
          <w:rFonts w:hint="eastAsia"/>
          <w:b/>
        </w:rPr>
        <w:t>二、工程规模</w:t>
      </w:r>
    </w:p>
    <w:p w:rsidR="006175A6" w:rsidRDefault="009B4BA7">
      <w:pPr>
        <w:ind w:firstLine="480"/>
      </w:pPr>
      <w:r>
        <w:rPr>
          <w:rFonts w:hint="eastAsia"/>
        </w:rPr>
        <w:t>（</w:t>
      </w:r>
      <w:r>
        <w:rPr>
          <w:rFonts w:hint="eastAsia"/>
        </w:rPr>
        <w:t>1</w:t>
      </w:r>
      <w:r>
        <w:rPr>
          <w:rFonts w:hint="eastAsia"/>
        </w:rPr>
        <w:t>）水库工程规模</w:t>
      </w:r>
    </w:p>
    <w:p w:rsidR="006175A6" w:rsidRDefault="009B4BA7">
      <w:pPr>
        <w:ind w:firstLine="480"/>
      </w:pPr>
      <w:r>
        <w:rPr>
          <w:rFonts w:hint="eastAsia"/>
        </w:rPr>
        <w:t>两河口水库坝址选在河道高程</w:t>
      </w:r>
      <w:r>
        <w:rPr>
          <w:rFonts w:hint="eastAsia"/>
        </w:rPr>
        <w:t>985.0m</w:t>
      </w:r>
      <w:r>
        <w:rPr>
          <w:rFonts w:hint="eastAsia"/>
        </w:rPr>
        <w:t>处，坝型为碾压混凝土拱坝，最大坝高</w:t>
      </w:r>
      <w:r>
        <w:rPr>
          <w:rFonts w:hint="eastAsia"/>
        </w:rPr>
        <w:t>86m</w:t>
      </w:r>
      <w:r>
        <w:rPr>
          <w:rFonts w:hint="eastAsia"/>
        </w:rPr>
        <w:t>，水库设计死水位</w:t>
      </w:r>
      <w:r>
        <w:rPr>
          <w:rFonts w:hint="eastAsia"/>
        </w:rPr>
        <w:t>1013.0m</w:t>
      </w:r>
      <w:r>
        <w:rPr>
          <w:rFonts w:hint="eastAsia"/>
        </w:rPr>
        <w:t>，对应库容</w:t>
      </w:r>
      <w:r>
        <w:rPr>
          <w:rFonts w:hint="eastAsia"/>
        </w:rPr>
        <w:t>91.2</w:t>
      </w:r>
      <w:r>
        <w:rPr>
          <w:rFonts w:hint="eastAsia"/>
        </w:rPr>
        <w:t>万</w:t>
      </w:r>
      <w:r>
        <w:rPr>
          <w:rFonts w:hint="eastAsia"/>
        </w:rPr>
        <w:t>m</w:t>
      </w:r>
      <w:r>
        <w:rPr>
          <w:rFonts w:hint="eastAsia"/>
        </w:rPr>
        <w:t>³；正常蓄水位</w:t>
      </w:r>
      <w:r>
        <w:rPr>
          <w:rFonts w:hint="eastAsia"/>
        </w:rPr>
        <w:t>1058.0m</w:t>
      </w:r>
      <w:r>
        <w:rPr>
          <w:rFonts w:hint="eastAsia"/>
        </w:rPr>
        <w:t>，对应库容</w:t>
      </w:r>
      <w:r>
        <w:rPr>
          <w:rFonts w:hint="eastAsia"/>
        </w:rPr>
        <w:t>1001.3</w:t>
      </w:r>
      <w:r>
        <w:rPr>
          <w:rFonts w:hint="eastAsia"/>
        </w:rPr>
        <w:t>万</w:t>
      </w:r>
      <w:r>
        <w:rPr>
          <w:rFonts w:hint="eastAsia"/>
        </w:rPr>
        <w:t>m</w:t>
      </w:r>
      <w:r>
        <w:rPr>
          <w:rFonts w:hint="eastAsia"/>
        </w:rPr>
        <w:t>³，则兴利库容为</w:t>
      </w:r>
      <w:r>
        <w:rPr>
          <w:rFonts w:hint="eastAsia"/>
        </w:rPr>
        <w:t>910.1</w:t>
      </w:r>
      <w:r>
        <w:rPr>
          <w:rFonts w:hint="eastAsia"/>
        </w:rPr>
        <w:t>万</w:t>
      </w:r>
      <w:r>
        <w:rPr>
          <w:rFonts w:hint="eastAsia"/>
        </w:rPr>
        <w:t>m</w:t>
      </w:r>
      <w:r>
        <w:rPr>
          <w:rFonts w:hint="eastAsia"/>
        </w:rPr>
        <w:t>³；</w:t>
      </w:r>
      <w:r>
        <w:rPr>
          <w:rFonts w:hint="eastAsia"/>
        </w:rPr>
        <w:t>50</w:t>
      </w:r>
      <w:r>
        <w:rPr>
          <w:rFonts w:hint="eastAsia"/>
        </w:rPr>
        <w:t>年一遇设计洪水</w:t>
      </w:r>
      <w:r>
        <w:rPr>
          <w:rFonts w:hint="eastAsia"/>
        </w:rPr>
        <w:t>816m</w:t>
      </w:r>
      <w:r>
        <w:rPr>
          <w:rFonts w:hint="eastAsia"/>
        </w:rPr>
        <w:t>³</w:t>
      </w:r>
      <w:r>
        <w:rPr>
          <w:rFonts w:hint="eastAsia"/>
        </w:rPr>
        <w:t>/s</w:t>
      </w:r>
      <w:r>
        <w:rPr>
          <w:rFonts w:hint="eastAsia"/>
        </w:rPr>
        <w:t>，设计洪水位</w:t>
      </w:r>
      <w:r>
        <w:rPr>
          <w:rFonts w:hint="eastAsia"/>
        </w:rPr>
        <w:t>1058.0m</w:t>
      </w:r>
      <w:r>
        <w:rPr>
          <w:rFonts w:hint="eastAsia"/>
        </w:rPr>
        <w:t>，下泄流量</w:t>
      </w:r>
      <w:r>
        <w:rPr>
          <w:rFonts w:hint="eastAsia"/>
        </w:rPr>
        <w:t>816m</w:t>
      </w:r>
      <w:r>
        <w:rPr>
          <w:rFonts w:hint="eastAsia"/>
        </w:rPr>
        <w:t>³</w:t>
      </w:r>
      <w:r>
        <w:rPr>
          <w:rFonts w:hint="eastAsia"/>
        </w:rPr>
        <w:t>/s</w:t>
      </w:r>
      <w:r>
        <w:rPr>
          <w:rFonts w:hint="eastAsia"/>
        </w:rPr>
        <w:t>；</w:t>
      </w:r>
      <w:r>
        <w:rPr>
          <w:rFonts w:hint="eastAsia"/>
        </w:rPr>
        <w:t>500</w:t>
      </w:r>
      <w:r>
        <w:rPr>
          <w:rFonts w:hint="eastAsia"/>
        </w:rPr>
        <w:t>年一遇校核洪水</w:t>
      </w:r>
      <w:r>
        <w:rPr>
          <w:rFonts w:hint="eastAsia"/>
        </w:rPr>
        <w:t>1386m</w:t>
      </w:r>
      <w:r>
        <w:rPr>
          <w:rFonts w:hint="eastAsia"/>
        </w:rPr>
        <w:t>³</w:t>
      </w:r>
      <w:r>
        <w:rPr>
          <w:rFonts w:hint="eastAsia"/>
        </w:rPr>
        <w:t>/s</w:t>
      </w:r>
      <w:r>
        <w:rPr>
          <w:rFonts w:hint="eastAsia"/>
        </w:rPr>
        <w:t>，校核洪水位</w:t>
      </w:r>
      <w:r>
        <w:rPr>
          <w:rFonts w:hint="eastAsia"/>
        </w:rPr>
        <w:t>1060.00m</w:t>
      </w:r>
      <w:r>
        <w:rPr>
          <w:rFonts w:hint="eastAsia"/>
        </w:rPr>
        <w:t>，下泄流量</w:t>
      </w:r>
      <w:r>
        <w:rPr>
          <w:rFonts w:hint="eastAsia"/>
        </w:rPr>
        <w:t>1177m</w:t>
      </w:r>
      <w:r>
        <w:rPr>
          <w:rFonts w:hint="eastAsia"/>
        </w:rPr>
        <w:t>³</w:t>
      </w:r>
      <w:r>
        <w:rPr>
          <w:rFonts w:hint="eastAsia"/>
        </w:rPr>
        <w:t>/s</w:t>
      </w:r>
      <w:r>
        <w:rPr>
          <w:rFonts w:hint="eastAsia"/>
        </w:rPr>
        <w:t>，对应库容</w:t>
      </w:r>
      <w:r>
        <w:rPr>
          <w:rFonts w:hint="eastAsia"/>
        </w:rPr>
        <w:t>1075</w:t>
      </w:r>
      <w:r>
        <w:rPr>
          <w:rFonts w:hint="eastAsia"/>
        </w:rPr>
        <w:t>万</w:t>
      </w:r>
      <w:r>
        <w:rPr>
          <w:rFonts w:hint="eastAsia"/>
        </w:rPr>
        <w:t>m</w:t>
      </w:r>
      <w:r>
        <w:rPr>
          <w:rFonts w:hint="eastAsia"/>
        </w:rPr>
        <w:t>³。即水库总库容为</w:t>
      </w:r>
      <w:r>
        <w:rPr>
          <w:rFonts w:hint="eastAsia"/>
        </w:rPr>
        <w:t>1075</w:t>
      </w:r>
      <w:r>
        <w:rPr>
          <w:rFonts w:hint="eastAsia"/>
        </w:rPr>
        <w:t>万</w:t>
      </w:r>
      <w:r>
        <w:rPr>
          <w:rFonts w:hint="eastAsia"/>
        </w:rPr>
        <w:t>m</w:t>
      </w:r>
      <w:r>
        <w:rPr>
          <w:rFonts w:hint="eastAsia"/>
        </w:rPr>
        <w:t>³。</w:t>
      </w:r>
    </w:p>
    <w:p w:rsidR="006175A6" w:rsidRDefault="009B4BA7">
      <w:pPr>
        <w:ind w:firstLine="480"/>
      </w:pPr>
      <w:r>
        <w:rPr>
          <w:rFonts w:hint="eastAsia"/>
        </w:rPr>
        <w:t>由于坝址控制承雨面积多年平均径流量为</w:t>
      </w:r>
      <w:r>
        <w:rPr>
          <w:rFonts w:hint="eastAsia"/>
        </w:rPr>
        <w:t>4920</w:t>
      </w:r>
      <w:r>
        <w:rPr>
          <w:rFonts w:hint="eastAsia"/>
        </w:rPr>
        <w:t>万</w:t>
      </w:r>
      <w:r>
        <w:rPr>
          <w:rFonts w:hint="eastAsia"/>
        </w:rPr>
        <w:t>m</w:t>
      </w:r>
      <w:r>
        <w:rPr>
          <w:rFonts w:hint="eastAsia"/>
        </w:rPr>
        <w:t>³，则调节系数为β</w:t>
      </w:r>
      <w:r>
        <w:rPr>
          <w:rFonts w:hint="eastAsia"/>
        </w:rPr>
        <w:t>=18.4%</w:t>
      </w:r>
      <w:r>
        <w:rPr>
          <w:rFonts w:hint="eastAsia"/>
        </w:rPr>
        <w:t>。因此，水库的调节性能为不完全年调节。</w:t>
      </w:r>
    </w:p>
    <w:p w:rsidR="006175A6" w:rsidRDefault="009B4BA7">
      <w:pPr>
        <w:ind w:firstLine="480"/>
      </w:pPr>
      <w:r>
        <w:rPr>
          <w:rFonts w:hint="eastAsia"/>
        </w:rPr>
        <w:t>根据调节计算，门家河向受水区提供的多年平均水量为</w:t>
      </w:r>
      <w:r>
        <w:rPr>
          <w:rFonts w:hint="eastAsia"/>
        </w:rPr>
        <w:t>2167</w:t>
      </w:r>
      <w:r>
        <w:rPr>
          <w:rFonts w:hint="eastAsia"/>
        </w:rPr>
        <w:t>万</w:t>
      </w:r>
      <w:r>
        <w:rPr>
          <w:rFonts w:hint="eastAsia"/>
        </w:rPr>
        <w:t>m</w:t>
      </w:r>
      <w:r>
        <w:rPr>
          <w:rFonts w:hint="eastAsia"/>
        </w:rPr>
        <w:t>³，坝址年径流总量为</w:t>
      </w:r>
      <w:r>
        <w:rPr>
          <w:rFonts w:hint="eastAsia"/>
        </w:rPr>
        <w:t>4920</w:t>
      </w:r>
      <w:r>
        <w:rPr>
          <w:rFonts w:hint="eastAsia"/>
        </w:rPr>
        <w:t>万</w:t>
      </w:r>
      <w:r>
        <w:rPr>
          <w:rFonts w:hint="eastAsia"/>
        </w:rPr>
        <w:t>m</w:t>
      </w:r>
      <w:r>
        <w:rPr>
          <w:rFonts w:hint="eastAsia"/>
        </w:rPr>
        <w:t>³，则水量利用系数为</w:t>
      </w:r>
      <w:r>
        <w:rPr>
          <w:rFonts w:hint="eastAsia"/>
        </w:rPr>
        <w:t>41.7%</w:t>
      </w:r>
      <w:r>
        <w:rPr>
          <w:rFonts w:hint="eastAsia"/>
        </w:rPr>
        <w:t>。</w:t>
      </w:r>
    </w:p>
    <w:p w:rsidR="006175A6" w:rsidRDefault="009B4BA7">
      <w:pPr>
        <w:ind w:firstLine="480"/>
      </w:pPr>
      <w:r>
        <w:rPr>
          <w:rFonts w:hint="eastAsia"/>
        </w:rPr>
        <w:t>（</w:t>
      </w:r>
      <w:r>
        <w:rPr>
          <w:rFonts w:hint="eastAsia"/>
        </w:rPr>
        <w:t>2</w:t>
      </w:r>
      <w:r>
        <w:rPr>
          <w:rFonts w:hint="eastAsia"/>
        </w:rPr>
        <w:t>）输水工程</w:t>
      </w:r>
    </w:p>
    <w:p w:rsidR="006175A6" w:rsidRDefault="009B4BA7">
      <w:pPr>
        <w:ind w:firstLine="480"/>
      </w:pPr>
      <w:r>
        <w:rPr>
          <w:rFonts w:hint="eastAsia"/>
        </w:rPr>
        <w:t>输水工程总长</w:t>
      </w:r>
      <w:r>
        <w:rPr>
          <w:rFonts w:hint="eastAsia"/>
        </w:rPr>
        <w:t>23.7km</w:t>
      </w:r>
      <w:r>
        <w:rPr>
          <w:rFonts w:hint="eastAsia"/>
        </w:rPr>
        <w:t>，其中隧洞</w:t>
      </w:r>
      <w:r>
        <w:rPr>
          <w:rFonts w:hint="eastAsia"/>
        </w:rPr>
        <w:t>23.3km</w:t>
      </w:r>
      <w:r>
        <w:rPr>
          <w:rFonts w:hint="eastAsia"/>
        </w:rPr>
        <w:t>，连接建筑物</w:t>
      </w:r>
      <w:r>
        <w:rPr>
          <w:rFonts w:hint="eastAsia"/>
        </w:rPr>
        <w:t>0.4km</w:t>
      </w:r>
      <w:r>
        <w:rPr>
          <w:rFonts w:hint="eastAsia"/>
        </w:rPr>
        <w:t>。</w:t>
      </w:r>
    </w:p>
    <w:p w:rsidR="006175A6" w:rsidRDefault="009B4BA7">
      <w:pPr>
        <w:pStyle w:val="3"/>
      </w:pPr>
      <w:r>
        <w:rPr>
          <w:rFonts w:hint="eastAsia"/>
        </w:rPr>
        <w:t>设计水平年、供水保证率及供水范围</w:t>
      </w:r>
    </w:p>
    <w:p w:rsidR="006175A6" w:rsidRDefault="009B4BA7">
      <w:pPr>
        <w:ind w:firstLine="480"/>
      </w:pPr>
      <w:r>
        <w:rPr>
          <w:rFonts w:hint="eastAsia"/>
        </w:rPr>
        <w:t>（</w:t>
      </w:r>
      <w:r>
        <w:rPr>
          <w:rFonts w:hint="eastAsia"/>
        </w:rPr>
        <w:t>1</w:t>
      </w:r>
      <w:r>
        <w:rPr>
          <w:rFonts w:hint="eastAsia"/>
        </w:rPr>
        <w:t>）设计水平年</w:t>
      </w:r>
    </w:p>
    <w:p w:rsidR="006175A6" w:rsidRDefault="009B4BA7">
      <w:pPr>
        <w:ind w:firstLine="480"/>
      </w:pPr>
      <w:r>
        <w:rPr>
          <w:rFonts w:hint="eastAsia"/>
        </w:rPr>
        <w:t>根据《湖北省兴山县两河口水库工程初步设计报告》，现状水平年取</w:t>
      </w:r>
      <w:r>
        <w:rPr>
          <w:rFonts w:hint="eastAsia"/>
        </w:rPr>
        <w:t>2010</w:t>
      </w:r>
      <w:r>
        <w:rPr>
          <w:rFonts w:hint="eastAsia"/>
        </w:rPr>
        <w:t>年，规划水平年取</w:t>
      </w:r>
      <w:r>
        <w:rPr>
          <w:rFonts w:hint="eastAsia"/>
        </w:rPr>
        <w:t>2030</w:t>
      </w:r>
      <w:r>
        <w:rPr>
          <w:rFonts w:hint="eastAsia"/>
        </w:rPr>
        <w:t>年。</w:t>
      </w:r>
    </w:p>
    <w:p w:rsidR="006175A6" w:rsidRDefault="009B4BA7">
      <w:pPr>
        <w:ind w:firstLine="480"/>
      </w:pPr>
      <w:r>
        <w:rPr>
          <w:rFonts w:hint="eastAsia"/>
        </w:rPr>
        <w:t>（</w:t>
      </w:r>
      <w:r>
        <w:rPr>
          <w:rFonts w:hint="eastAsia"/>
        </w:rPr>
        <w:t>2</w:t>
      </w:r>
      <w:r>
        <w:rPr>
          <w:rFonts w:hint="eastAsia"/>
        </w:rPr>
        <w:t>）供水保证率</w:t>
      </w:r>
    </w:p>
    <w:p w:rsidR="006175A6" w:rsidRDefault="009B4BA7">
      <w:pPr>
        <w:ind w:firstLine="480"/>
      </w:pPr>
      <w:r>
        <w:rPr>
          <w:rFonts w:hint="eastAsia"/>
        </w:rPr>
        <w:t>城乡生活</w:t>
      </w:r>
      <w:r>
        <w:rPr>
          <w:rFonts w:hint="eastAsia"/>
        </w:rPr>
        <w:t>95%</w:t>
      </w:r>
      <w:r>
        <w:rPr>
          <w:rFonts w:hint="eastAsia"/>
        </w:rPr>
        <w:t>，工业</w:t>
      </w:r>
      <w:r>
        <w:rPr>
          <w:rFonts w:hint="eastAsia"/>
        </w:rPr>
        <w:t>95%</w:t>
      </w:r>
      <w:r>
        <w:rPr>
          <w:rFonts w:hint="eastAsia"/>
        </w:rPr>
        <w:t>。</w:t>
      </w:r>
    </w:p>
    <w:p w:rsidR="006175A6" w:rsidRDefault="009B4BA7">
      <w:pPr>
        <w:ind w:firstLine="480"/>
      </w:pPr>
      <w:r>
        <w:rPr>
          <w:rFonts w:hint="eastAsia"/>
        </w:rPr>
        <w:t>（</w:t>
      </w:r>
      <w:r>
        <w:rPr>
          <w:rFonts w:hint="eastAsia"/>
        </w:rPr>
        <w:t>3</w:t>
      </w:r>
      <w:r>
        <w:rPr>
          <w:rFonts w:hint="eastAsia"/>
        </w:rPr>
        <w:t>）供水范围</w:t>
      </w:r>
    </w:p>
    <w:p w:rsidR="006175A6" w:rsidRDefault="009B4BA7">
      <w:pPr>
        <w:ind w:firstLine="480"/>
      </w:pPr>
      <w:r>
        <w:rPr>
          <w:rFonts w:hint="eastAsia"/>
        </w:rPr>
        <w:t>根据《湖北省中型灌区节水配套改造“十三五”规划》（湖北金浪勘察设计有限公司</w:t>
      </w:r>
      <w:r>
        <w:rPr>
          <w:rFonts w:hint="eastAsia"/>
        </w:rPr>
        <w:t>2016</w:t>
      </w:r>
      <w:r>
        <w:rPr>
          <w:rFonts w:hint="eastAsia"/>
        </w:rPr>
        <w:t>年），黄粮中型灌区</w:t>
      </w:r>
      <w:r>
        <w:rPr>
          <w:rFonts w:hint="eastAsia"/>
        </w:rPr>
        <w:t>5.36</w:t>
      </w:r>
      <w:r>
        <w:rPr>
          <w:rFonts w:hint="eastAsia"/>
        </w:rPr>
        <w:t>万亩，共计</w:t>
      </w:r>
      <w:r>
        <w:rPr>
          <w:rFonts w:hint="eastAsia"/>
        </w:rPr>
        <w:t>20</w:t>
      </w:r>
      <w:r>
        <w:rPr>
          <w:rFonts w:hint="eastAsia"/>
        </w:rPr>
        <w:t>个村，结合本项目初步调查报告实地调查，满足自流灌溉和供水要求的村共计</w:t>
      </w:r>
      <w:r>
        <w:rPr>
          <w:rFonts w:hint="eastAsia"/>
        </w:rPr>
        <w:t>13</w:t>
      </w:r>
      <w:r>
        <w:rPr>
          <w:rFonts w:hint="eastAsia"/>
        </w:rPr>
        <w:t>个，即为以黄粮集镇中心，包括周边的峡口镇、昭君镇及古夫镇的部分村，共</w:t>
      </w:r>
      <w:r>
        <w:rPr>
          <w:rFonts w:hint="eastAsia"/>
        </w:rPr>
        <w:t>4</w:t>
      </w:r>
      <w:r>
        <w:rPr>
          <w:rFonts w:hint="eastAsia"/>
        </w:rPr>
        <w:t>个乡镇的</w:t>
      </w:r>
      <w:r>
        <w:rPr>
          <w:rFonts w:hint="eastAsia"/>
        </w:rPr>
        <w:t>13</w:t>
      </w:r>
      <w:r>
        <w:rPr>
          <w:rFonts w:hint="eastAsia"/>
        </w:rPr>
        <w:t>个村（黄粮坪村、金家坝村、户溪村、后山村、水磨溪村、界牌垭村、石槽溪村、店子垭村、北斗坪村、青华村、响龙村、李家山村、庙淌坪村），至规划水平年（</w:t>
      </w:r>
      <w:r>
        <w:rPr>
          <w:rFonts w:hint="eastAsia"/>
        </w:rPr>
        <w:t>2030</w:t>
      </w:r>
      <w:r>
        <w:rPr>
          <w:rFonts w:hint="eastAsia"/>
        </w:rPr>
        <w:t>），</w:t>
      </w:r>
      <w:r>
        <w:rPr>
          <w:rFonts w:hint="eastAsia"/>
        </w:rPr>
        <w:lastRenderedPageBreak/>
        <w:t>受水区范围内的设计灌溉面积为</w:t>
      </w:r>
      <w:r>
        <w:rPr>
          <w:rFonts w:hint="eastAsia"/>
        </w:rPr>
        <w:t>2.8</w:t>
      </w:r>
      <w:r>
        <w:rPr>
          <w:rFonts w:hint="eastAsia"/>
        </w:rPr>
        <w:t>万亩（其中烤烟灌溉面积</w:t>
      </w:r>
      <w:r>
        <w:rPr>
          <w:rFonts w:hint="eastAsia"/>
        </w:rPr>
        <w:t xml:space="preserve"> 1.8 </w:t>
      </w:r>
      <w:r>
        <w:rPr>
          <w:rFonts w:hint="eastAsia"/>
        </w:rPr>
        <w:t>万亩），受水区内供水总人口</w:t>
      </w:r>
      <w:r>
        <w:rPr>
          <w:rFonts w:hint="eastAsia"/>
        </w:rPr>
        <w:t xml:space="preserve"> 3.1 </w:t>
      </w:r>
      <w:r>
        <w:rPr>
          <w:rFonts w:hint="eastAsia"/>
        </w:rPr>
        <w:t>万人。</w:t>
      </w:r>
    </w:p>
    <w:p w:rsidR="006175A6" w:rsidRDefault="009B4BA7">
      <w:pPr>
        <w:ind w:firstLine="480"/>
      </w:pPr>
      <w:r>
        <w:rPr>
          <w:rFonts w:hint="eastAsia"/>
        </w:rPr>
        <w:t>项目供水范围图见下图。</w:t>
      </w:r>
    </w:p>
    <w:p w:rsidR="006175A6" w:rsidRDefault="009B4BA7">
      <w:pPr>
        <w:ind w:firstLineChars="0" w:firstLine="0"/>
        <w:jc w:val="center"/>
      </w:pPr>
      <w:r>
        <w:rPr>
          <w:noProof/>
        </w:rPr>
        <w:drawing>
          <wp:inline distT="0" distB="0" distL="0" distR="0" wp14:anchorId="296A62F0" wp14:editId="71625AEA">
            <wp:extent cx="4317365" cy="4627245"/>
            <wp:effectExtent l="19050" t="19050" r="26035" b="20955"/>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pic:cNvPicPr>
                      <a:picLocks noChangeAspect="1"/>
                    </pic:cNvPicPr>
                  </pic:nvPicPr>
                  <pic:blipFill>
                    <a:blip r:embed="rId19" cstate="print"/>
                    <a:srcRect l="1428" r="1607" b="969"/>
                    <a:stretch>
                      <a:fillRect/>
                    </a:stretch>
                  </pic:blipFill>
                  <pic:spPr>
                    <a:xfrm>
                      <a:off x="0" y="0"/>
                      <a:ext cx="4313306" cy="4623103"/>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p>
    <w:p w:rsidR="006175A6" w:rsidRDefault="009B4BA7">
      <w:pPr>
        <w:pStyle w:val="a3"/>
      </w:pPr>
      <w:r>
        <w:rPr>
          <w:rFonts w:hint="eastAsia"/>
        </w:rPr>
        <w:t>图</w:t>
      </w:r>
      <w:r>
        <w:rPr>
          <w:rFonts w:hint="eastAsia"/>
        </w:rPr>
        <w:t xml:space="preserve"> </w:t>
      </w:r>
      <w:r w:rsidR="00AC2588">
        <w:fldChar w:fldCharType="begin"/>
      </w:r>
      <w:r w:rsidR="00AC2588">
        <w:instrText xml:space="preserve"> </w:instrText>
      </w:r>
      <w:r w:rsidR="00AC2588">
        <w:rPr>
          <w:rFonts w:hint="eastAsia"/>
        </w:rPr>
        <w:instrText>STYLEREF 2 \s</w:instrText>
      </w:r>
      <w:r w:rsidR="00AC2588">
        <w:instrText xml:space="preserve"> </w:instrText>
      </w:r>
      <w:r w:rsidR="00AC2588">
        <w:fldChar w:fldCharType="separate"/>
      </w:r>
      <w:r w:rsidR="00E97427">
        <w:rPr>
          <w:noProof/>
        </w:rPr>
        <w:t>3.3</w:t>
      </w:r>
      <w:r w:rsidR="00AC2588">
        <w:fldChar w:fldCharType="end"/>
      </w:r>
      <w:r w:rsidR="00AC2588">
        <w:noBreakHyphen/>
      </w:r>
      <w:r w:rsidR="00AC2588">
        <w:fldChar w:fldCharType="begin"/>
      </w:r>
      <w:r w:rsidR="00AC2588">
        <w:instrText xml:space="preserve"> </w:instrText>
      </w:r>
      <w:r w:rsidR="00AC2588">
        <w:rPr>
          <w:rFonts w:hint="eastAsia"/>
        </w:rPr>
        <w:instrText xml:space="preserve">SEQ </w:instrText>
      </w:r>
      <w:r w:rsidR="00AC2588">
        <w:rPr>
          <w:rFonts w:hint="eastAsia"/>
        </w:rPr>
        <w:instrText>图</w:instrText>
      </w:r>
      <w:r w:rsidR="00AC2588">
        <w:rPr>
          <w:rFonts w:hint="eastAsia"/>
        </w:rPr>
        <w:instrText xml:space="preserve"> \* ARABIC \s 2</w:instrText>
      </w:r>
      <w:r w:rsidR="00AC2588">
        <w:instrText xml:space="preserve"> </w:instrText>
      </w:r>
      <w:r w:rsidR="00AC2588">
        <w:fldChar w:fldCharType="separate"/>
      </w:r>
      <w:r w:rsidR="00E97427">
        <w:rPr>
          <w:noProof/>
        </w:rPr>
        <w:t>1</w:t>
      </w:r>
      <w:r w:rsidR="00AC2588">
        <w:fldChar w:fldCharType="end"/>
      </w:r>
      <w:r>
        <w:rPr>
          <w:rFonts w:hint="eastAsia"/>
        </w:rPr>
        <w:t xml:space="preserve">  </w:t>
      </w:r>
      <w:r>
        <w:rPr>
          <w:rFonts w:hint="eastAsia"/>
        </w:rPr>
        <w:t>项目供水范围图</w:t>
      </w:r>
    </w:p>
    <w:p w:rsidR="006175A6" w:rsidRDefault="009B4BA7">
      <w:pPr>
        <w:pStyle w:val="3"/>
      </w:pPr>
      <w:r>
        <w:rPr>
          <w:rFonts w:hint="eastAsia"/>
        </w:rPr>
        <w:t>工程运行方式</w:t>
      </w:r>
    </w:p>
    <w:p w:rsidR="006175A6" w:rsidRDefault="009B4BA7">
      <w:pPr>
        <w:ind w:firstLine="480"/>
      </w:pPr>
      <w:r>
        <w:rPr>
          <w:rFonts w:hint="eastAsia"/>
        </w:rPr>
        <w:t>（</w:t>
      </w:r>
      <w:r>
        <w:rPr>
          <w:rFonts w:hint="eastAsia"/>
        </w:rPr>
        <w:t>1</w:t>
      </w:r>
      <w:r>
        <w:rPr>
          <w:rFonts w:hint="eastAsia"/>
        </w:rPr>
        <w:t>）水库调度运行</w:t>
      </w:r>
    </w:p>
    <w:p w:rsidR="006175A6" w:rsidRDefault="009B4BA7">
      <w:pPr>
        <w:ind w:firstLine="480"/>
      </w:pPr>
      <w:r>
        <w:rPr>
          <w:rFonts w:hint="eastAsia"/>
        </w:rPr>
        <w:t>根据地形地质条件、水库供水量及保证率、水库淹没补偿、工程量及投资等因素综合考虑，选定两河口水库的正常蓄水位为</w:t>
      </w:r>
      <w:r>
        <w:rPr>
          <w:rFonts w:hint="eastAsia"/>
        </w:rPr>
        <w:t>1058m</w:t>
      </w:r>
      <w:r>
        <w:rPr>
          <w:rFonts w:hint="eastAsia"/>
        </w:rPr>
        <w:t>，相应库容为</w:t>
      </w:r>
      <w:r>
        <w:rPr>
          <w:rFonts w:hint="eastAsia"/>
        </w:rPr>
        <w:t>1001.3</w:t>
      </w:r>
      <w:r>
        <w:rPr>
          <w:rFonts w:hint="eastAsia"/>
        </w:rPr>
        <w:t>万</w:t>
      </w:r>
      <w:r>
        <w:rPr>
          <w:rFonts w:hint="eastAsia"/>
        </w:rPr>
        <w:t>m</w:t>
      </w:r>
      <w:r>
        <w:rPr>
          <w:rFonts w:hint="eastAsia"/>
          <w:vertAlign w:val="superscript"/>
        </w:rPr>
        <w:t>3</w:t>
      </w:r>
      <w:r>
        <w:rPr>
          <w:rFonts w:hint="eastAsia"/>
        </w:rPr>
        <w:t>，兴利库容为</w:t>
      </w:r>
      <w:r>
        <w:rPr>
          <w:rFonts w:hint="eastAsia"/>
        </w:rPr>
        <w:t>910.1</w:t>
      </w:r>
      <w:r>
        <w:rPr>
          <w:rFonts w:hint="eastAsia"/>
        </w:rPr>
        <w:t>万</w:t>
      </w:r>
      <w:r>
        <w:rPr>
          <w:rFonts w:hint="eastAsia"/>
        </w:rPr>
        <w:t>m</w:t>
      </w:r>
      <w:r>
        <w:rPr>
          <w:rFonts w:hint="eastAsia"/>
          <w:vertAlign w:val="superscript"/>
        </w:rPr>
        <w:t>3</w:t>
      </w:r>
      <w:r>
        <w:rPr>
          <w:rFonts w:hint="eastAsia"/>
        </w:rPr>
        <w:t>，库容系数为</w:t>
      </w:r>
      <w:r>
        <w:rPr>
          <w:rFonts w:hint="eastAsia"/>
        </w:rPr>
        <w:t>18.4%</w:t>
      </w:r>
      <w:r>
        <w:rPr>
          <w:rFonts w:hint="eastAsia"/>
        </w:rPr>
        <w:t>，为不完全年调节性能。</w:t>
      </w:r>
    </w:p>
    <w:p w:rsidR="006175A6" w:rsidRDefault="009B4BA7">
      <w:pPr>
        <w:ind w:firstLine="480"/>
      </w:pPr>
      <w:r>
        <w:rPr>
          <w:rFonts w:hint="eastAsia"/>
        </w:rPr>
        <w:t>（</w:t>
      </w:r>
      <w:r>
        <w:rPr>
          <w:rFonts w:hint="eastAsia"/>
        </w:rPr>
        <w:t>2</w:t>
      </w:r>
      <w:r>
        <w:rPr>
          <w:rFonts w:hint="eastAsia"/>
        </w:rPr>
        <w:t>）洪水调节</w:t>
      </w:r>
    </w:p>
    <w:p w:rsidR="006175A6" w:rsidRDefault="009B4BA7">
      <w:pPr>
        <w:ind w:firstLine="480"/>
      </w:pPr>
      <w:r>
        <w:rPr>
          <w:rFonts w:hint="eastAsia"/>
        </w:rPr>
        <w:t>大坝设计洪水标准为</w:t>
      </w:r>
      <w:r>
        <w:rPr>
          <w:rFonts w:hint="eastAsia"/>
        </w:rPr>
        <w:t>50</w:t>
      </w:r>
      <w:r>
        <w:rPr>
          <w:rFonts w:hint="eastAsia"/>
        </w:rPr>
        <w:t>年一遇，校核洪水标准为</w:t>
      </w:r>
      <w:r>
        <w:rPr>
          <w:rFonts w:hint="eastAsia"/>
        </w:rPr>
        <w:t>500</w:t>
      </w:r>
      <w:r>
        <w:rPr>
          <w:rFonts w:hint="eastAsia"/>
        </w:rPr>
        <w:t>年一遇。</w:t>
      </w:r>
    </w:p>
    <w:p w:rsidR="006175A6" w:rsidRDefault="009B4BA7">
      <w:pPr>
        <w:pStyle w:val="2"/>
      </w:pPr>
      <w:bookmarkStart w:id="34" w:name="_Toc80170094"/>
      <w:r>
        <w:rPr>
          <w:rFonts w:hint="eastAsia"/>
        </w:rPr>
        <w:lastRenderedPageBreak/>
        <w:t>工程总布置与主要建筑物</w:t>
      </w:r>
      <w:bookmarkEnd w:id="34"/>
    </w:p>
    <w:p w:rsidR="006175A6" w:rsidRDefault="009B4BA7">
      <w:pPr>
        <w:ind w:firstLine="480"/>
      </w:pPr>
      <w:r>
        <w:rPr>
          <w:rFonts w:hint="eastAsia"/>
        </w:rPr>
        <w:t>两河口水库主体工程主要包括水库工程和配套输水工程，水库工程位于榛子乡石柱村，坝址在高岚河上游的门家河流域，距门家河汇入高岚河干流处上游</w:t>
      </w:r>
      <w:r>
        <w:rPr>
          <w:rFonts w:hint="eastAsia"/>
        </w:rPr>
        <w:t>9.2km</w:t>
      </w:r>
      <w:r>
        <w:rPr>
          <w:rFonts w:hint="eastAsia"/>
        </w:rPr>
        <w:t>处。输水工程跨榛子乡和黄粮镇，布置方式为：顺门家河——孔子河右岸布置，起点为坝址右岸上游</w:t>
      </w:r>
      <w:r>
        <w:rPr>
          <w:rFonts w:hint="eastAsia"/>
        </w:rPr>
        <w:t>50m</w:t>
      </w:r>
      <w:r>
        <w:rPr>
          <w:rFonts w:hint="eastAsia"/>
        </w:rPr>
        <w:t>处，终点位于黄粮镇龙洞湾。</w:t>
      </w:r>
    </w:p>
    <w:p w:rsidR="006175A6" w:rsidRDefault="009B4BA7">
      <w:pPr>
        <w:pStyle w:val="3"/>
      </w:pPr>
      <w:r>
        <w:rPr>
          <w:rFonts w:hint="eastAsia"/>
        </w:rPr>
        <w:t>工程等别、建筑物级别及洪水标准</w:t>
      </w:r>
    </w:p>
    <w:p w:rsidR="006175A6" w:rsidRDefault="009B4BA7">
      <w:pPr>
        <w:ind w:firstLine="480"/>
      </w:pPr>
      <w:r>
        <w:rPr>
          <w:rFonts w:hint="eastAsia"/>
        </w:rPr>
        <w:t>根据《防洪标准》</w:t>
      </w:r>
      <w:r>
        <w:rPr>
          <w:rFonts w:hint="eastAsia"/>
        </w:rPr>
        <w:t>GB50201-2014</w:t>
      </w:r>
      <w:r>
        <w:rPr>
          <w:rFonts w:hint="eastAsia"/>
        </w:rPr>
        <w:t>、《水利水电工程等级划分及洪水标准》</w:t>
      </w:r>
      <w:r>
        <w:rPr>
          <w:rFonts w:hint="eastAsia"/>
        </w:rPr>
        <w:t>SL252-2000</w:t>
      </w:r>
      <w:r>
        <w:rPr>
          <w:rFonts w:hint="eastAsia"/>
        </w:rPr>
        <w:t>的规定，兴山县两河口水库工程坝型为碾压混凝土拱坝，总库容</w:t>
      </w:r>
      <w:r>
        <w:rPr>
          <w:rFonts w:hint="eastAsia"/>
        </w:rPr>
        <w:t>1075</w:t>
      </w:r>
      <w:r>
        <w:rPr>
          <w:rFonts w:hint="eastAsia"/>
        </w:rPr>
        <w:t>万</w:t>
      </w:r>
      <w:r>
        <w:rPr>
          <w:rFonts w:hint="eastAsia"/>
        </w:rPr>
        <w:t>m</w:t>
      </w:r>
      <w:r>
        <w:rPr>
          <w:rFonts w:hint="eastAsia"/>
        </w:rPr>
        <w:t>³，属Ⅲ等中型工程，主要建筑物级别为</w:t>
      </w:r>
      <w:r>
        <w:rPr>
          <w:rFonts w:hint="eastAsia"/>
        </w:rPr>
        <w:t>3</w:t>
      </w:r>
      <w:r>
        <w:rPr>
          <w:rFonts w:hint="eastAsia"/>
        </w:rPr>
        <w:t>级，次要建筑物级别为</w:t>
      </w:r>
      <w:r>
        <w:rPr>
          <w:rFonts w:hint="eastAsia"/>
        </w:rPr>
        <w:t>4</w:t>
      </w:r>
      <w:r>
        <w:rPr>
          <w:rFonts w:hint="eastAsia"/>
        </w:rPr>
        <w:t>级。即：大坝为</w:t>
      </w:r>
      <w:r>
        <w:rPr>
          <w:rFonts w:hint="eastAsia"/>
        </w:rPr>
        <w:t>3</w:t>
      </w:r>
      <w:r>
        <w:rPr>
          <w:rFonts w:hint="eastAsia"/>
        </w:rPr>
        <w:t>级建筑物，输水工程为</w:t>
      </w:r>
      <w:r>
        <w:rPr>
          <w:rFonts w:hint="eastAsia"/>
        </w:rPr>
        <w:t>4</w:t>
      </w:r>
      <w:r>
        <w:rPr>
          <w:rFonts w:hint="eastAsia"/>
        </w:rPr>
        <w:t>级建筑物。</w:t>
      </w:r>
    </w:p>
    <w:p w:rsidR="006175A6" w:rsidRDefault="009B4BA7">
      <w:pPr>
        <w:ind w:firstLine="480"/>
      </w:pPr>
      <w:r>
        <w:rPr>
          <w:rFonts w:hint="eastAsia"/>
        </w:rPr>
        <w:t>按照《水利水电工程等级划分及洪水标准》</w:t>
      </w:r>
      <w:r>
        <w:rPr>
          <w:rFonts w:hint="eastAsia"/>
        </w:rPr>
        <w:t>SL252-2000</w:t>
      </w:r>
      <w:r>
        <w:rPr>
          <w:rFonts w:hint="eastAsia"/>
        </w:rPr>
        <w:t>，则防洪标准如下：</w:t>
      </w:r>
    </w:p>
    <w:p w:rsidR="006175A6" w:rsidRDefault="009B4BA7">
      <w:pPr>
        <w:ind w:firstLine="480"/>
      </w:pPr>
      <w:r>
        <w:rPr>
          <w:rFonts w:hint="eastAsia"/>
        </w:rPr>
        <w:t>（</w:t>
      </w:r>
      <w:r>
        <w:rPr>
          <w:rFonts w:hint="eastAsia"/>
        </w:rPr>
        <w:t>1</w:t>
      </w:r>
      <w:r>
        <w:rPr>
          <w:rFonts w:hint="eastAsia"/>
        </w:rPr>
        <w:t>）碾压混凝土拱坝</w:t>
      </w:r>
    </w:p>
    <w:p w:rsidR="006175A6" w:rsidRDefault="009B4BA7">
      <w:pPr>
        <w:ind w:firstLine="480"/>
      </w:pPr>
      <w:r>
        <w:rPr>
          <w:rFonts w:hint="eastAsia"/>
        </w:rPr>
        <w:t>设计洪水：</w:t>
      </w:r>
      <w:r>
        <w:rPr>
          <w:rFonts w:hint="eastAsia"/>
        </w:rPr>
        <w:t>P=2%</w:t>
      </w:r>
      <w:r>
        <w:rPr>
          <w:rFonts w:hint="eastAsia"/>
        </w:rPr>
        <w:t>（</w:t>
      </w:r>
      <w:r>
        <w:rPr>
          <w:rFonts w:hint="eastAsia"/>
        </w:rPr>
        <w:t>50</w:t>
      </w:r>
      <w:r>
        <w:rPr>
          <w:rFonts w:hint="eastAsia"/>
        </w:rPr>
        <w:t>年一遇），对应流量</w:t>
      </w:r>
      <w:r>
        <w:rPr>
          <w:rFonts w:hint="eastAsia"/>
        </w:rPr>
        <w:t>816m</w:t>
      </w:r>
      <w:r>
        <w:rPr>
          <w:rFonts w:hint="eastAsia"/>
        </w:rPr>
        <w:t>³</w:t>
      </w:r>
      <w:r>
        <w:rPr>
          <w:rFonts w:hint="eastAsia"/>
        </w:rPr>
        <w:t>/s</w:t>
      </w:r>
      <w:r>
        <w:rPr>
          <w:rFonts w:hint="eastAsia"/>
        </w:rPr>
        <w:t>，对应水库水位</w:t>
      </w:r>
      <w:r>
        <w:rPr>
          <w:rFonts w:hint="eastAsia"/>
        </w:rPr>
        <w:t>1060.0m</w:t>
      </w:r>
      <w:r>
        <w:rPr>
          <w:rFonts w:hint="eastAsia"/>
        </w:rPr>
        <w:t>；对应下泄流量为</w:t>
      </w:r>
      <w:r>
        <w:rPr>
          <w:rFonts w:hint="eastAsia"/>
        </w:rPr>
        <w:t>816m</w:t>
      </w:r>
      <w:r>
        <w:rPr>
          <w:rFonts w:hint="eastAsia"/>
        </w:rPr>
        <w:t>³</w:t>
      </w:r>
      <w:r>
        <w:rPr>
          <w:rFonts w:hint="eastAsia"/>
        </w:rPr>
        <w:t>/s</w:t>
      </w:r>
      <w:r>
        <w:rPr>
          <w:rFonts w:hint="eastAsia"/>
        </w:rPr>
        <w:t>，对应下游河道水位</w:t>
      </w:r>
      <w:r>
        <w:rPr>
          <w:rFonts w:hint="eastAsia"/>
        </w:rPr>
        <w:t>991.04m</w:t>
      </w:r>
      <w:r>
        <w:rPr>
          <w:rFonts w:hint="eastAsia"/>
        </w:rPr>
        <w:t>。</w:t>
      </w:r>
    </w:p>
    <w:p w:rsidR="006175A6" w:rsidRDefault="009B4BA7">
      <w:pPr>
        <w:ind w:firstLine="480"/>
      </w:pPr>
      <w:r>
        <w:rPr>
          <w:rFonts w:hint="eastAsia"/>
        </w:rPr>
        <w:t>校核洪水：</w:t>
      </w:r>
      <w:r>
        <w:rPr>
          <w:rFonts w:hint="eastAsia"/>
        </w:rPr>
        <w:t>P=0.2%</w:t>
      </w:r>
      <w:r>
        <w:rPr>
          <w:rFonts w:hint="eastAsia"/>
        </w:rPr>
        <w:t>（</w:t>
      </w:r>
      <w:r>
        <w:rPr>
          <w:rFonts w:hint="eastAsia"/>
        </w:rPr>
        <w:t>500</w:t>
      </w:r>
      <w:r>
        <w:rPr>
          <w:rFonts w:hint="eastAsia"/>
        </w:rPr>
        <w:t>年一遇），对应流量</w:t>
      </w:r>
      <w:r>
        <w:rPr>
          <w:rFonts w:hint="eastAsia"/>
        </w:rPr>
        <w:t>1386m</w:t>
      </w:r>
      <w:r>
        <w:rPr>
          <w:rFonts w:hint="eastAsia"/>
        </w:rPr>
        <w:t>³</w:t>
      </w:r>
      <w:r>
        <w:rPr>
          <w:rFonts w:hint="eastAsia"/>
        </w:rPr>
        <w:t>/s</w:t>
      </w:r>
      <w:r>
        <w:rPr>
          <w:rFonts w:hint="eastAsia"/>
        </w:rPr>
        <w:t>，对应水库水位</w:t>
      </w:r>
      <w:r>
        <w:rPr>
          <w:rFonts w:hint="eastAsia"/>
        </w:rPr>
        <w:t>1062.04m</w:t>
      </w:r>
      <w:r>
        <w:rPr>
          <w:rFonts w:hint="eastAsia"/>
        </w:rPr>
        <w:t>；对应下泄流量为</w:t>
      </w:r>
      <w:r>
        <w:rPr>
          <w:rFonts w:hint="eastAsia"/>
        </w:rPr>
        <w:t>1177m</w:t>
      </w:r>
      <w:r>
        <w:rPr>
          <w:rFonts w:hint="eastAsia"/>
        </w:rPr>
        <w:t>³</w:t>
      </w:r>
      <w:r>
        <w:rPr>
          <w:rFonts w:hint="eastAsia"/>
        </w:rPr>
        <w:t>/s</w:t>
      </w:r>
      <w:r>
        <w:rPr>
          <w:rFonts w:hint="eastAsia"/>
        </w:rPr>
        <w:t>，对应下游河道水位</w:t>
      </w:r>
      <w:r>
        <w:rPr>
          <w:rFonts w:hint="eastAsia"/>
        </w:rPr>
        <w:t>992.09m</w:t>
      </w:r>
      <w:r>
        <w:rPr>
          <w:rFonts w:hint="eastAsia"/>
        </w:rPr>
        <w:t>。</w:t>
      </w:r>
    </w:p>
    <w:p w:rsidR="006175A6" w:rsidRDefault="009B4BA7">
      <w:pPr>
        <w:ind w:firstLine="480"/>
      </w:pPr>
      <w:r>
        <w:rPr>
          <w:rFonts w:hint="eastAsia"/>
        </w:rPr>
        <w:t>（</w:t>
      </w:r>
      <w:r>
        <w:rPr>
          <w:rFonts w:hint="eastAsia"/>
        </w:rPr>
        <w:t>2</w:t>
      </w:r>
      <w:r>
        <w:rPr>
          <w:rFonts w:hint="eastAsia"/>
        </w:rPr>
        <w:t>）消能防冲</w:t>
      </w:r>
    </w:p>
    <w:p w:rsidR="006175A6" w:rsidRDefault="009B4BA7">
      <w:pPr>
        <w:ind w:firstLine="480"/>
      </w:pPr>
      <w:r>
        <w:rPr>
          <w:rFonts w:hint="eastAsia"/>
        </w:rPr>
        <w:t>30</w:t>
      </w:r>
      <w:r>
        <w:rPr>
          <w:rFonts w:hint="eastAsia"/>
        </w:rPr>
        <w:t>年一遇，</w:t>
      </w:r>
      <w:r>
        <w:rPr>
          <w:rFonts w:hint="eastAsia"/>
        </w:rPr>
        <w:t>P=3.33%</w:t>
      </w:r>
      <w:r>
        <w:rPr>
          <w:rFonts w:hint="eastAsia"/>
        </w:rPr>
        <w:t>，对应流量</w:t>
      </w:r>
      <w:r>
        <w:rPr>
          <w:rFonts w:hint="eastAsia"/>
        </w:rPr>
        <w:t>689m</w:t>
      </w:r>
      <w:r>
        <w:rPr>
          <w:rFonts w:hint="eastAsia"/>
        </w:rPr>
        <w:t>³</w:t>
      </w:r>
      <w:r>
        <w:rPr>
          <w:rFonts w:hint="eastAsia"/>
        </w:rPr>
        <w:t>/s</w:t>
      </w:r>
      <w:r>
        <w:rPr>
          <w:rFonts w:hint="eastAsia"/>
        </w:rPr>
        <w:t>，对应下游水位</w:t>
      </w:r>
      <w:r>
        <w:rPr>
          <w:rFonts w:hint="eastAsia"/>
        </w:rPr>
        <w:t>990.61m</w:t>
      </w:r>
      <w:r>
        <w:rPr>
          <w:rFonts w:hint="eastAsia"/>
        </w:rPr>
        <w:t>。</w:t>
      </w:r>
    </w:p>
    <w:p w:rsidR="006175A6" w:rsidRDefault="009B4BA7">
      <w:pPr>
        <w:ind w:firstLine="480"/>
      </w:pPr>
      <w:r>
        <w:rPr>
          <w:rFonts w:hint="eastAsia"/>
        </w:rPr>
        <w:t>（</w:t>
      </w:r>
      <w:r>
        <w:rPr>
          <w:rFonts w:hint="eastAsia"/>
        </w:rPr>
        <w:t>3</w:t>
      </w:r>
      <w:r>
        <w:rPr>
          <w:rFonts w:hint="eastAsia"/>
        </w:rPr>
        <w:t>）输水工程</w:t>
      </w:r>
    </w:p>
    <w:p w:rsidR="006175A6" w:rsidRDefault="009B4BA7">
      <w:pPr>
        <w:ind w:firstLine="480"/>
      </w:pPr>
      <w:r>
        <w:rPr>
          <w:rFonts w:hint="eastAsia"/>
        </w:rPr>
        <w:t>根据《水利水电工程等级划分及洪水标准》</w:t>
      </w:r>
      <w:r>
        <w:rPr>
          <w:rFonts w:hint="eastAsia"/>
        </w:rPr>
        <w:t>SL252-2000</w:t>
      </w:r>
      <w:r>
        <w:rPr>
          <w:rFonts w:hint="eastAsia"/>
        </w:rPr>
        <w:t>的规定，输水工程水工建筑物（主要是各支沟连接建筑物）设计洪水为</w:t>
      </w:r>
      <w:r>
        <w:rPr>
          <w:rFonts w:hint="eastAsia"/>
        </w:rPr>
        <w:t>10</w:t>
      </w:r>
      <w:r>
        <w:rPr>
          <w:rFonts w:hint="eastAsia"/>
        </w:rPr>
        <w:t>年一遇，校核洪水为</w:t>
      </w:r>
      <w:r>
        <w:rPr>
          <w:rFonts w:hint="eastAsia"/>
        </w:rPr>
        <w:t>30</w:t>
      </w:r>
      <w:r>
        <w:rPr>
          <w:rFonts w:hint="eastAsia"/>
        </w:rPr>
        <w:t>年一遇；按《村镇供水工程设计规范（</w:t>
      </w:r>
      <w:r>
        <w:rPr>
          <w:rFonts w:hint="eastAsia"/>
        </w:rPr>
        <w:t>SL687-2014</w:t>
      </w:r>
      <w:r>
        <w:rPr>
          <w:rFonts w:hint="eastAsia"/>
        </w:rPr>
        <w:t>）》，设计洪水为</w:t>
      </w:r>
      <w:r>
        <w:rPr>
          <w:rFonts w:hint="eastAsia"/>
        </w:rPr>
        <w:t>20</w:t>
      </w:r>
      <w:r>
        <w:rPr>
          <w:rFonts w:hint="eastAsia"/>
        </w:rPr>
        <w:t>年一遇，校核洪水为</w:t>
      </w:r>
      <w:r>
        <w:rPr>
          <w:rFonts w:hint="eastAsia"/>
        </w:rPr>
        <w:t>50</w:t>
      </w:r>
      <w:r>
        <w:rPr>
          <w:rFonts w:hint="eastAsia"/>
        </w:rPr>
        <w:t>年一遇；按《灌溉与排水渠系建筑物设计规范》（</w:t>
      </w:r>
      <w:r>
        <w:rPr>
          <w:rFonts w:hint="eastAsia"/>
        </w:rPr>
        <w:t>SL482-2011</w:t>
      </w:r>
      <w:r>
        <w:rPr>
          <w:rFonts w:hint="eastAsia"/>
        </w:rPr>
        <w:t>），设计洪水位</w:t>
      </w:r>
      <w:r>
        <w:rPr>
          <w:rFonts w:hint="eastAsia"/>
        </w:rPr>
        <w:t>50</w:t>
      </w:r>
      <w:r>
        <w:rPr>
          <w:rFonts w:hint="eastAsia"/>
        </w:rPr>
        <w:t>年一遇。</w:t>
      </w:r>
    </w:p>
    <w:p w:rsidR="006175A6" w:rsidRDefault="009B4BA7">
      <w:pPr>
        <w:ind w:firstLine="480"/>
      </w:pPr>
      <w:r>
        <w:rPr>
          <w:rFonts w:hint="eastAsia"/>
        </w:rPr>
        <w:t>因此，输水工程的防洪标准取设计洪水为</w:t>
      </w:r>
      <w:r>
        <w:rPr>
          <w:rFonts w:hint="eastAsia"/>
        </w:rPr>
        <w:t>20</w:t>
      </w:r>
      <w:r>
        <w:rPr>
          <w:rFonts w:hint="eastAsia"/>
        </w:rPr>
        <w:t>年一遇，校核洪水为</w:t>
      </w:r>
      <w:r>
        <w:rPr>
          <w:rFonts w:hint="eastAsia"/>
        </w:rPr>
        <w:t>50</w:t>
      </w:r>
      <w:r>
        <w:rPr>
          <w:rFonts w:hint="eastAsia"/>
        </w:rPr>
        <w:t>年一遇。</w:t>
      </w:r>
    </w:p>
    <w:p w:rsidR="006175A6" w:rsidRDefault="009B4BA7">
      <w:pPr>
        <w:pStyle w:val="3"/>
      </w:pPr>
      <w:r>
        <w:rPr>
          <w:rFonts w:hint="eastAsia"/>
        </w:rPr>
        <w:t>坝区枢纽工程</w:t>
      </w:r>
    </w:p>
    <w:p w:rsidR="006175A6" w:rsidRDefault="009B4BA7">
      <w:pPr>
        <w:ind w:firstLine="480"/>
      </w:pPr>
      <w:r>
        <w:rPr>
          <w:rFonts w:hint="eastAsia"/>
        </w:rPr>
        <w:t>（</w:t>
      </w:r>
      <w:r>
        <w:rPr>
          <w:rFonts w:hint="eastAsia"/>
        </w:rPr>
        <w:t>1</w:t>
      </w:r>
      <w:r>
        <w:rPr>
          <w:rFonts w:hint="eastAsia"/>
        </w:rPr>
        <w:t>）大坝布置</w:t>
      </w:r>
    </w:p>
    <w:p w:rsidR="006175A6" w:rsidRDefault="009B4BA7">
      <w:pPr>
        <w:ind w:firstLine="480"/>
      </w:pPr>
      <w:r>
        <w:rPr>
          <w:rFonts w:hint="eastAsia"/>
        </w:rPr>
        <w:t>大坝坝型为抛物线型变厚双曲线形拱坝，拱坝采用抛物线型变厚双曲线形设</w:t>
      </w:r>
      <w:r>
        <w:rPr>
          <w:rFonts w:hint="eastAsia"/>
        </w:rPr>
        <w:lastRenderedPageBreak/>
        <w:t>计。拱坝坝顶沿拱圈中心线全长</w:t>
      </w:r>
      <w:r>
        <w:rPr>
          <w:rFonts w:hint="eastAsia"/>
        </w:rPr>
        <w:t>189.40m</w:t>
      </w:r>
      <w:r>
        <w:rPr>
          <w:rFonts w:hint="eastAsia"/>
        </w:rPr>
        <w:t>。大坝坝顶高程</w:t>
      </w:r>
      <w:r>
        <w:rPr>
          <w:rFonts w:hint="eastAsia"/>
        </w:rPr>
        <w:t>1061.00m</w:t>
      </w:r>
      <w:r>
        <w:rPr>
          <w:rFonts w:hint="eastAsia"/>
        </w:rPr>
        <w:t>，坝基面高程</w:t>
      </w:r>
      <w:r>
        <w:rPr>
          <w:rFonts w:hint="eastAsia"/>
        </w:rPr>
        <w:t>975.0m</w:t>
      </w:r>
      <w:r>
        <w:rPr>
          <w:rFonts w:hint="eastAsia"/>
        </w:rPr>
        <w:t>，最大坝高</w:t>
      </w:r>
      <w:r>
        <w:rPr>
          <w:rFonts w:hint="eastAsia"/>
        </w:rPr>
        <w:t>86.0m</w:t>
      </w:r>
      <w:r>
        <w:rPr>
          <w:rFonts w:hint="eastAsia"/>
        </w:rPr>
        <w:t>。拱坝顶层拱圈左拱端厚</w:t>
      </w:r>
      <w:r>
        <w:rPr>
          <w:rFonts w:hint="eastAsia"/>
        </w:rPr>
        <w:t>6.0m</w:t>
      </w:r>
      <w:r>
        <w:rPr>
          <w:rFonts w:hint="eastAsia"/>
        </w:rPr>
        <w:t>，拱冠处厚</w:t>
      </w:r>
      <w:r>
        <w:rPr>
          <w:rFonts w:hint="eastAsia"/>
        </w:rPr>
        <w:t>6.0m</w:t>
      </w:r>
      <w:r>
        <w:rPr>
          <w:rFonts w:hint="eastAsia"/>
        </w:rPr>
        <w:t>，右拱端厚</w:t>
      </w:r>
      <w:r>
        <w:rPr>
          <w:rFonts w:hint="eastAsia"/>
        </w:rPr>
        <w:t>6.0m</w:t>
      </w:r>
      <w:r>
        <w:rPr>
          <w:rFonts w:hint="eastAsia"/>
        </w:rPr>
        <w:t>；底层拱圈左拱端厚</w:t>
      </w:r>
      <w:r>
        <w:rPr>
          <w:rFonts w:hint="eastAsia"/>
        </w:rPr>
        <w:t>17.0m</w:t>
      </w:r>
      <w:r>
        <w:rPr>
          <w:rFonts w:hint="eastAsia"/>
        </w:rPr>
        <w:t>，拱冠梁断面底宽</w:t>
      </w:r>
      <w:r>
        <w:rPr>
          <w:rFonts w:hint="eastAsia"/>
        </w:rPr>
        <w:t>17.0m</w:t>
      </w:r>
      <w:r>
        <w:rPr>
          <w:rFonts w:hint="eastAsia"/>
        </w:rPr>
        <w:t>，右拱端厚</w:t>
      </w:r>
      <w:r>
        <w:rPr>
          <w:rFonts w:hint="eastAsia"/>
        </w:rPr>
        <w:t>16.5m</w:t>
      </w:r>
      <w:r>
        <w:rPr>
          <w:rFonts w:hint="eastAsia"/>
        </w:rPr>
        <w:t>，拱冠梁最大厚高比为</w:t>
      </w:r>
      <w:r>
        <w:rPr>
          <w:rFonts w:hint="eastAsia"/>
        </w:rPr>
        <w:t>0.198</w:t>
      </w:r>
      <w:r>
        <w:rPr>
          <w:rFonts w:hint="eastAsia"/>
        </w:rPr>
        <w:t>，属于薄拱坝。</w:t>
      </w:r>
    </w:p>
    <w:p w:rsidR="006175A6" w:rsidRDefault="009B4BA7">
      <w:pPr>
        <w:ind w:firstLine="480"/>
      </w:pPr>
      <w:r>
        <w:rPr>
          <w:rFonts w:hint="eastAsia"/>
        </w:rPr>
        <w:t>（</w:t>
      </w:r>
      <w:r>
        <w:rPr>
          <w:rFonts w:hint="eastAsia"/>
        </w:rPr>
        <w:t>2</w:t>
      </w:r>
      <w:r>
        <w:rPr>
          <w:rFonts w:hint="eastAsia"/>
        </w:rPr>
        <w:t>）泄洪建筑物布置</w:t>
      </w:r>
    </w:p>
    <w:p w:rsidR="006175A6" w:rsidRDefault="009B4BA7">
      <w:pPr>
        <w:ind w:firstLine="480"/>
      </w:pPr>
      <w:r>
        <w:rPr>
          <w:rFonts w:hint="eastAsia"/>
        </w:rPr>
        <w:t>泄洪建筑物布置在大坝中间段，坝身溢流，采用有闸表孔泄流方案。堰顶高程</w:t>
      </w:r>
      <w:r>
        <w:rPr>
          <w:rFonts w:hint="eastAsia"/>
        </w:rPr>
        <w:t>1050.5m</w:t>
      </w:r>
      <w:r>
        <w:rPr>
          <w:rFonts w:hint="eastAsia"/>
        </w:rPr>
        <w:t>，共</w:t>
      </w:r>
      <w:r>
        <w:rPr>
          <w:rFonts w:hint="eastAsia"/>
        </w:rPr>
        <w:t>2</w:t>
      </w:r>
      <w:r>
        <w:rPr>
          <w:rFonts w:hint="eastAsia"/>
        </w:rPr>
        <w:t>孔，总净宽</w:t>
      </w:r>
      <w:r>
        <w:rPr>
          <w:rFonts w:hint="eastAsia"/>
        </w:rPr>
        <w:t>20.0m</w:t>
      </w:r>
      <w:r>
        <w:rPr>
          <w:rFonts w:hint="eastAsia"/>
        </w:rPr>
        <w:t>。由两扇弧形闸门控制。泄水建筑物采用挑流消能，挑角</w:t>
      </w:r>
      <w:r>
        <w:rPr>
          <w:rFonts w:hint="eastAsia"/>
        </w:rPr>
        <w:t>25</w:t>
      </w:r>
      <w:r>
        <w:rPr>
          <w:rFonts w:hint="eastAsia"/>
        </w:rPr>
        <w:t>°，鼻坎高程</w:t>
      </w:r>
      <w:r>
        <w:rPr>
          <w:rFonts w:hint="eastAsia"/>
        </w:rPr>
        <w:t>1035.92m</w:t>
      </w:r>
      <w:r>
        <w:rPr>
          <w:rFonts w:hint="eastAsia"/>
        </w:rPr>
        <w:t>。</w:t>
      </w:r>
    </w:p>
    <w:p w:rsidR="006175A6" w:rsidRDefault="009B4BA7">
      <w:pPr>
        <w:ind w:firstLine="480"/>
      </w:pPr>
      <w:r>
        <w:rPr>
          <w:rFonts w:hint="eastAsia"/>
        </w:rPr>
        <w:t>（</w:t>
      </w:r>
      <w:r>
        <w:rPr>
          <w:rFonts w:hint="eastAsia"/>
        </w:rPr>
        <w:t>3</w:t>
      </w:r>
      <w:r>
        <w:rPr>
          <w:rFonts w:hint="eastAsia"/>
        </w:rPr>
        <w:t>）下游护坦</w:t>
      </w:r>
    </w:p>
    <w:p w:rsidR="006175A6" w:rsidRDefault="009B4BA7">
      <w:pPr>
        <w:ind w:firstLine="480"/>
      </w:pPr>
      <w:r>
        <w:rPr>
          <w:rFonts w:hint="eastAsia"/>
        </w:rPr>
        <w:t>坝后近坝</w:t>
      </w:r>
      <w:r>
        <w:rPr>
          <w:rFonts w:hint="eastAsia"/>
        </w:rPr>
        <w:t>30m</w:t>
      </w:r>
      <w:r>
        <w:rPr>
          <w:rFonts w:hint="eastAsia"/>
        </w:rPr>
        <w:t>以内的河床部位设钢筋混凝土护坦，并采用锚筋锚固于河床基岩，护坦顶部高程</w:t>
      </w:r>
      <w:r>
        <w:rPr>
          <w:rFonts w:hint="eastAsia"/>
        </w:rPr>
        <w:t>993.0m</w:t>
      </w:r>
      <w:r>
        <w:rPr>
          <w:rFonts w:hint="eastAsia"/>
        </w:rPr>
        <w:t>。相应两边岸坡作消能防冲处理，两岸</w:t>
      </w:r>
      <w:r>
        <w:rPr>
          <w:rFonts w:hint="eastAsia"/>
        </w:rPr>
        <w:t>993.00m</w:t>
      </w:r>
      <w:r>
        <w:rPr>
          <w:rFonts w:hint="eastAsia"/>
        </w:rPr>
        <w:t>高程以下岸坡均采用</w:t>
      </w:r>
      <w:r>
        <w:rPr>
          <w:rFonts w:hint="eastAsia"/>
        </w:rPr>
        <w:t>C20</w:t>
      </w:r>
      <w:r>
        <w:rPr>
          <w:rFonts w:hint="eastAsia"/>
        </w:rPr>
        <w:t>混凝土护砌，护坦底板衬砌厚度</w:t>
      </w:r>
      <w:r>
        <w:rPr>
          <w:rFonts w:hint="eastAsia"/>
        </w:rPr>
        <w:t>2.0m</w:t>
      </w:r>
      <w:r>
        <w:rPr>
          <w:rFonts w:hint="eastAsia"/>
        </w:rPr>
        <w:t>，两侧墙衬砌厚度</w:t>
      </w:r>
      <w:r>
        <w:rPr>
          <w:rFonts w:hint="eastAsia"/>
        </w:rPr>
        <w:t>1.5m</w:t>
      </w:r>
      <w:r>
        <w:rPr>
          <w:rFonts w:hint="eastAsia"/>
        </w:rPr>
        <w:t>，并用锚筋锚固于岸坡基岩。为减少泄流时水流雾化对山体的侵蚀作用，对下游两岸山体及冲坑位置处河岸进行适当的护砌。</w:t>
      </w:r>
    </w:p>
    <w:p w:rsidR="006175A6" w:rsidRDefault="009B4BA7">
      <w:pPr>
        <w:ind w:firstLine="480"/>
      </w:pPr>
      <w:r>
        <w:rPr>
          <w:rFonts w:hint="eastAsia"/>
        </w:rPr>
        <w:t>（</w:t>
      </w:r>
      <w:r>
        <w:rPr>
          <w:rFonts w:hint="eastAsia"/>
        </w:rPr>
        <w:t>4</w:t>
      </w:r>
      <w:r>
        <w:rPr>
          <w:rFonts w:hint="eastAsia"/>
        </w:rPr>
        <w:t>）二道坝工程</w:t>
      </w:r>
    </w:p>
    <w:p w:rsidR="006175A6" w:rsidRDefault="009B4BA7">
      <w:pPr>
        <w:ind w:firstLine="480"/>
      </w:pPr>
      <w:r>
        <w:rPr>
          <w:rFonts w:hint="eastAsia"/>
        </w:rPr>
        <w:t>在溢流堰挑流鼻坎并在大坝下游</w:t>
      </w:r>
      <w:r>
        <w:rPr>
          <w:rFonts w:hint="eastAsia"/>
        </w:rPr>
        <w:t>80m</w:t>
      </w:r>
      <w:r>
        <w:rPr>
          <w:rFonts w:hint="eastAsia"/>
        </w:rPr>
        <w:t>处设置二道坝，二道坝采用重力坝形式，坝顶高程</w:t>
      </w:r>
      <w:r>
        <w:rPr>
          <w:rFonts w:hint="eastAsia"/>
        </w:rPr>
        <w:t>988.0m</w:t>
      </w:r>
      <w:r>
        <w:rPr>
          <w:rFonts w:hint="eastAsia"/>
        </w:rPr>
        <w:t>，建基面高程</w:t>
      </w:r>
      <w:r>
        <w:rPr>
          <w:rFonts w:hint="eastAsia"/>
        </w:rPr>
        <w:t>978.0m</w:t>
      </w:r>
      <w:r>
        <w:rPr>
          <w:rFonts w:hint="eastAsia"/>
        </w:rPr>
        <w:t>，最大坝高</w:t>
      </w:r>
      <w:r>
        <w:rPr>
          <w:rFonts w:hint="eastAsia"/>
        </w:rPr>
        <w:t>10m</w:t>
      </w:r>
      <w:r>
        <w:rPr>
          <w:rFonts w:hint="eastAsia"/>
        </w:rPr>
        <w:t>，顶宽</w:t>
      </w:r>
      <w:r>
        <w:rPr>
          <w:rFonts w:hint="eastAsia"/>
        </w:rPr>
        <w:t>5.0m</w:t>
      </w:r>
      <w:r>
        <w:rPr>
          <w:rFonts w:hint="eastAsia"/>
        </w:rPr>
        <w:t>，底宽</w:t>
      </w:r>
      <w:r>
        <w:rPr>
          <w:rFonts w:hint="eastAsia"/>
        </w:rPr>
        <w:t>12.5m</w:t>
      </w:r>
      <w:r>
        <w:rPr>
          <w:rFonts w:hint="eastAsia"/>
        </w:rPr>
        <w:t>，坝体采用</w:t>
      </w:r>
      <w:r>
        <w:rPr>
          <w:rFonts w:hint="eastAsia"/>
        </w:rPr>
        <w:t>C20</w:t>
      </w:r>
      <w:r>
        <w:rPr>
          <w:rFonts w:hint="eastAsia"/>
        </w:rPr>
        <w:t>三级配碾压混凝土筑坝材料。</w:t>
      </w:r>
    </w:p>
    <w:p w:rsidR="006175A6" w:rsidRDefault="009B4BA7">
      <w:pPr>
        <w:ind w:firstLine="480"/>
      </w:pPr>
      <w:r>
        <w:rPr>
          <w:rFonts w:hint="eastAsia"/>
        </w:rPr>
        <w:t>（</w:t>
      </w:r>
      <w:r>
        <w:rPr>
          <w:rFonts w:hint="eastAsia"/>
        </w:rPr>
        <w:t>5</w:t>
      </w:r>
      <w:r>
        <w:rPr>
          <w:rFonts w:hint="eastAsia"/>
        </w:rPr>
        <w:t>）放空管及生态流量泄放</w:t>
      </w:r>
    </w:p>
    <w:p w:rsidR="006175A6" w:rsidRDefault="009B4BA7">
      <w:pPr>
        <w:ind w:firstLine="480"/>
      </w:pPr>
      <w:r>
        <w:rPr>
          <w:rFonts w:hint="eastAsia"/>
        </w:rPr>
        <w:t>由于本工程水库为中库，根据规范必须设置放空设施，本工程大坝为碾压混凝土拱坝，根据类似工程经验，方便工程建成后运行管理，水库需要放空，在河床拱冠梁位置设置放空管；输水隧洞底板高程</w:t>
      </w:r>
      <w:r>
        <w:rPr>
          <w:rFonts w:hint="eastAsia"/>
        </w:rPr>
        <w:t>1013.0m</w:t>
      </w:r>
      <w:r>
        <w:rPr>
          <w:rFonts w:hint="eastAsia"/>
        </w:rPr>
        <w:t>，因此，放空管中心高程</w:t>
      </w:r>
      <w:r>
        <w:rPr>
          <w:rFonts w:hint="eastAsia"/>
        </w:rPr>
        <w:t>1000.00</w:t>
      </w:r>
      <w:r>
        <w:rPr>
          <w:rFonts w:hint="eastAsia"/>
        </w:rPr>
        <w:t>，放空管直径</w:t>
      </w:r>
      <w:r>
        <w:rPr>
          <w:rFonts w:hint="eastAsia"/>
        </w:rPr>
        <w:t>1.0m</w:t>
      </w:r>
      <w:r>
        <w:rPr>
          <w:rFonts w:hint="eastAsia"/>
        </w:rPr>
        <w:t>，全长</w:t>
      </w:r>
      <w:r>
        <w:rPr>
          <w:rFonts w:hint="eastAsia"/>
        </w:rPr>
        <w:t>22.0m</w:t>
      </w:r>
      <w:r>
        <w:rPr>
          <w:rFonts w:hint="eastAsia"/>
        </w:rPr>
        <w:t>，进口设置拦污栅罩，出口设置一座闸阀和一座锥阀，并新建闸阀控制室，闸阀和锥阀间距</w:t>
      </w:r>
      <w:r>
        <w:rPr>
          <w:rFonts w:hint="eastAsia"/>
        </w:rPr>
        <w:t>0.8m</w:t>
      </w:r>
      <w:r>
        <w:rPr>
          <w:rFonts w:hint="eastAsia"/>
        </w:rPr>
        <w:t>。放空管采用直径</w:t>
      </w:r>
      <w:r>
        <w:rPr>
          <w:rFonts w:hint="eastAsia"/>
        </w:rPr>
        <w:t>1.0m</w:t>
      </w:r>
      <w:r>
        <w:rPr>
          <w:rFonts w:hint="eastAsia"/>
        </w:rPr>
        <w:t>的钢管，壁厚</w:t>
      </w:r>
      <w:r>
        <w:rPr>
          <w:rFonts w:hint="eastAsia"/>
        </w:rPr>
        <w:t>8mm</w:t>
      </w:r>
      <w:r>
        <w:rPr>
          <w:rFonts w:hint="eastAsia"/>
        </w:rPr>
        <w:t>，外部外包</w:t>
      </w:r>
      <w:r>
        <w:rPr>
          <w:rFonts w:hint="eastAsia"/>
        </w:rPr>
        <w:t>0.5-1.0m</w:t>
      </w:r>
      <w:r>
        <w:rPr>
          <w:rFonts w:hint="eastAsia"/>
        </w:rPr>
        <w:t>厚</w:t>
      </w:r>
      <w:r>
        <w:rPr>
          <w:rFonts w:hint="eastAsia"/>
        </w:rPr>
        <w:t>C25</w:t>
      </w:r>
      <w:r>
        <w:rPr>
          <w:rFonts w:hint="eastAsia"/>
        </w:rPr>
        <w:t>钢筋混凝土，顶部及侧面厚</w:t>
      </w:r>
      <w:r>
        <w:rPr>
          <w:rFonts w:hint="eastAsia"/>
        </w:rPr>
        <w:t>0.5m</w:t>
      </w:r>
      <w:r>
        <w:rPr>
          <w:rFonts w:hint="eastAsia"/>
        </w:rPr>
        <w:t>，底部厚</w:t>
      </w:r>
      <w:r>
        <w:rPr>
          <w:rFonts w:hint="eastAsia"/>
        </w:rPr>
        <w:t>1.0m</w:t>
      </w:r>
      <w:r>
        <w:rPr>
          <w:rFonts w:hint="eastAsia"/>
        </w:rPr>
        <w:t>，出口控制室设置牛腿，坡比</w:t>
      </w:r>
      <w:r>
        <w:rPr>
          <w:rFonts w:hint="eastAsia"/>
        </w:rPr>
        <w:t>1</w:t>
      </w:r>
      <w:r>
        <w:rPr>
          <w:rFonts w:hint="eastAsia"/>
        </w:rPr>
        <w:t>：</w:t>
      </w:r>
      <w:r>
        <w:rPr>
          <w:rFonts w:hint="eastAsia"/>
        </w:rPr>
        <w:t>1</w:t>
      </w:r>
      <w:r>
        <w:rPr>
          <w:rFonts w:hint="eastAsia"/>
        </w:rPr>
        <w:t>，出口向河床方向弯曲，角度</w:t>
      </w:r>
      <w:r>
        <w:rPr>
          <w:rFonts w:hint="eastAsia"/>
        </w:rPr>
        <w:t>135</w:t>
      </w:r>
      <w:r>
        <w:rPr>
          <w:rFonts w:hint="eastAsia"/>
        </w:rPr>
        <w:t>度。下游坝面从</w:t>
      </w:r>
      <w:r>
        <w:rPr>
          <w:rFonts w:hint="eastAsia"/>
        </w:rPr>
        <w:t>991.50m</w:t>
      </w:r>
      <w:r>
        <w:rPr>
          <w:rFonts w:hint="eastAsia"/>
        </w:rPr>
        <w:t>高程外部栏杆设置坝后爬梯进入闸阀控制室，爬梯角度</w:t>
      </w:r>
      <w:r>
        <w:rPr>
          <w:rFonts w:hint="eastAsia"/>
        </w:rPr>
        <w:t>45</w:t>
      </w:r>
      <w:r>
        <w:rPr>
          <w:rFonts w:hint="eastAsia"/>
        </w:rPr>
        <w:t>度。</w:t>
      </w:r>
    </w:p>
    <w:p w:rsidR="006175A6" w:rsidRDefault="009B4BA7">
      <w:pPr>
        <w:ind w:firstLine="480"/>
      </w:pPr>
      <w:r>
        <w:rPr>
          <w:rFonts w:hint="eastAsia"/>
        </w:rPr>
        <w:t>根据工程可行性研究报告水文计算，项目多年平均流量为</w:t>
      </w:r>
      <w:r>
        <w:rPr>
          <w:rFonts w:hint="eastAsia"/>
        </w:rPr>
        <w:t>1.56m</w:t>
      </w:r>
      <w:r>
        <w:rPr>
          <w:rFonts w:hint="eastAsia"/>
          <w:vertAlign w:val="superscript"/>
        </w:rPr>
        <w:t>3</w:t>
      </w:r>
      <w:r>
        <w:rPr>
          <w:rFonts w:hint="eastAsia"/>
        </w:rPr>
        <w:t>/s</w:t>
      </w:r>
      <w:r>
        <w:rPr>
          <w:rFonts w:hint="eastAsia"/>
        </w:rPr>
        <w:t>，下泄生</w:t>
      </w:r>
      <w:r>
        <w:rPr>
          <w:rFonts w:hint="eastAsia"/>
        </w:rPr>
        <w:lastRenderedPageBreak/>
        <w:t>态流量为多年平均流量的</w:t>
      </w:r>
      <w:r>
        <w:rPr>
          <w:rFonts w:hint="eastAsia"/>
        </w:rPr>
        <w:t>20%</w:t>
      </w:r>
      <w:r>
        <w:rPr>
          <w:rFonts w:hint="eastAsia"/>
        </w:rPr>
        <w:t>，即为</w:t>
      </w:r>
      <w:r>
        <w:rPr>
          <w:rFonts w:hint="eastAsia"/>
        </w:rPr>
        <w:t>0.312m</w:t>
      </w:r>
      <w:r>
        <w:rPr>
          <w:rFonts w:hint="eastAsia"/>
          <w:vertAlign w:val="superscript"/>
        </w:rPr>
        <w:t>3</w:t>
      </w:r>
      <w:r>
        <w:rPr>
          <w:rFonts w:hint="eastAsia"/>
        </w:rPr>
        <w:t>/s</w:t>
      </w:r>
      <w:r>
        <w:rPr>
          <w:rFonts w:hint="eastAsia"/>
        </w:rPr>
        <w:t>，生态流量的泄放与水库放空管为同一高程，采用放空管兼生态流量管，利用闸阀和锥阀开度控制流量，保障</w:t>
      </w:r>
      <w:r>
        <w:rPr>
          <w:rFonts w:hint="eastAsia"/>
        </w:rPr>
        <w:t>0.312m</w:t>
      </w:r>
      <w:r>
        <w:rPr>
          <w:rFonts w:hint="eastAsia"/>
          <w:vertAlign w:val="superscript"/>
        </w:rPr>
        <w:t>3</w:t>
      </w:r>
      <w:r>
        <w:rPr>
          <w:rFonts w:hint="eastAsia"/>
        </w:rPr>
        <w:t>/s</w:t>
      </w:r>
      <w:r>
        <w:rPr>
          <w:rFonts w:hint="eastAsia"/>
        </w:rPr>
        <w:t>的生态流量下泄。同时，在管道出口设置流量计，以实时监测生态流量的泄放情况。</w:t>
      </w:r>
    </w:p>
    <w:p w:rsidR="006175A6" w:rsidRDefault="009B4BA7">
      <w:pPr>
        <w:ind w:firstLine="480"/>
      </w:pPr>
      <w:r>
        <w:rPr>
          <w:rFonts w:hint="eastAsia"/>
        </w:rPr>
        <w:t>（</w:t>
      </w:r>
      <w:r>
        <w:rPr>
          <w:rFonts w:hint="eastAsia"/>
        </w:rPr>
        <w:t>6</w:t>
      </w:r>
      <w:r>
        <w:rPr>
          <w:rFonts w:hint="eastAsia"/>
        </w:rPr>
        <w:t>）输水工程进水口</w:t>
      </w:r>
    </w:p>
    <w:p w:rsidR="006175A6" w:rsidRDefault="009B4BA7">
      <w:pPr>
        <w:ind w:firstLine="480"/>
      </w:pPr>
      <w:r>
        <w:rPr>
          <w:rFonts w:hint="eastAsia"/>
        </w:rPr>
        <w:t>输水工程进水口位于大坝有岸上游</w:t>
      </w:r>
      <w:r>
        <w:rPr>
          <w:rFonts w:hint="eastAsia"/>
        </w:rPr>
        <w:t>35m</w:t>
      </w:r>
      <w:r>
        <w:rPr>
          <w:rFonts w:hint="eastAsia"/>
        </w:rPr>
        <w:t>处，采用岸坡塔式进水口，进水口底板高程</w:t>
      </w:r>
      <w:r>
        <w:rPr>
          <w:rFonts w:hint="eastAsia"/>
        </w:rPr>
        <w:t>1011.4m</w:t>
      </w:r>
      <w:r>
        <w:rPr>
          <w:rFonts w:hint="eastAsia"/>
        </w:rPr>
        <w:t>，死水位</w:t>
      </w:r>
      <w:r>
        <w:rPr>
          <w:rFonts w:hint="eastAsia"/>
        </w:rPr>
        <w:t>1013.0m</w:t>
      </w:r>
      <w:r>
        <w:rPr>
          <w:rFonts w:hint="eastAsia"/>
        </w:rPr>
        <w:t>。启闭机室启闭机室高程为</w:t>
      </w:r>
      <w:r>
        <w:rPr>
          <w:rFonts w:hint="eastAsia"/>
        </w:rPr>
        <w:t>1061.0m</w:t>
      </w:r>
      <w:r>
        <w:rPr>
          <w:rFonts w:hint="eastAsia"/>
        </w:rPr>
        <w:t>，进水口方向，与河道轴线成</w:t>
      </w:r>
      <w:r>
        <w:rPr>
          <w:rFonts w:hint="eastAsia"/>
        </w:rPr>
        <w:t>58</w:t>
      </w:r>
      <w:r>
        <w:rPr>
          <w:rFonts w:hint="eastAsia"/>
        </w:rPr>
        <w:t>°夹角。进水口采用两层取水方式，第一层高程为</w:t>
      </w:r>
      <w:r>
        <w:rPr>
          <w:rFonts w:hint="eastAsia"/>
        </w:rPr>
        <w:t>1011.40</w:t>
      </w:r>
      <w:r>
        <w:rPr>
          <w:rFonts w:hint="eastAsia"/>
        </w:rPr>
        <w:t>，第二层高程为</w:t>
      </w:r>
      <w:r>
        <w:rPr>
          <w:rFonts w:hint="eastAsia"/>
        </w:rPr>
        <w:t>1021.40m</w:t>
      </w:r>
      <w:r>
        <w:rPr>
          <w:rFonts w:hint="eastAsia"/>
        </w:rPr>
        <w:t>。闸门均为球阀，球阀设旁通管，汇入隧洞前，设置流量调节阀，通过流量调节阀调节流量，流量调节阀后采修建消力池，消力池长度</w:t>
      </w:r>
      <w:r>
        <w:rPr>
          <w:rFonts w:hint="eastAsia"/>
        </w:rPr>
        <w:t>15m</w:t>
      </w:r>
      <w:r>
        <w:rPr>
          <w:rFonts w:hint="eastAsia"/>
        </w:rPr>
        <w:t>。</w:t>
      </w:r>
    </w:p>
    <w:p w:rsidR="006175A6" w:rsidRDefault="009B4BA7">
      <w:pPr>
        <w:ind w:firstLine="480"/>
      </w:pPr>
      <w:r>
        <w:rPr>
          <w:rFonts w:hint="eastAsia"/>
        </w:rPr>
        <w:t>（</w:t>
      </w:r>
      <w:r>
        <w:rPr>
          <w:rFonts w:hint="eastAsia"/>
        </w:rPr>
        <w:t>7</w:t>
      </w:r>
      <w:r>
        <w:rPr>
          <w:rFonts w:hint="eastAsia"/>
        </w:rPr>
        <w:t>）上坝永久交通工程</w:t>
      </w:r>
    </w:p>
    <w:p w:rsidR="006175A6" w:rsidRDefault="009B4BA7">
      <w:pPr>
        <w:ind w:firstLine="480"/>
      </w:pPr>
      <w:r>
        <w:rPr>
          <w:rFonts w:hint="eastAsia"/>
        </w:rPr>
        <w:t>①上坝公路</w:t>
      </w:r>
    </w:p>
    <w:p w:rsidR="006175A6" w:rsidRDefault="009B4BA7">
      <w:pPr>
        <w:ind w:firstLine="480"/>
      </w:pPr>
      <w:r>
        <w:rPr>
          <w:rFonts w:hint="eastAsia"/>
        </w:rPr>
        <w:t>大坝上坝公路布置在左岸，左岸设置一条上坝公路，结合移民还建公路、兼顾管理用房交通统一布局。左岸上坝公路起点位于大坝下游</w:t>
      </w:r>
      <w:r>
        <w:rPr>
          <w:rFonts w:hint="eastAsia"/>
        </w:rPr>
        <w:t>1km</w:t>
      </w:r>
      <w:r>
        <w:rPr>
          <w:rFonts w:hint="eastAsia"/>
        </w:rPr>
        <w:t>处，接兴山县兴发集团</w:t>
      </w:r>
      <w:r>
        <w:rPr>
          <w:rFonts w:hint="eastAsia"/>
        </w:rPr>
        <w:t>980</w:t>
      </w:r>
      <w:r>
        <w:rPr>
          <w:rFonts w:hint="eastAsia"/>
        </w:rPr>
        <w:t>平洞矿场，高程</w:t>
      </w:r>
      <w:r>
        <w:rPr>
          <w:rFonts w:hint="eastAsia"/>
        </w:rPr>
        <w:t>980.0m</w:t>
      </w:r>
      <w:r>
        <w:rPr>
          <w:rFonts w:hint="eastAsia"/>
        </w:rPr>
        <w:t>。公路路面宽度为</w:t>
      </w:r>
      <w:r>
        <w:rPr>
          <w:rFonts w:hint="eastAsia"/>
        </w:rPr>
        <w:t>6.0m</w:t>
      </w:r>
      <w:r>
        <w:rPr>
          <w:rFonts w:hint="eastAsia"/>
        </w:rPr>
        <w:t>，公路隧道断面均为：宽×高×矢高</w:t>
      </w:r>
      <w:r>
        <w:rPr>
          <w:rFonts w:hint="eastAsia"/>
        </w:rPr>
        <w:t>=6.0</w:t>
      </w:r>
      <w:r>
        <w:rPr>
          <w:rFonts w:hint="eastAsia"/>
        </w:rPr>
        <w:t>×</w:t>
      </w:r>
      <w:r>
        <w:rPr>
          <w:rFonts w:hint="eastAsia"/>
        </w:rPr>
        <w:t>4.0</w:t>
      </w:r>
      <w:r>
        <w:rPr>
          <w:rFonts w:hint="eastAsia"/>
        </w:rPr>
        <w:t>×</w:t>
      </w:r>
      <w:r>
        <w:rPr>
          <w:rFonts w:hint="eastAsia"/>
        </w:rPr>
        <w:t>1.73m</w:t>
      </w:r>
      <w:r>
        <w:rPr>
          <w:rFonts w:hint="eastAsia"/>
        </w:rPr>
        <w:t>。具体布置如下：</w:t>
      </w:r>
    </w:p>
    <w:p w:rsidR="006175A6" w:rsidRDefault="009B4BA7">
      <w:pPr>
        <w:ind w:firstLine="480"/>
      </w:pPr>
      <w:r>
        <w:rPr>
          <w:rFonts w:hint="eastAsia"/>
        </w:rPr>
        <w:t>左岸上坝公路在大坝下游</w:t>
      </w:r>
      <w:r>
        <w:rPr>
          <w:rFonts w:hint="eastAsia"/>
        </w:rPr>
        <w:t>1km</w:t>
      </w:r>
      <w:r>
        <w:rPr>
          <w:rFonts w:hint="eastAsia"/>
        </w:rPr>
        <w:t>处，从</w:t>
      </w:r>
      <w:r>
        <w:rPr>
          <w:rFonts w:hint="eastAsia"/>
        </w:rPr>
        <w:t>980.0</w:t>
      </w:r>
      <w:r>
        <w:rPr>
          <w:rFonts w:hint="eastAsia"/>
        </w:rPr>
        <w:t>高程开始。在高程</w:t>
      </w:r>
      <w:r>
        <w:rPr>
          <w:rFonts w:hint="eastAsia"/>
        </w:rPr>
        <w:t>985.0m</w:t>
      </w:r>
      <w:r>
        <w:rPr>
          <w:rFonts w:hint="eastAsia"/>
        </w:rPr>
        <w:t>处分为支，上支为左岸上坝公路，至</w:t>
      </w:r>
      <w:r>
        <w:rPr>
          <w:rFonts w:hint="eastAsia"/>
        </w:rPr>
        <w:t>995.0m</w:t>
      </w:r>
      <w:r>
        <w:rPr>
          <w:rFonts w:hint="eastAsia"/>
        </w:rPr>
        <w:t>高程的水库管理处位置。公路经过水库管理处后，又分上下两支，上支顺左岸上升至</w:t>
      </w:r>
      <w:r>
        <w:rPr>
          <w:rFonts w:hint="eastAsia"/>
        </w:rPr>
        <w:t>1005m</w:t>
      </w:r>
      <w:r>
        <w:rPr>
          <w:rFonts w:hint="eastAsia"/>
        </w:rPr>
        <w:t>左岸进入公路隧道，到达左岸坝肩；通过左岸坝肩以后的移民公路隧道变为宽×高×矢高</w:t>
      </w:r>
      <w:r>
        <w:rPr>
          <w:rFonts w:hint="eastAsia"/>
        </w:rPr>
        <w:t>=4.0</w:t>
      </w:r>
      <w:r>
        <w:rPr>
          <w:rFonts w:hint="eastAsia"/>
        </w:rPr>
        <w:t>×</w:t>
      </w:r>
      <w:r>
        <w:rPr>
          <w:rFonts w:hint="eastAsia"/>
        </w:rPr>
        <w:t>4.0</w:t>
      </w:r>
      <w:r>
        <w:rPr>
          <w:rFonts w:hint="eastAsia"/>
        </w:rPr>
        <w:t>×</w:t>
      </w:r>
      <w:r>
        <w:rPr>
          <w:rFonts w:hint="eastAsia"/>
        </w:rPr>
        <w:t>1.3m</w:t>
      </w:r>
      <w:r>
        <w:rPr>
          <w:rFonts w:hint="eastAsia"/>
        </w:rPr>
        <w:t>，至库区内，在高程</w:t>
      </w:r>
      <w:r>
        <w:rPr>
          <w:rFonts w:hint="eastAsia"/>
        </w:rPr>
        <w:t>1061.0m</w:t>
      </w:r>
      <w:r>
        <w:rPr>
          <w:rFonts w:hint="eastAsia"/>
        </w:rPr>
        <w:t>处出隧道，兴建明挖公路。</w:t>
      </w:r>
    </w:p>
    <w:p w:rsidR="006175A6" w:rsidRDefault="009B4BA7">
      <w:pPr>
        <w:ind w:firstLine="480"/>
      </w:pPr>
      <w:r>
        <w:rPr>
          <w:rFonts w:hint="eastAsia"/>
        </w:rPr>
        <w:t>同时，左岸上坝公路通过管理用房后，分为上下两支，上支为左岸上坝公路和移民还建公路，下支下行至</w:t>
      </w:r>
      <w:r>
        <w:rPr>
          <w:rFonts w:hint="eastAsia"/>
        </w:rPr>
        <w:t>985.0m</w:t>
      </w:r>
      <w:r>
        <w:rPr>
          <w:rFonts w:hint="eastAsia"/>
        </w:rPr>
        <w:t>高程，与沿河的</w:t>
      </w:r>
      <w:r>
        <w:rPr>
          <w:rFonts w:hint="eastAsia"/>
        </w:rPr>
        <w:t>985.0m</w:t>
      </w:r>
      <w:r>
        <w:rPr>
          <w:rFonts w:hint="eastAsia"/>
        </w:rPr>
        <w:t>老公路相衔接，以方便大坝下游管理。</w:t>
      </w:r>
    </w:p>
    <w:p w:rsidR="006175A6" w:rsidRDefault="009B4BA7">
      <w:pPr>
        <w:ind w:firstLine="480"/>
      </w:pPr>
      <w:r>
        <w:rPr>
          <w:rFonts w:hint="eastAsia"/>
        </w:rPr>
        <w:t>因此，左岸上坝公路总长为：</w:t>
      </w:r>
      <w:r>
        <w:rPr>
          <w:rFonts w:hint="eastAsia"/>
        </w:rPr>
        <w:t>970m</w:t>
      </w:r>
      <w:r>
        <w:rPr>
          <w:rFonts w:hint="eastAsia"/>
        </w:rPr>
        <w:t>，其中，露天公路</w:t>
      </w:r>
      <w:r>
        <w:rPr>
          <w:rFonts w:hint="eastAsia"/>
        </w:rPr>
        <w:t>420m</w:t>
      </w:r>
      <w:r>
        <w:rPr>
          <w:rFonts w:hint="eastAsia"/>
        </w:rPr>
        <w:t>，公路隧道</w:t>
      </w:r>
      <w:r>
        <w:rPr>
          <w:rFonts w:hint="eastAsia"/>
        </w:rPr>
        <w:t>450m</w:t>
      </w:r>
      <w:r>
        <w:rPr>
          <w:rFonts w:hint="eastAsia"/>
        </w:rPr>
        <w:t>，综合坡降为</w:t>
      </w:r>
      <w:r>
        <w:rPr>
          <w:rFonts w:hint="eastAsia"/>
        </w:rPr>
        <w:t>8.3%</w:t>
      </w:r>
      <w:r>
        <w:rPr>
          <w:rFonts w:hint="eastAsia"/>
        </w:rPr>
        <w:t>。左岸坝肩移民还建公路距坝顶最近距离为</w:t>
      </w:r>
      <w:r>
        <w:rPr>
          <w:rFonts w:hint="eastAsia"/>
        </w:rPr>
        <w:t>140m</w:t>
      </w:r>
      <w:r>
        <w:rPr>
          <w:rFonts w:hint="eastAsia"/>
        </w:rPr>
        <w:t>，高程为</w:t>
      </w:r>
      <w:r>
        <w:rPr>
          <w:rFonts w:hint="eastAsia"/>
        </w:rPr>
        <w:t>1056.0m</w:t>
      </w:r>
      <w:r>
        <w:rPr>
          <w:rFonts w:hint="eastAsia"/>
        </w:rPr>
        <w:t>，不会对坝肩稳定造成影响。</w:t>
      </w:r>
    </w:p>
    <w:p w:rsidR="006175A6" w:rsidRDefault="009B4BA7">
      <w:pPr>
        <w:ind w:firstLine="480"/>
      </w:pPr>
      <w:r>
        <w:rPr>
          <w:rFonts w:hint="eastAsia"/>
        </w:rPr>
        <w:t>②交通桥，在大坝设置一座交通桥跨溢流堰，桥总长</w:t>
      </w:r>
      <w:r>
        <w:rPr>
          <w:rFonts w:hint="eastAsia"/>
        </w:rPr>
        <w:t>20m</w:t>
      </w:r>
      <w:r>
        <w:rPr>
          <w:rFonts w:hint="eastAsia"/>
        </w:rPr>
        <w:t>，宽度</w:t>
      </w:r>
      <w:r>
        <w:rPr>
          <w:rFonts w:hint="eastAsia"/>
        </w:rPr>
        <w:t>6.0m</w:t>
      </w:r>
      <w:r>
        <w:rPr>
          <w:rFonts w:hint="eastAsia"/>
        </w:rPr>
        <w:t>。</w:t>
      </w:r>
    </w:p>
    <w:p w:rsidR="006175A6" w:rsidRDefault="009B4BA7">
      <w:pPr>
        <w:ind w:firstLine="480"/>
      </w:pPr>
      <w:r>
        <w:rPr>
          <w:rFonts w:hint="eastAsia"/>
        </w:rPr>
        <w:lastRenderedPageBreak/>
        <w:t>（</w:t>
      </w:r>
      <w:r>
        <w:rPr>
          <w:rFonts w:hint="eastAsia"/>
        </w:rPr>
        <w:t>8</w:t>
      </w:r>
      <w:r>
        <w:rPr>
          <w:rFonts w:hint="eastAsia"/>
        </w:rPr>
        <w:t>）管理用房</w:t>
      </w:r>
    </w:p>
    <w:p w:rsidR="006175A6" w:rsidRDefault="009B4BA7">
      <w:pPr>
        <w:ind w:firstLine="480"/>
      </w:pPr>
      <w:r>
        <w:rPr>
          <w:rFonts w:hint="eastAsia"/>
        </w:rPr>
        <w:t>管理用房布置在坝下游约</w:t>
      </w:r>
      <w:r>
        <w:rPr>
          <w:rFonts w:hint="eastAsia"/>
        </w:rPr>
        <w:t>800m</w:t>
      </w:r>
      <w:r>
        <w:rPr>
          <w:rFonts w:hint="eastAsia"/>
        </w:rPr>
        <w:t>处，此处地形坡度较缓，</w:t>
      </w:r>
      <w:r>
        <w:rPr>
          <w:rFonts w:hint="eastAsia"/>
        </w:rPr>
        <w:t>975.0m~995.0m</w:t>
      </w:r>
      <w:r>
        <w:rPr>
          <w:rFonts w:hint="eastAsia"/>
        </w:rPr>
        <w:t>分台阶式堆置弃渣，管理用房修建于</w:t>
      </w:r>
      <w:r>
        <w:rPr>
          <w:rFonts w:hint="eastAsia"/>
        </w:rPr>
        <w:t>995.0m</w:t>
      </w:r>
      <w:r>
        <w:rPr>
          <w:rFonts w:hint="eastAsia"/>
        </w:rPr>
        <w:t>高程的基岩之上，占地总面积</w:t>
      </w:r>
      <w:r>
        <w:rPr>
          <w:rFonts w:hint="eastAsia"/>
        </w:rPr>
        <w:t>1500</w:t>
      </w:r>
      <w:r>
        <w:rPr>
          <w:rFonts w:hint="eastAsia"/>
        </w:rPr>
        <w:t>㎡。左岸上坝公路从门前经过。</w:t>
      </w:r>
    </w:p>
    <w:p w:rsidR="006175A6" w:rsidRDefault="009B4BA7">
      <w:pPr>
        <w:ind w:firstLine="480"/>
      </w:pPr>
      <w:r>
        <w:rPr>
          <w:rFonts w:hint="eastAsia"/>
        </w:rPr>
        <w:t>（</w:t>
      </w:r>
      <w:r>
        <w:rPr>
          <w:rFonts w:hint="eastAsia"/>
        </w:rPr>
        <w:t>9</w:t>
      </w:r>
      <w:r>
        <w:rPr>
          <w:rFonts w:hint="eastAsia"/>
        </w:rPr>
        <w:t>）弃渣场</w:t>
      </w:r>
    </w:p>
    <w:p w:rsidR="006175A6" w:rsidRDefault="009B4BA7">
      <w:pPr>
        <w:ind w:firstLine="480"/>
      </w:pPr>
      <w:r>
        <w:rPr>
          <w:rFonts w:hint="eastAsia"/>
        </w:rPr>
        <w:t>从大坝至右岸公路桥总长</w:t>
      </w:r>
      <w:r>
        <w:rPr>
          <w:rFonts w:hint="eastAsia"/>
        </w:rPr>
        <w:t>590m</w:t>
      </w:r>
      <w:r>
        <w:rPr>
          <w:rFonts w:hint="eastAsia"/>
        </w:rPr>
        <w:t>，该段左岸原为村村通公路，路面宽度</w:t>
      </w:r>
      <w:r>
        <w:rPr>
          <w:rFonts w:hint="eastAsia"/>
        </w:rPr>
        <w:t>8.0m</w:t>
      </w:r>
      <w:r>
        <w:rPr>
          <w:rFonts w:hint="eastAsia"/>
        </w:rPr>
        <w:t>，可用于作为弃渣场，结合临时上坝公路作为弃渣场，弃渣总方量约</w:t>
      </w:r>
      <w:r>
        <w:rPr>
          <w:rFonts w:hint="eastAsia"/>
        </w:rPr>
        <w:t>3</w:t>
      </w:r>
      <w:r>
        <w:rPr>
          <w:rFonts w:hint="eastAsia"/>
        </w:rPr>
        <w:t>万</w:t>
      </w:r>
      <w:r>
        <w:rPr>
          <w:rFonts w:hint="eastAsia"/>
        </w:rPr>
        <w:t>m</w:t>
      </w:r>
      <w:r>
        <w:rPr>
          <w:rFonts w:hint="eastAsia"/>
        </w:rPr>
        <w:t>³。另一个弃渣场位于坝下游月</w:t>
      </w:r>
      <w:r>
        <w:rPr>
          <w:rFonts w:hint="eastAsia"/>
        </w:rPr>
        <w:t>800</w:t>
      </w:r>
      <w:r>
        <w:rPr>
          <w:rFonts w:hint="eastAsia"/>
        </w:rPr>
        <w:t>处的缓坡地带。弃渣完成后，再其上修建上坝公路。</w:t>
      </w:r>
    </w:p>
    <w:p w:rsidR="006175A6" w:rsidRDefault="009B4BA7">
      <w:pPr>
        <w:ind w:firstLine="480"/>
      </w:pPr>
      <w:r>
        <w:rPr>
          <w:rFonts w:hint="eastAsia"/>
        </w:rPr>
        <w:t>（</w:t>
      </w:r>
      <w:r>
        <w:rPr>
          <w:rFonts w:hint="eastAsia"/>
        </w:rPr>
        <w:t>10</w:t>
      </w:r>
      <w:r>
        <w:rPr>
          <w:rFonts w:hint="eastAsia"/>
        </w:rPr>
        <w:t>）临时工程：</w:t>
      </w:r>
    </w:p>
    <w:p w:rsidR="006175A6" w:rsidRDefault="009B4BA7">
      <w:pPr>
        <w:ind w:firstLine="480"/>
      </w:pPr>
      <w:r>
        <w:rPr>
          <w:rFonts w:hint="eastAsia"/>
        </w:rPr>
        <w:t>上游围堰布置于大坝上游</w:t>
      </w:r>
      <w:r>
        <w:rPr>
          <w:rFonts w:hint="eastAsia"/>
        </w:rPr>
        <w:t>50m</w:t>
      </w:r>
      <w:r>
        <w:rPr>
          <w:rFonts w:hint="eastAsia"/>
        </w:rPr>
        <w:t>处，土石围堰。</w:t>
      </w:r>
    </w:p>
    <w:p w:rsidR="006175A6" w:rsidRDefault="009B4BA7">
      <w:pPr>
        <w:ind w:firstLine="480"/>
      </w:pPr>
      <w:r>
        <w:rPr>
          <w:rFonts w:hint="eastAsia"/>
        </w:rPr>
        <w:t>导流洞布置于河道右岸，进口位于大坝上游</w:t>
      </w:r>
      <w:r>
        <w:rPr>
          <w:rFonts w:hint="eastAsia"/>
        </w:rPr>
        <w:t>75m</w:t>
      </w:r>
      <w:r>
        <w:rPr>
          <w:rFonts w:hint="eastAsia"/>
        </w:rPr>
        <w:t>处，出口高程位于大坝下游</w:t>
      </w:r>
      <w:r>
        <w:rPr>
          <w:rFonts w:hint="eastAsia"/>
        </w:rPr>
        <w:t>130m</w:t>
      </w:r>
      <w:r>
        <w:rPr>
          <w:rFonts w:hint="eastAsia"/>
        </w:rPr>
        <w:t>。导流洞断面宽×高升矢高</w:t>
      </w:r>
      <w:r>
        <w:rPr>
          <w:rFonts w:hint="eastAsia"/>
        </w:rPr>
        <w:t>=2.8</w:t>
      </w:r>
      <w:r>
        <w:rPr>
          <w:rFonts w:hint="eastAsia"/>
        </w:rPr>
        <w:t>×</w:t>
      </w:r>
      <w:r>
        <w:rPr>
          <w:rFonts w:hint="eastAsia"/>
        </w:rPr>
        <w:t>2.45</w:t>
      </w:r>
      <w:r>
        <w:rPr>
          <w:rFonts w:hint="eastAsia"/>
        </w:rPr>
        <w:t>×</w:t>
      </w:r>
      <w:r>
        <w:rPr>
          <w:rFonts w:hint="eastAsia"/>
        </w:rPr>
        <w:t>0.83m</w:t>
      </w:r>
      <w:r>
        <w:rPr>
          <w:rFonts w:hint="eastAsia"/>
        </w:rPr>
        <w:t>。导流洞进口设置控制闸门。下游围堰位于大坝下游</w:t>
      </w:r>
      <w:r>
        <w:rPr>
          <w:rFonts w:hint="eastAsia"/>
        </w:rPr>
        <w:t>110m</w:t>
      </w:r>
      <w:r>
        <w:rPr>
          <w:rFonts w:hint="eastAsia"/>
        </w:rPr>
        <w:t>处（二道坝处）。</w:t>
      </w:r>
    </w:p>
    <w:p w:rsidR="006175A6" w:rsidRDefault="009B4BA7">
      <w:pPr>
        <w:ind w:firstLine="480"/>
      </w:pPr>
      <w:r>
        <w:rPr>
          <w:rFonts w:hint="eastAsia"/>
        </w:rPr>
        <w:t>砂石骨料加工、筛分及拌合楼位于大坝下游</w:t>
      </w:r>
      <w:r>
        <w:rPr>
          <w:rFonts w:hint="eastAsia"/>
        </w:rPr>
        <w:t>400</w:t>
      </w:r>
      <w:r>
        <w:rPr>
          <w:rFonts w:hint="eastAsia"/>
        </w:rPr>
        <w:t>的右岸。</w:t>
      </w:r>
    </w:p>
    <w:p w:rsidR="006175A6" w:rsidRDefault="009B4BA7">
      <w:pPr>
        <w:ind w:firstLine="480"/>
      </w:pPr>
      <w:r>
        <w:rPr>
          <w:rFonts w:hint="eastAsia"/>
        </w:rPr>
        <w:t>施工管理用房位于大坝下游</w:t>
      </w:r>
      <w:r>
        <w:rPr>
          <w:rFonts w:hint="eastAsia"/>
        </w:rPr>
        <w:t>400m</w:t>
      </w:r>
      <w:r>
        <w:rPr>
          <w:rFonts w:hint="eastAsia"/>
        </w:rPr>
        <w:t>的左岸。</w:t>
      </w:r>
    </w:p>
    <w:p w:rsidR="006175A6" w:rsidRDefault="009B4BA7">
      <w:pPr>
        <w:ind w:firstLine="480"/>
      </w:pPr>
      <w:r>
        <w:rPr>
          <w:rFonts w:hint="eastAsia"/>
        </w:rPr>
        <w:t>施工加工厂为与打吧下游</w:t>
      </w:r>
      <w:r>
        <w:rPr>
          <w:rFonts w:hint="eastAsia"/>
        </w:rPr>
        <w:t>580m</w:t>
      </w:r>
      <w:r>
        <w:rPr>
          <w:rFonts w:hint="eastAsia"/>
        </w:rPr>
        <w:t>的左岸。</w:t>
      </w:r>
    </w:p>
    <w:p w:rsidR="006175A6" w:rsidRDefault="009B4BA7">
      <w:pPr>
        <w:ind w:firstLine="480"/>
      </w:pPr>
      <w:r>
        <w:rPr>
          <w:rFonts w:hint="eastAsia"/>
        </w:rPr>
        <w:t>施工临时道路将依据施工总布置并随着大坝的升高而变化。</w:t>
      </w:r>
    </w:p>
    <w:p w:rsidR="006175A6" w:rsidRDefault="009B4BA7">
      <w:pPr>
        <w:pStyle w:val="3"/>
      </w:pPr>
      <w:r>
        <w:rPr>
          <w:rFonts w:hint="eastAsia"/>
        </w:rPr>
        <w:t>引水工程总布置</w:t>
      </w:r>
    </w:p>
    <w:p w:rsidR="006175A6" w:rsidRDefault="009B4BA7">
      <w:pPr>
        <w:ind w:firstLine="480"/>
      </w:pPr>
      <w:r>
        <w:rPr>
          <w:rFonts w:hint="eastAsia"/>
        </w:rPr>
        <w:t>输水工程以输水隧洞为主，输水隧洞为从进水口到龙洞湾，隧洞轴线长</w:t>
      </w:r>
      <w:r>
        <w:rPr>
          <w:rFonts w:hint="eastAsia"/>
        </w:rPr>
        <w:t>23.4km</w:t>
      </w:r>
      <w:r>
        <w:rPr>
          <w:rFonts w:hint="eastAsia"/>
        </w:rPr>
        <w:t>，纵坡为</w:t>
      </w:r>
      <w:r>
        <w:rPr>
          <w:rFonts w:hint="eastAsia"/>
        </w:rPr>
        <w:t>0.2</w:t>
      </w:r>
      <w:r>
        <w:rPr>
          <w:rFonts w:hint="eastAsia"/>
        </w:rPr>
        <w:t>‰，隧洞断面为城门洞形，开挖断面采用两种断面型式，分别为：</w:t>
      </w:r>
    </w:p>
    <w:p w:rsidR="006175A6" w:rsidRDefault="009B4BA7">
      <w:pPr>
        <w:ind w:firstLine="480"/>
      </w:pPr>
      <w:r>
        <w:rPr>
          <w:rFonts w:hint="eastAsia"/>
        </w:rPr>
        <w:t>①宽×边墙高×矢高</w:t>
      </w:r>
      <w:r>
        <w:rPr>
          <w:rFonts w:hint="eastAsia"/>
        </w:rPr>
        <w:t>=2.3</w:t>
      </w:r>
      <w:r>
        <w:rPr>
          <w:rFonts w:hint="eastAsia"/>
        </w:rPr>
        <w:t>×</w:t>
      </w:r>
      <w:r>
        <w:rPr>
          <w:rFonts w:hint="eastAsia"/>
        </w:rPr>
        <w:t>2.0</w:t>
      </w:r>
      <w:r>
        <w:rPr>
          <w:rFonts w:hint="eastAsia"/>
        </w:rPr>
        <w:t>×</w:t>
      </w:r>
      <w:r>
        <w:rPr>
          <w:rFonts w:hint="eastAsia"/>
        </w:rPr>
        <w:t>0.66m</w:t>
      </w:r>
      <w:r>
        <w:rPr>
          <w:rFonts w:hint="eastAsia"/>
        </w:rPr>
        <w:t>；</w:t>
      </w:r>
    </w:p>
    <w:p w:rsidR="006175A6" w:rsidRDefault="009B4BA7">
      <w:pPr>
        <w:ind w:firstLine="480"/>
      </w:pPr>
      <w:r>
        <w:rPr>
          <w:rFonts w:hint="eastAsia"/>
        </w:rPr>
        <w:t>②宽×边墙高×矢高</w:t>
      </w:r>
      <w:r>
        <w:rPr>
          <w:rFonts w:hint="eastAsia"/>
        </w:rPr>
        <w:t>=2.5</w:t>
      </w:r>
      <w:r>
        <w:rPr>
          <w:rFonts w:hint="eastAsia"/>
        </w:rPr>
        <w:t>×</w:t>
      </w:r>
      <w:r>
        <w:rPr>
          <w:rFonts w:hint="eastAsia"/>
        </w:rPr>
        <w:t>2.0</w:t>
      </w:r>
      <w:r>
        <w:rPr>
          <w:rFonts w:hint="eastAsia"/>
        </w:rPr>
        <w:t>×</w:t>
      </w:r>
      <w:r>
        <w:rPr>
          <w:rFonts w:hint="eastAsia"/>
        </w:rPr>
        <w:t>0.72m</w:t>
      </w:r>
      <w:r>
        <w:rPr>
          <w:rFonts w:hint="eastAsia"/>
        </w:rPr>
        <w:t>。</w:t>
      </w:r>
    </w:p>
    <w:p w:rsidR="006175A6" w:rsidRDefault="009B4BA7">
      <w:pPr>
        <w:ind w:firstLine="480"/>
      </w:pPr>
      <w:r>
        <w:rPr>
          <w:rFonts w:hint="eastAsia"/>
        </w:rPr>
        <w:t>输水系统布置方案表见下表：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输水系统布置方案表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05"/>
        <w:gridCol w:w="2980"/>
        <w:gridCol w:w="728"/>
        <w:gridCol w:w="728"/>
        <w:gridCol w:w="728"/>
        <w:gridCol w:w="943"/>
        <w:gridCol w:w="1104"/>
      </w:tblGrid>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标准桩号</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rPr>
              <w:t>）</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建筑物名称</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长度</w:t>
            </w:r>
          </w:p>
          <w:p w:rsidR="006175A6" w:rsidRDefault="009B4BA7">
            <w:pPr>
              <w:pStyle w:val="TableParagraph"/>
              <w:rPr>
                <w:rFonts w:ascii="Times New Roman" w:hAnsi="Times New Roman" w:cs="Times New Roman"/>
                <w:sz w:val="21"/>
                <w:szCs w:val="21"/>
              </w:rPr>
            </w:pPr>
            <w:r>
              <w:rPr>
                <w:rFonts w:ascii="Times New Roman" w:hAnsi="Times New Roman" w:cs="Times New Roman"/>
                <w:spacing w:val="-1"/>
                <w:sz w:val="21"/>
                <w:szCs w:val="21"/>
              </w:rPr>
              <w:t>（</w:t>
            </w:r>
            <w:r>
              <w:rPr>
                <w:rFonts w:ascii="Times New Roman" w:hAnsi="Times New Roman" w:cs="Times New Roman"/>
                <w:spacing w:val="-1"/>
                <w:sz w:val="21"/>
                <w:szCs w:val="21"/>
              </w:rPr>
              <w:t>m</w:t>
            </w:r>
            <w:r>
              <w:rPr>
                <w:rFonts w:ascii="Times New Roman" w:hAnsi="Times New Roman" w:cs="Times New Roman"/>
                <w:spacing w:val="-1"/>
                <w:sz w:val="21"/>
                <w:szCs w:val="21"/>
              </w:rPr>
              <w:t>）</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底宽</w:t>
            </w:r>
          </w:p>
          <w:p w:rsidR="006175A6" w:rsidRDefault="009B4BA7">
            <w:pPr>
              <w:pStyle w:val="TableParagraph"/>
              <w:rPr>
                <w:rFonts w:ascii="Times New Roman" w:hAnsi="Times New Roman" w:cs="Times New Roman"/>
                <w:sz w:val="21"/>
                <w:szCs w:val="21"/>
              </w:rPr>
            </w:pPr>
            <w:r>
              <w:rPr>
                <w:rFonts w:ascii="Times New Roman" w:hAnsi="Times New Roman" w:cs="Times New Roman"/>
                <w:spacing w:val="-1"/>
                <w:sz w:val="21"/>
                <w:szCs w:val="21"/>
              </w:rPr>
              <w:t>（</w:t>
            </w:r>
            <w:r>
              <w:rPr>
                <w:rFonts w:ascii="Times New Roman" w:hAnsi="Times New Roman" w:cs="Times New Roman"/>
                <w:spacing w:val="-1"/>
                <w:sz w:val="21"/>
                <w:szCs w:val="21"/>
              </w:rPr>
              <w:t>m</w:t>
            </w:r>
            <w:r>
              <w:rPr>
                <w:rFonts w:ascii="Times New Roman" w:hAnsi="Times New Roman" w:cs="Times New Roman"/>
                <w:spacing w:val="-1"/>
                <w:sz w:val="21"/>
                <w:szCs w:val="21"/>
              </w:rPr>
              <w:t>）</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水深</w:t>
            </w:r>
          </w:p>
          <w:p w:rsidR="006175A6" w:rsidRDefault="009B4BA7">
            <w:pPr>
              <w:pStyle w:val="TableParagraph"/>
              <w:rPr>
                <w:rFonts w:ascii="Times New Roman" w:hAnsi="Times New Roman" w:cs="Times New Roman"/>
                <w:sz w:val="21"/>
                <w:szCs w:val="21"/>
              </w:rPr>
            </w:pPr>
            <w:r>
              <w:rPr>
                <w:rFonts w:ascii="Times New Roman" w:hAnsi="Times New Roman" w:cs="Times New Roman"/>
                <w:spacing w:val="-1"/>
                <w:sz w:val="21"/>
                <w:szCs w:val="21"/>
              </w:rPr>
              <w:t>（</w:t>
            </w:r>
            <w:r>
              <w:rPr>
                <w:rFonts w:ascii="Times New Roman" w:hAnsi="Times New Roman" w:cs="Times New Roman"/>
                <w:spacing w:val="-1"/>
                <w:sz w:val="21"/>
                <w:szCs w:val="21"/>
              </w:rPr>
              <w:t>m</w:t>
            </w:r>
            <w:r>
              <w:rPr>
                <w:rFonts w:ascii="Times New Roman" w:hAnsi="Times New Roman" w:cs="Times New Roman"/>
                <w:spacing w:val="-1"/>
                <w:sz w:val="21"/>
                <w:szCs w:val="21"/>
              </w:rPr>
              <w:t>）</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流量</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m³/s</w:t>
            </w:r>
            <w:r>
              <w:rPr>
                <w:rFonts w:ascii="Times New Roman" w:hAnsi="Times New Roman" w:cs="Times New Roman"/>
                <w:sz w:val="21"/>
                <w:szCs w:val="21"/>
              </w:rPr>
              <w:t>）</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渠底高程</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rPr>
              <w:t>）</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0+000</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进水口</w:t>
            </w:r>
          </w:p>
        </w:tc>
        <w:tc>
          <w:tcPr>
            <w:tcW w:w="438" w:type="pct"/>
            <w:vAlign w:val="center"/>
          </w:tcPr>
          <w:p w:rsidR="006175A6" w:rsidRDefault="006175A6">
            <w:pPr>
              <w:pStyle w:val="TableParagraph"/>
              <w:rPr>
                <w:rFonts w:ascii="Times New Roman" w:hAnsi="Times New Roman" w:cs="Times New Roman"/>
                <w:sz w:val="21"/>
                <w:szCs w:val="21"/>
              </w:rPr>
            </w:pPr>
          </w:p>
        </w:tc>
        <w:tc>
          <w:tcPr>
            <w:tcW w:w="438" w:type="pct"/>
            <w:vAlign w:val="center"/>
          </w:tcPr>
          <w:p w:rsidR="006175A6" w:rsidRDefault="006175A6">
            <w:pPr>
              <w:pStyle w:val="TableParagraph"/>
              <w:rPr>
                <w:rFonts w:ascii="Times New Roman" w:hAnsi="Times New Roman" w:cs="Times New Roman"/>
                <w:sz w:val="21"/>
                <w:szCs w:val="21"/>
              </w:rPr>
            </w:pPr>
          </w:p>
        </w:tc>
        <w:tc>
          <w:tcPr>
            <w:tcW w:w="438" w:type="pct"/>
            <w:vAlign w:val="center"/>
          </w:tcPr>
          <w:p w:rsidR="006175A6" w:rsidRDefault="006175A6">
            <w:pPr>
              <w:pStyle w:val="TableParagraph"/>
              <w:rPr>
                <w:rFonts w:ascii="Times New Roman" w:hAnsi="Times New Roman" w:cs="Times New Roman"/>
                <w:sz w:val="21"/>
                <w:szCs w:val="21"/>
              </w:rPr>
            </w:pPr>
          </w:p>
        </w:tc>
        <w:tc>
          <w:tcPr>
            <w:tcW w:w="567" w:type="pct"/>
            <w:vAlign w:val="center"/>
          </w:tcPr>
          <w:p w:rsidR="006175A6" w:rsidRDefault="006175A6">
            <w:pPr>
              <w:pStyle w:val="TableParagraph"/>
              <w:rPr>
                <w:rFonts w:ascii="Times New Roman" w:hAnsi="Times New Roman" w:cs="Times New Roman"/>
                <w:sz w:val="21"/>
                <w:szCs w:val="21"/>
              </w:rPr>
            </w:pP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1011.40</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1+178</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隧洞（坝址至梨园沟）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1178</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1010.86</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1+198</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梨园沟过沟建筑物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1010.86</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lastRenderedPageBreak/>
              <w:t>3+024</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2#</w:t>
            </w:r>
            <w:r>
              <w:rPr>
                <w:rFonts w:ascii="Times New Roman" w:hAnsi="Times New Roman" w:cs="Times New Roman"/>
                <w:sz w:val="21"/>
                <w:szCs w:val="21"/>
                <w:lang w:eastAsia="zh-CN"/>
              </w:rPr>
              <w:t>隧洞（坝址至板桥湾）</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1826</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1010.10</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3+044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板桥湾过沟建筑物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1010.10</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4+354</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隧洞（板桥湾至小寨沟）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1310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1009.53</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4+384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小寨沟过沟建筑物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1009.53</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6+664</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ascii="Times New Roman" w:hAnsi="Times New Roman" w:cs="Times New Roman"/>
                <w:sz w:val="21"/>
                <w:szCs w:val="21"/>
                <w:lang w:eastAsia="zh-CN"/>
              </w:rPr>
              <w:t>隧洞（小寨沟至黑沟）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2280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1008.47</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6+684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黑沟过沟建筑物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1008.47</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8+738</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5#</w:t>
            </w:r>
            <w:r>
              <w:rPr>
                <w:rFonts w:ascii="Times New Roman" w:hAnsi="Times New Roman" w:cs="Times New Roman"/>
                <w:sz w:val="21"/>
                <w:szCs w:val="21"/>
                <w:lang w:eastAsia="zh-CN"/>
              </w:rPr>
              <w:t>隧洞（黑沟至红山沟）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2054</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1007.46</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8+753</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sz w:val="21"/>
                <w:szCs w:val="21"/>
              </w:rPr>
              <w:t>红山沟过沟建筑物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1007.45</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11+469</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6#</w:t>
            </w:r>
            <w:r>
              <w:rPr>
                <w:rFonts w:ascii="Times New Roman" w:hAnsi="Times New Roman" w:cs="Times New Roman"/>
                <w:sz w:val="21"/>
                <w:szCs w:val="21"/>
                <w:lang w:eastAsia="zh-CN"/>
              </w:rPr>
              <w:t>隧洞（红山沟至斗子沟）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2716</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1006.21</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11+494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斗子沟过沟建筑物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1006.21</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12+959</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7#</w:t>
            </w:r>
            <w:r>
              <w:rPr>
                <w:rFonts w:ascii="Times New Roman" w:hAnsi="Times New Roman" w:cs="Times New Roman"/>
                <w:sz w:val="21"/>
                <w:szCs w:val="21"/>
                <w:lang w:eastAsia="zh-CN"/>
              </w:rPr>
              <w:t>隧洞（斗子沟至钟家沟）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1465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1005.61</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12+974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cs="Times New Roman"/>
                <w:sz w:val="21"/>
                <w:szCs w:val="21"/>
              </w:rPr>
              <w:t>钟家沟过沟建筑物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1005.61</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14+008</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8#</w:t>
            </w:r>
            <w:r>
              <w:rPr>
                <w:rFonts w:ascii="Times New Roman" w:hAnsi="Times New Roman" w:cs="Times New Roman"/>
                <w:sz w:val="21"/>
                <w:szCs w:val="21"/>
                <w:lang w:eastAsia="zh-CN"/>
              </w:rPr>
              <w:t>隧洞（钟家沟至寨沟）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1034</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1005.00</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14+028</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cs="Times New Roman"/>
                <w:sz w:val="21"/>
                <w:szCs w:val="21"/>
              </w:rPr>
              <w:t>寨沟过沟建筑物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1005.00</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15+119</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9#</w:t>
            </w:r>
            <w:r>
              <w:rPr>
                <w:rFonts w:ascii="Times New Roman" w:hAnsi="Times New Roman" w:cs="Times New Roman"/>
                <w:sz w:val="21"/>
                <w:szCs w:val="21"/>
                <w:lang w:eastAsia="zh-CN"/>
              </w:rPr>
              <w:t>隧洞（寨沟至渣刺沟）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1004.48</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15+139</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w:t>
            </w:r>
            <w:r>
              <w:rPr>
                <w:rFonts w:ascii="Times New Roman" w:hAnsi="Times New Roman" w:cs="Times New Roman"/>
                <w:sz w:val="21"/>
                <w:szCs w:val="21"/>
              </w:rPr>
              <w:t>渣刺沟过沟建筑物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1004.48</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16+374</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10#</w:t>
            </w:r>
            <w:r>
              <w:rPr>
                <w:rFonts w:ascii="Times New Roman" w:hAnsi="Times New Roman" w:cs="Times New Roman"/>
                <w:sz w:val="21"/>
                <w:szCs w:val="21"/>
                <w:lang w:eastAsia="zh-CN"/>
              </w:rPr>
              <w:t>隧洞（渣刺沟至庙沟）</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1235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1003.93</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16+404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rPr>
              <w:t>庙沟过沟建筑物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1003.92</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18+176</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11#</w:t>
            </w:r>
            <w:r>
              <w:rPr>
                <w:rFonts w:ascii="Times New Roman" w:hAnsi="Times New Roman" w:cs="Times New Roman"/>
                <w:sz w:val="21"/>
                <w:szCs w:val="21"/>
                <w:lang w:eastAsia="zh-CN"/>
              </w:rPr>
              <w:t>隧洞（庙沟至青林垭）</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1772</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1003.17</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18+191</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青林垭过沟建筑物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1003.17</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21+090</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12#</w:t>
            </w:r>
            <w:r>
              <w:rPr>
                <w:rFonts w:ascii="Times New Roman" w:hAnsi="Times New Roman" w:cs="Times New Roman"/>
                <w:sz w:val="21"/>
                <w:szCs w:val="21"/>
                <w:lang w:eastAsia="zh-CN"/>
              </w:rPr>
              <w:t>隧洞（青林垭至淹水埫）</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2899</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1001.89</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21+264</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淹水埫过沟建筑物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174</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1001.85</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23+635</w:t>
            </w:r>
          </w:p>
        </w:tc>
        <w:tc>
          <w:tcPr>
            <w:tcW w:w="179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13#</w:t>
            </w:r>
            <w:r>
              <w:rPr>
                <w:rFonts w:ascii="Times New Roman" w:hAnsi="Times New Roman" w:cs="Times New Roman"/>
                <w:sz w:val="21"/>
                <w:szCs w:val="21"/>
                <w:lang w:eastAsia="zh-CN"/>
              </w:rPr>
              <w:t>隧洞（淹水埫至龙洞湾）</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2371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1000.78</w:t>
            </w:r>
          </w:p>
        </w:tc>
      </w:tr>
      <w:tr w:rsidR="006175A6">
        <w:trPr>
          <w:trHeight w:val="340"/>
          <w:jc w:val="center"/>
        </w:trPr>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23+655</w:t>
            </w:r>
          </w:p>
        </w:tc>
        <w:tc>
          <w:tcPr>
            <w:tcW w:w="179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龙洞湾连接建筑物</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43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w:t>
            </w:r>
          </w:p>
        </w:tc>
        <w:tc>
          <w:tcPr>
            <w:tcW w:w="5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2.06</w:t>
            </w:r>
          </w:p>
        </w:tc>
        <w:tc>
          <w:tcPr>
            <w:tcW w:w="66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1000.77</w:t>
            </w:r>
          </w:p>
        </w:tc>
      </w:tr>
    </w:tbl>
    <w:p w:rsidR="006175A6" w:rsidRDefault="009B4BA7">
      <w:pPr>
        <w:ind w:firstLine="480"/>
      </w:pPr>
      <w:r>
        <w:rPr>
          <w:rFonts w:hint="eastAsia"/>
        </w:rPr>
        <w:t>根据两河口水库工程枢纽总体布置，在</w:t>
      </w:r>
      <w:r>
        <w:rPr>
          <w:rFonts w:hint="eastAsia"/>
        </w:rPr>
        <w:t xml:space="preserve"> 23.7km </w:t>
      </w:r>
      <w:r>
        <w:rPr>
          <w:rFonts w:hint="eastAsia"/>
        </w:rPr>
        <w:t>长的输水线路中，共有</w:t>
      </w:r>
      <w:r>
        <w:rPr>
          <w:rFonts w:hint="eastAsia"/>
        </w:rPr>
        <w:t xml:space="preserve"> 13 </w:t>
      </w:r>
      <w:r>
        <w:rPr>
          <w:rFonts w:hint="eastAsia"/>
        </w:rPr>
        <w:t>个过沟连接建筑物。分别为梨园沟过沟、板桥湾过沟建筑物、小寨沟过沟建筑物、黑沟过沟建筑物、红山沟过沟建筑物、斗子沟过沟建筑物、钟家沟过沟建筑物、寨沟过沟建筑物、渣刺沟过沟建筑物、庙沟过沟建筑物、青林垭过沟建筑物和龙洞湾过沟建筑物。根据地形地质条件，过沟连接建筑物均采用箱涵。断面为宽×高＝</w:t>
      </w:r>
      <w:r>
        <w:rPr>
          <w:rFonts w:hint="eastAsia"/>
        </w:rPr>
        <w:t>2.1</w:t>
      </w:r>
      <w:r>
        <w:rPr>
          <w:rFonts w:hint="eastAsia"/>
        </w:rPr>
        <w:t>×</w:t>
      </w:r>
      <w:r>
        <w:rPr>
          <w:rFonts w:hint="eastAsia"/>
        </w:rPr>
        <w:t>2.1m</w:t>
      </w:r>
      <w:r>
        <w:rPr>
          <w:rFonts w:hint="eastAsia"/>
        </w:rPr>
        <w:t>的矩形断面，纵坡为</w:t>
      </w:r>
      <w:r>
        <w:rPr>
          <w:rFonts w:hint="eastAsia"/>
        </w:rPr>
        <w:t>0.2</w:t>
      </w:r>
      <w:r>
        <w:rPr>
          <w:rFonts w:hint="eastAsia"/>
        </w:rPr>
        <w:t>‰。青林垭处布置一处溢流堰，溢流堰长</w:t>
      </w:r>
      <w:r>
        <w:rPr>
          <w:rFonts w:hint="eastAsia"/>
        </w:rPr>
        <w:t>15m</w:t>
      </w:r>
      <w:r>
        <w:rPr>
          <w:rFonts w:hint="eastAsia"/>
        </w:rPr>
        <w:t>。</w:t>
      </w:r>
    </w:p>
    <w:p w:rsidR="006175A6" w:rsidRDefault="009B4BA7">
      <w:pPr>
        <w:ind w:firstLine="480"/>
      </w:pPr>
      <w:r>
        <w:rPr>
          <w:rFonts w:hint="eastAsia"/>
        </w:rPr>
        <w:t>过沟连接建筑物特征值见</w:t>
      </w:r>
      <w:r>
        <w:fldChar w:fldCharType="begin"/>
      </w:r>
      <w:r>
        <w:instrText xml:space="preserve"> </w:instrText>
      </w:r>
      <w:r>
        <w:rPr>
          <w:rFonts w:hint="eastAsia"/>
        </w:rPr>
        <w:instrText>REF _Ref76990892 \h</w:instrText>
      </w:r>
      <w:r>
        <w:instrText xml:space="preserve"> </w:instrText>
      </w:r>
      <w:r>
        <w:fldChar w:fldCharType="separate"/>
      </w:r>
      <w:r w:rsidR="00E97427">
        <w:rPr>
          <w:rFonts w:hint="eastAsia"/>
        </w:rPr>
        <w:t>表</w:t>
      </w:r>
      <w:r w:rsidR="00E97427">
        <w:rPr>
          <w:rFonts w:hint="eastAsia"/>
        </w:rPr>
        <w:t xml:space="preserve"> </w:t>
      </w:r>
      <w:r w:rsidR="00E97427">
        <w:rPr>
          <w:noProof/>
        </w:rPr>
        <w:t>3.4</w:t>
      </w:r>
      <w:r w:rsidR="00E97427">
        <w:noBreakHyphen/>
      </w:r>
      <w:r w:rsidR="00E97427">
        <w:rPr>
          <w:noProof/>
        </w:rPr>
        <w:t>2</w:t>
      </w:r>
      <w:r>
        <w:fldChar w:fldCharType="end"/>
      </w:r>
      <w:r>
        <w:rPr>
          <w:rFonts w:hint="eastAsia"/>
        </w:rPr>
        <w:t>。</w:t>
      </w:r>
    </w:p>
    <w:p w:rsidR="006175A6" w:rsidRDefault="009B4BA7">
      <w:pPr>
        <w:pStyle w:val="a3"/>
      </w:pPr>
      <w:bookmarkStart w:id="35" w:name="_Ref76990892"/>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bookmarkEnd w:id="35"/>
      <w:r>
        <w:rPr>
          <w:rFonts w:hint="eastAsia"/>
        </w:rPr>
        <w:t xml:space="preserve">  </w:t>
      </w:r>
      <w:r>
        <w:rPr>
          <w:rFonts w:hint="eastAsia"/>
        </w:rPr>
        <w:t>过沟连接建筑物特征值</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643"/>
        <w:gridCol w:w="1690"/>
        <w:gridCol w:w="1066"/>
        <w:gridCol w:w="1276"/>
        <w:gridCol w:w="1134"/>
        <w:gridCol w:w="923"/>
        <w:gridCol w:w="584"/>
      </w:tblGrid>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桩号（</w:t>
            </w:r>
            <w:r>
              <w:rPr>
                <w:rFonts w:ascii="Times New Roman" w:hAnsi="Times New Roman" w:cs="Times New Roman"/>
                <w:sz w:val="21"/>
                <w:szCs w:val="21"/>
              </w:rPr>
              <w:t>m</w:t>
            </w:r>
            <w:r>
              <w:rPr>
                <w:rFonts w:ascii="Times New Roman" w:hAnsi="Times New Roman" w:cs="Times New Roman"/>
                <w:sz w:val="21"/>
                <w:szCs w:val="21"/>
              </w:rPr>
              <w:t>）</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建筑物名称</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长度（</w:t>
            </w:r>
            <w:r>
              <w:rPr>
                <w:rFonts w:ascii="Times New Roman" w:hAnsi="Times New Roman" w:cs="Times New Roman"/>
                <w:sz w:val="21"/>
                <w:szCs w:val="21"/>
              </w:rPr>
              <w:t>m</w:t>
            </w:r>
            <w:r>
              <w:rPr>
                <w:rFonts w:ascii="Times New Roman" w:hAnsi="Times New Roman" w:cs="Times New Roman"/>
                <w:sz w:val="21"/>
                <w:szCs w:val="21"/>
              </w:rPr>
              <w:t>）</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水面坡降</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底宽（</w:t>
            </w:r>
            <w:r>
              <w:rPr>
                <w:rFonts w:ascii="Times New Roman" w:hAnsi="Times New Roman" w:cs="Times New Roman"/>
                <w:sz w:val="21"/>
                <w:szCs w:val="21"/>
              </w:rPr>
              <w:t>m</w:t>
            </w:r>
            <w:r>
              <w:rPr>
                <w:rFonts w:ascii="Times New Roman" w:hAnsi="Times New Roman" w:cs="Times New Roman"/>
                <w:sz w:val="21"/>
                <w:szCs w:val="21"/>
              </w:rPr>
              <w:t>）</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水深（</w:t>
            </w:r>
            <w:r>
              <w:rPr>
                <w:rFonts w:ascii="Times New Roman" w:hAnsi="Times New Roman" w:cs="Times New Roman"/>
                <w:sz w:val="21"/>
                <w:szCs w:val="21"/>
              </w:rPr>
              <w:t>m</w:t>
            </w:r>
            <w:r>
              <w:rPr>
                <w:rFonts w:ascii="Times New Roman" w:hAnsi="Times New Roman" w:cs="Times New Roman"/>
                <w:sz w:val="21"/>
                <w:szCs w:val="21"/>
              </w:rPr>
              <w:t>）</w:t>
            </w:r>
          </w:p>
        </w:tc>
        <w:tc>
          <w:tcPr>
            <w:tcW w:w="35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备注</w:t>
            </w: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1+178~1+198</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梨园沟过沟箱涵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3+024~3+044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板桥湾过沟箱涵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lastRenderedPageBreak/>
              <w:t>4+354~4+384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小寨沟过沟箱涵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6+664~6+684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黑沟过沟箱涵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8+738~8+753</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红山沟过沟箱涵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11+469~11+494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斗子沟过沟箱涵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12+959~12+974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钟家沟过沟箱涵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14+008~14+028</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寨沟过沟箱涵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15+119~15+139</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渣刺沟过沟箱涵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16+374~16+404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庙沟过沟箱涵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18+176~18+191</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青林垭过沟箱涵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21+090~21+264</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淹水埫过沟箱涵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174</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r w:rsidR="006175A6">
        <w:trPr>
          <w:trHeight w:val="340"/>
          <w:jc w:val="center"/>
        </w:trPr>
        <w:tc>
          <w:tcPr>
            <w:tcW w:w="98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23+635~23+655</w:t>
            </w:r>
          </w:p>
        </w:tc>
        <w:tc>
          <w:tcPr>
            <w:tcW w:w="101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龙洞湾过沟箱涵</w:t>
            </w:r>
          </w:p>
        </w:tc>
        <w:tc>
          <w:tcPr>
            <w:tcW w:w="64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767"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1/5000</w:t>
            </w:r>
          </w:p>
        </w:tc>
        <w:tc>
          <w:tcPr>
            <w:tcW w:w="6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w:t>
            </w:r>
          </w:p>
        </w:tc>
        <w:tc>
          <w:tcPr>
            <w:tcW w:w="55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351" w:type="pct"/>
            <w:vAlign w:val="center"/>
          </w:tcPr>
          <w:p w:rsidR="006175A6" w:rsidRDefault="006175A6">
            <w:pPr>
              <w:pStyle w:val="TableParagraph"/>
              <w:rPr>
                <w:rFonts w:ascii="Times New Roman" w:hAnsi="Times New Roman" w:cs="Times New Roman"/>
                <w:sz w:val="21"/>
                <w:szCs w:val="21"/>
              </w:rPr>
            </w:pPr>
          </w:p>
        </w:tc>
      </w:tr>
    </w:tbl>
    <w:p w:rsidR="006175A6" w:rsidRDefault="009B4BA7">
      <w:pPr>
        <w:ind w:firstLine="480"/>
      </w:pPr>
      <w:r>
        <w:rPr>
          <w:rFonts w:hint="eastAsia"/>
        </w:rPr>
        <w:t>项目工程组成一览表如下表所示：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工程组成一览表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668"/>
        <w:gridCol w:w="527"/>
        <w:gridCol w:w="163"/>
        <w:gridCol w:w="985"/>
        <w:gridCol w:w="5973"/>
      </w:tblGrid>
      <w:tr w:rsidR="006175A6" w:rsidRPr="003B20F8">
        <w:trPr>
          <w:trHeight w:val="340"/>
        </w:trPr>
        <w:tc>
          <w:tcPr>
            <w:tcW w:w="1409" w:type="pct"/>
            <w:gridSpan w:val="4"/>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项目组成</w:t>
            </w:r>
          </w:p>
        </w:tc>
        <w:tc>
          <w:tcPr>
            <w:tcW w:w="3591" w:type="pct"/>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主要工程量</w:t>
            </w:r>
          </w:p>
        </w:tc>
      </w:tr>
      <w:tr w:rsidR="003B20F8" w:rsidRPr="003B20F8">
        <w:trPr>
          <w:trHeight w:val="340"/>
        </w:trPr>
        <w:tc>
          <w:tcPr>
            <w:tcW w:w="402" w:type="pct"/>
            <w:vMerge w:val="restart"/>
            <w:vAlign w:val="center"/>
          </w:tcPr>
          <w:p w:rsidR="006378E1" w:rsidRPr="003B20F8" w:rsidRDefault="006378E1">
            <w:pPr>
              <w:pStyle w:val="TableParagraph"/>
              <w:rPr>
                <w:rFonts w:ascii="Times New Roman" w:hAnsi="Times New Roman" w:cs="Times New Roman"/>
                <w:sz w:val="21"/>
                <w:szCs w:val="21"/>
              </w:rPr>
            </w:pPr>
            <w:r w:rsidRPr="003B20F8">
              <w:rPr>
                <w:rFonts w:ascii="Times New Roman" w:hAnsi="Times New Roman" w:cs="Times New Roman"/>
                <w:sz w:val="21"/>
                <w:szCs w:val="21"/>
              </w:rPr>
              <w:t>主体工程</w:t>
            </w:r>
          </w:p>
        </w:tc>
        <w:tc>
          <w:tcPr>
            <w:tcW w:w="317" w:type="pct"/>
            <w:vMerge w:val="restart"/>
            <w:vAlign w:val="center"/>
          </w:tcPr>
          <w:p w:rsidR="006378E1" w:rsidRPr="003B20F8" w:rsidRDefault="006378E1">
            <w:pPr>
              <w:pStyle w:val="TableParagraph"/>
              <w:rPr>
                <w:rFonts w:ascii="Times New Roman" w:hAnsi="Times New Roman" w:cs="Times New Roman"/>
                <w:sz w:val="21"/>
                <w:szCs w:val="21"/>
              </w:rPr>
            </w:pPr>
            <w:r w:rsidRPr="003B20F8">
              <w:rPr>
                <w:rFonts w:ascii="Times New Roman" w:hAnsi="Times New Roman" w:cs="Times New Roman"/>
                <w:w w:val="95"/>
                <w:sz w:val="21"/>
                <w:szCs w:val="21"/>
              </w:rPr>
              <w:t>枢纽工程</w:t>
            </w:r>
          </w:p>
        </w:tc>
        <w:tc>
          <w:tcPr>
            <w:tcW w:w="690" w:type="pct"/>
            <w:gridSpan w:val="2"/>
            <w:vAlign w:val="center"/>
          </w:tcPr>
          <w:p w:rsidR="006378E1" w:rsidRPr="003B20F8" w:rsidRDefault="006378E1">
            <w:pPr>
              <w:pStyle w:val="TableParagraph"/>
              <w:rPr>
                <w:rFonts w:ascii="Times New Roman" w:hAnsi="Times New Roman" w:cs="Times New Roman"/>
                <w:sz w:val="21"/>
                <w:szCs w:val="21"/>
              </w:rPr>
            </w:pPr>
            <w:r w:rsidRPr="003B20F8">
              <w:rPr>
                <w:rFonts w:ascii="Times New Roman" w:hAnsi="Times New Roman" w:cs="Times New Roman" w:hint="eastAsia"/>
                <w:sz w:val="21"/>
                <w:szCs w:val="21"/>
              </w:rPr>
              <w:t>碾压混凝土拱坝</w:t>
            </w:r>
          </w:p>
        </w:tc>
        <w:tc>
          <w:tcPr>
            <w:tcW w:w="3591" w:type="pct"/>
            <w:vAlign w:val="center"/>
          </w:tcPr>
          <w:p w:rsidR="006378E1" w:rsidRPr="003B20F8" w:rsidRDefault="006378E1" w:rsidP="006378E1">
            <w:pPr>
              <w:pStyle w:val="TableParagraph"/>
              <w:rPr>
                <w:rFonts w:ascii="Times New Roman" w:eastAsiaTheme="minorEastAsia" w:hAnsi="Times New Roman" w:cs="Times New Roman"/>
                <w:sz w:val="21"/>
                <w:szCs w:val="21"/>
                <w:lang w:eastAsia="zh-CN"/>
              </w:rPr>
            </w:pPr>
            <w:r w:rsidRPr="003B20F8">
              <w:rPr>
                <w:rFonts w:ascii="Times New Roman" w:eastAsiaTheme="minorEastAsia" w:hAnsi="Times New Roman" w:cs="Times New Roman" w:hint="eastAsia"/>
                <w:sz w:val="21"/>
                <w:szCs w:val="21"/>
                <w:lang w:eastAsia="zh-CN"/>
              </w:rPr>
              <w:t>中心线全长</w:t>
            </w:r>
            <w:r w:rsidRPr="003B20F8">
              <w:rPr>
                <w:rFonts w:ascii="Times New Roman" w:eastAsiaTheme="minorEastAsia" w:hAnsi="Times New Roman" w:cs="Times New Roman" w:hint="eastAsia"/>
                <w:sz w:val="21"/>
                <w:szCs w:val="21"/>
                <w:lang w:eastAsia="zh-CN"/>
              </w:rPr>
              <w:t>189.40m</w:t>
            </w:r>
            <w:r w:rsidRPr="003B20F8">
              <w:rPr>
                <w:rFonts w:ascii="Times New Roman" w:eastAsiaTheme="minorEastAsia" w:hAnsi="Times New Roman" w:cs="Times New Roman" w:hint="eastAsia"/>
                <w:sz w:val="21"/>
                <w:szCs w:val="21"/>
                <w:lang w:eastAsia="zh-CN"/>
              </w:rPr>
              <w:t>。大坝坝顶高程</w:t>
            </w:r>
            <w:r w:rsidRPr="003B20F8">
              <w:rPr>
                <w:rFonts w:ascii="Times New Roman" w:eastAsiaTheme="minorEastAsia" w:hAnsi="Times New Roman" w:cs="Times New Roman" w:hint="eastAsia"/>
                <w:sz w:val="21"/>
                <w:szCs w:val="21"/>
                <w:lang w:eastAsia="zh-CN"/>
              </w:rPr>
              <w:t>1061.00m</w:t>
            </w:r>
            <w:r w:rsidRPr="003B20F8">
              <w:rPr>
                <w:rFonts w:ascii="Times New Roman" w:eastAsiaTheme="minorEastAsia" w:hAnsi="Times New Roman" w:cs="Times New Roman" w:hint="eastAsia"/>
                <w:sz w:val="21"/>
                <w:szCs w:val="21"/>
                <w:lang w:eastAsia="zh-CN"/>
              </w:rPr>
              <w:t>，坝基面高程</w:t>
            </w:r>
            <w:r w:rsidRPr="003B20F8">
              <w:rPr>
                <w:rFonts w:ascii="Times New Roman" w:eastAsiaTheme="minorEastAsia" w:hAnsi="Times New Roman" w:cs="Times New Roman" w:hint="eastAsia"/>
                <w:sz w:val="21"/>
                <w:szCs w:val="21"/>
                <w:lang w:eastAsia="zh-CN"/>
              </w:rPr>
              <w:t>975.0m</w:t>
            </w:r>
            <w:r w:rsidRPr="003B20F8">
              <w:rPr>
                <w:rFonts w:ascii="Times New Roman" w:eastAsiaTheme="minorEastAsia" w:hAnsi="Times New Roman" w:cs="Times New Roman" w:hint="eastAsia"/>
                <w:sz w:val="21"/>
                <w:szCs w:val="21"/>
                <w:lang w:eastAsia="zh-CN"/>
              </w:rPr>
              <w:t>，最大坝高</w:t>
            </w:r>
            <w:r w:rsidRPr="003B20F8">
              <w:rPr>
                <w:rFonts w:ascii="Times New Roman" w:eastAsiaTheme="minorEastAsia" w:hAnsi="Times New Roman" w:cs="Times New Roman" w:hint="eastAsia"/>
                <w:sz w:val="21"/>
                <w:szCs w:val="21"/>
                <w:lang w:eastAsia="zh-CN"/>
              </w:rPr>
              <w:t>86.0m</w:t>
            </w:r>
            <w:r w:rsidRPr="003B20F8">
              <w:rPr>
                <w:rFonts w:ascii="Times New Roman" w:eastAsiaTheme="minorEastAsia" w:hAnsi="Times New Roman" w:cs="Times New Roman" w:hint="eastAsia"/>
                <w:sz w:val="21"/>
                <w:szCs w:val="21"/>
                <w:lang w:eastAsia="zh-CN"/>
              </w:rPr>
              <w:t>。拱坝顶层拱圈左拱端厚</w:t>
            </w:r>
            <w:r w:rsidRPr="003B20F8">
              <w:rPr>
                <w:rFonts w:ascii="Times New Roman" w:eastAsiaTheme="minorEastAsia" w:hAnsi="Times New Roman" w:cs="Times New Roman" w:hint="eastAsia"/>
                <w:sz w:val="21"/>
                <w:szCs w:val="21"/>
                <w:lang w:eastAsia="zh-CN"/>
              </w:rPr>
              <w:t>6.0m</w:t>
            </w:r>
            <w:r w:rsidRPr="003B20F8">
              <w:rPr>
                <w:rFonts w:ascii="Times New Roman" w:eastAsiaTheme="minorEastAsia" w:hAnsi="Times New Roman" w:cs="Times New Roman" w:hint="eastAsia"/>
                <w:sz w:val="21"/>
                <w:szCs w:val="21"/>
                <w:lang w:eastAsia="zh-CN"/>
              </w:rPr>
              <w:t>，拱冠处厚</w:t>
            </w:r>
            <w:r w:rsidRPr="003B20F8">
              <w:rPr>
                <w:rFonts w:ascii="Times New Roman" w:eastAsiaTheme="minorEastAsia" w:hAnsi="Times New Roman" w:cs="Times New Roman" w:hint="eastAsia"/>
                <w:sz w:val="21"/>
                <w:szCs w:val="21"/>
                <w:lang w:eastAsia="zh-CN"/>
              </w:rPr>
              <w:t>6.0m</w:t>
            </w:r>
            <w:r w:rsidRPr="003B20F8">
              <w:rPr>
                <w:rFonts w:ascii="Times New Roman" w:eastAsiaTheme="minorEastAsia" w:hAnsi="Times New Roman" w:cs="Times New Roman" w:hint="eastAsia"/>
                <w:sz w:val="21"/>
                <w:szCs w:val="21"/>
                <w:lang w:eastAsia="zh-CN"/>
              </w:rPr>
              <w:t>，右拱端厚</w:t>
            </w:r>
            <w:r w:rsidRPr="003B20F8">
              <w:rPr>
                <w:rFonts w:ascii="Times New Roman" w:eastAsiaTheme="minorEastAsia" w:hAnsi="Times New Roman" w:cs="Times New Roman" w:hint="eastAsia"/>
                <w:sz w:val="21"/>
                <w:szCs w:val="21"/>
                <w:lang w:eastAsia="zh-CN"/>
              </w:rPr>
              <w:t>6.0m</w:t>
            </w:r>
            <w:r w:rsidRPr="003B20F8">
              <w:rPr>
                <w:rFonts w:ascii="Times New Roman" w:eastAsiaTheme="minorEastAsia" w:hAnsi="Times New Roman" w:cs="Times New Roman" w:hint="eastAsia"/>
                <w:sz w:val="21"/>
                <w:szCs w:val="21"/>
                <w:lang w:eastAsia="zh-CN"/>
              </w:rPr>
              <w:t>，底层拱圈左拱端厚</w:t>
            </w:r>
            <w:r w:rsidRPr="003B20F8">
              <w:rPr>
                <w:rFonts w:ascii="Times New Roman" w:eastAsiaTheme="minorEastAsia" w:hAnsi="Times New Roman" w:cs="Times New Roman" w:hint="eastAsia"/>
                <w:sz w:val="21"/>
                <w:szCs w:val="21"/>
                <w:lang w:eastAsia="zh-CN"/>
              </w:rPr>
              <w:t>17.0m</w:t>
            </w:r>
            <w:r w:rsidRPr="003B20F8">
              <w:rPr>
                <w:rFonts w:ascii="Times New Roman" w:eastAsiaTheme="minorEastAsia" w:hAnsi="Times New Roman" w:cs="Times New Roman" w:hint="eastAsia"/>
                <w:sz w:val="21"/>
                <w:szCs w:val="21"/>
                <w:lang w:eastAsia="zh-CN"/>
              </w:rPr>
              <w:t>，拱冠梁断面底宽</w:t>
            </w:r>
            <w:r w:rsidRPr="003B20F8">
              <w:rPr>
                <w:rFonts w:ascii="Times New Roman" w:eastAsiaTheme="minorEastAsia" w:hAnsi="Times New Roman" w:cs="Times New Roman" w:hint="eastAsia"/>
                <w:sz w:val="21"/>
                <w:szCs w:val="21"/>
                <w:lang w:eastAsia="zh-CN"/>
              </w:rPr>
              <w:t>17.0m</w:t>
            </w:r>
            <w:r w:rsidRPr="003B20F8">
              <w:rPr>
                <w:rFonts w:ascii="Times New Roman" w:eastAsiaTheme="minorEastAsia" w:hAnsi="Times New Roman" w:cs="Times New Roman" w:hint="eastAsia"/>
                <w:sz w:val="21"/>
                <w:szCs w:val="21"/>
                <w:lang w:eastAsia="zh-CN"/>
              </w:rPr>
              <w:t>，右拱端厚</w:t>
            </w:r>
            <w:r w:rsidRPr="003B20F8">
              <w:rPr>
                <w:rFonts w:ascii="Times New Roman" w:eastAsiaTheme="minorEastAsia" w:hAnsi="Times New Roman" w:cs="Times New Roman" w:hint="eastAsia"/>
                <w:sz w:val="21"/>
                <w:szCs w:val="21"/>
                <w:lang w:eastAsia="zh-CN"/>
              </w:rPr>
              <w:t>16.5m</w:t>
            </w:r>
            <w:r w:rsidRPr="003B20F8">
              <w:rPr>
                <w:rFonts w:ascii="Times New Roman" w:eastAsiaTheme="minorEastAsia" w:hAnsi="Times New Roman" w:cs="Times New Roman" w:hint="eastAsia"/>
                <w:sz w:val="21"/>
                <w:szCs w:val="21"/>
                <w:lang w:eastAsia="zh-CN"/>
              </w:rPr>
              <w:t>，拱冠梁最大厚高比为</w:t>
            </w:r>
            <w:r w:rsidRPr="003B20F8">
              <w:rPr>
                <w:rFonts w:ascii="Times New Roman" w:eastAsiaTheme="minorEastAsia" w:hAnsi="Times New Roman" w:cs="Times New Roman" w:hint="eastAsia"/>
                <w:sz w:val="21"/>
                <w:szCs w:val="21"/>
                <w:lang w:eastAsia="zh-CN"/>
              </w:rPr>
              <w:t>0.198</w:t>
            </w:r>
            <w:r w:rsidRPr="003B20F8">
              <w:rPr>
                <w:rFonts w:ascii="Times New Roman" w:eastAsiaTheme="minorEastAsia" w:hAnsi="Times New Roman" w:cs="Times New Roman" w:hint="eastAsia"/>
                <w:sz w:val="21"/>
                <w:szCs w:val="21"/>
                <w:lang w:eastAsia="zh-CN"/>
              </w:rPr>
              <w:t>，属于薄拱坝</w:t>
            </w:r>
          </w:p>
        </w:tc>
      </w:tr>
      <w:tr w:rsidR="006378E1" w:rsidRPr="003B20F8">
        <w:trPr>
          <w:trHeight w:val="340"/>
        </w:trPr>
        <w:tc>
          <w:tcPr>
            <w:tcW w:w="402" w:type="pct"/>
            <w:vMerge/>
            <w:vAlign w:val="center"/>
          </w:tcPr>
          <w:p w:rsidR="006378E1" w:rsidRPr="003B20F8" w:rsidRDefault="006378E1">
            <w:pPr>
              <w:spacing w:line="240" w:lineRule="auto"/>
              <w:ind w:firstLineChars="0" w:firstLine="0"/>
              <w:jc w:val="center"/>
              <w:rPr>
                <w:sz w:val="21"/>
                <w:lang w:eastAsia="zh-CN"/>
              </w:rPr>
            </w:pPr>
          </w:p>
        </w:tc>
        <w:tc>
          <w:tcPr>
            <w:tcW w:w="317" w:type="pct"/>
            <w:vMerge/>
            <w:vAlign w:val="center"/>
          </w:tcPr>
          <w:p w:rsidR="006378E1" w:rsidRPr="003B20F8" w:rsidRDefault="006378E1">
            <w:pPr>
              <w:spacing w:line="240" w:lineRule="auto"/>
              <w:ind w:firstLineChars="0" w:firstLine="0"/>
              <w:jc w:val="center"/>
              <w:rPr>
                <w:sz w:val="21"/>
                <w:lang w:eastAsia="zh-CN"/>
              </w:rPr>
            </w:pPr>
          </w:p>
        </w:tc>
        <w:tc>
          <w:tcPr>
            <w:tcW w:w="690" w:type="pct"/>
            <w:gridSpan w:val="2"/>
            <w:vAlign w:val="center"/>
          </w:tcPr>
          <w:p w:rsidR="006378E1" w:rsidRPr="003B20F8" w:rsidRDefault="006378E1">
            <w:pPr>
              <w:pStyle w:val="TableParagraph"/>
              <w:rPr>
                <w:rFonts w:ascii="Times New Roman" w:hAnsi="Times New Roman" w:cs="Times New Roman"/>
                <w:sz w:val="21"/>
                <w:szCs w:val="21"/>
              </w:rPr>
            </w:pPr>
            <w:r w:rsidRPr="003B20F8">
              <w:rPr>
                <w:rFonts w:ascii="Times New Roman" w:hAnsi="Times New Roman" w:cs="Times New Roman"/>
                <w:sz w:val="21"/>
                <w:szCs w:val="21"/>
              </w:rPr>
              <w:t>溢洪道</w:t>
            </w:r>
          </w:p>
        </w:tc>
        <w:tc>
          <w:tcPr>
            <w:tcW w:w="3591" w:type="pct"/>
            <w:vAlign w:val="center"/>
          </w:tcPr>
          <w:p w:rsidR="006378E1" w:rsidRPr="003B20F8" w:rsidRDefault="006378E1" w:rsidP="006378E1">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布置在大坝中间段，坝身溢流，采用有闸表孔泄流方案。堰顶高程</w:t>
            </w:r>
            <w:r w:rsidRPr="003B20F8">
              <w:rPr>
                <w:rFonts w:ascii="Times New Roman" w:hAnsi="Times New Roman" w:cs="Times New Roman" w:hint="eastAsia"/>
                <w:sz w:val="21"/>
                <w:szCs w:val="21"/>
                <w:lang w:eastAsia="zh-CN"/>
              </w:rPr>
              <w:t>1050.5m</w:t>
            </w:r>
            <w:r w:rsidRPr="003B20F8">
              <w:rPr>
                <w:rFonts w:ascii="Times New Roman" w:hAnsi="Times New Roman" w:cs="Times New Roman" w:hint="eastAsia"/>
                <w:sz w:val="21"/>
                <w:szCs w:val="21"/>
                <w:lang w:eastAsia="zh-CN"/>
              </w:rPr>
              <w:t>，共</w:t>
            </w:r>
            <w:r w:rsidRPr="003B20F8">
              <w:rPr>
                <w:rFonts w:ascii="Times New Roman" w:hAnsi="Times New Roman" w:cs="Times New Roman" w:hint="eastAsia"/>
                <w:sz w:val="21"/>
                <w:szCs w:val="21"/>
                <w:lang w:eastAsia="zh-CN"/>
              </w:rPr>
              <w:t>2</w:t>
            </w:r>
            <w:r w:rsidRPr="003B20F8">
              <w:rPr>
                <w:rFonts w:ascii="Times New Roman" w:hAnsi="Times New Roman" w:cs="Times New Roman" w:hint="eastAsia"/>
                <w:sz w:val="21"/>
                <w:szCs w:val="21"/>
                <w:lang w:eastAsia="zh-CN"/>
              </w:rPr>
              <w:t>孔，总净宽</w:t>
            </w:r>
            <w:r w:rsidRPr="003B20F8">
              <w:rPr>
                <w:rFonts w:ascii="Times New Roman" w:hAnsi="Times New Roman" w:cs="Times New Roman" w:hint="eastAsia"/>
                <w:sz w:val="21"/>
                <w:szCs w:val="21"/>
                <w:lang w:eastAsia="zh-CN"/>
              </w:rPr>
              <w:t>20.0m</w:t>
            </w:r>
            <w:r w:rsidRPr="003B20F8">
              <w:rPr>
                <w:rFonts w:ascii="Times New Roman" w:hAnsi="Times New Roman" w:cs="Times New Roman" w:hint="eastAsia"/>
                <w:sz w:val="21"/>
                <w:szCs w:val="21"/>
                <w:lang w:eastAsia="zh-CN"/>
              </w:rPr>
              <w:t>。由两扇弧形闸门控制。泄水建筑物采用挑流消能，挑角</w:t>
            </w:r>
            <w:r w:rsidRPr="003B20F8">
              <w:rPr>
                <w:rFonts w:ascii="Times New Roman" w:hAnsi="Times New Roman" w:cs="Times New Roman" w:hint="eastAsia"/>
                <w:sz w:val="21"/>
                <w:szCs w:val="21"/>
                <w:lang w:eastAsia="zh-CN"/>
              </w:rPr>
              <w:t>25</w:t>
            </w:r>
            <w:r w:rsidRPr="003B20F8">
              <w:rPr>
                <w:rFonts w:ascii="Times New Roman" w:hAnsi="Times New Roman" w:cs="Times New Roman" w:hint="eastAsia"/>
                <w:sz w:val="21"/>
                <w:szCs w:val="21"/>
                <w:lang w:eastAsia="zh-CN"/>
              </w:rPr>
              <w:t>°，鼻坎高程</w:t>
            </w:r>
            <w:r w:rsidRPr="003B20F8">
              <w:rPr>
                <w:rFonts w:ascii="Times New Roman" w:hAnsi="Times New Roman" w:cs="Times New Roman" w:hint="eastAsia"/>
                <w:sz w:val="21"/>
                <w:szCs w:val="21"/>
                <w:lang w:eastAsia="zh-CN"/>
              </w:rPr>
              <w:t>1035.92m</w:t>
            </w:r>
            <w:r w:rsidRPr="003B20F8">
              <w:rPr>
                <w:rFonts w:ascii="Times New Roman" w:hAnsi="Times New Roman" w:cs="Times New Roman" w:hint="eastAsia"/>
                <w:sz w:val="21"/>
                <w:szCs w:val="21"/>
                <w:lang w:eastAsia="zh-CN"/>
              </w:rPr>
              <w:t>。</w:t>
            </w:r>
          </w:p>
        </w:tc>
      </w:tr>
      <w:tr w:rsidR="006378E1" w:rsidRPr="003B20F8">
        <w:trPr>
          <w:trHeight w:val="340"/>
        </w:trPr>
        <w:tc>
          <w:tcPr>
            <w:tcW w:w="402" w:type="pct"/>
            <w:vMerge/>
            <w:vAlign w:val="center"/>
          </w:tcPr>
          <w:p w:rsidR="006378E1" w:rsidRPr="003B20F8" w:rsidRDefault="006378E1">
            <w:pPr>
              <w:spacing w:line="240" w:lineRule="auto"/>
              <w:ind w:firstLineChars="0" w:firstLine="0"/>
              <w:jc w:val="center"/>
              <w:rPr>
                <w:sz w:val="21"/>
                <w:lang w:eastAsia="zh-CN"/>
              </w:rPr>
            </w:pPr>
          </w:p>
        </w:tc>
        <w:tc>
          <w:tcPr>
            <w:tcW w:w="317" w:type="pct"/>
            <w:vMerge/>
            <w:vAlign w:val="center"/>
          </w:tcPr>
          <w:p w:rsidR="006378E1" w:rsidRPr="003B20F8" w:rsidRDefault="006378E1">
            <w:pPr>
              <w:spacing w:line="240" w:lineRule="auto"/>
              <w:ind w:firstLineChars="0" w:firstLine="0"/>
              <w:jc w:val="center"/>
              <w:rPr>
                <w:sz w:val="21"/>
                <w:lang w:eastAsia="zh-CN"/>
              </w:rPr>
            </w:pPr>
          </w:p>
        </w:tc>
        <w:tc>
          <w:tcPr>
            <w:tcW w:w="690" w:type="pct"/>
            <w:gridSpan w:val="2"/>
            <w:vAlign w:val="center"/>
          </w:tcPr>
          <w:p w:rsidR="006378E1" w:rsidRPr="003B20F8" w:rsidRDefault="006378E1" w:rsidP="006378E1">
            <w:pPr>
              <w:pStyle w:val="TableParagraph"/>
              <w:rPr>
                <w:rFonts w:ascii="Times New Roman" w:hAnsi="Times New Roman" w:cs="Times New Roman"/>
                <w:sz w:val="21"/>
                <w:szCs w:val="21"/>
              </w:rPr>
            </w:pPr>
            <w:r w:rsidRPr="003B20F8">
              <w:rPr>
                <w:rFonts w:ascii="Times New Roman" w:hAnsi="Times New Roman" w:cs="Times New Roman" w:hint="eastAsia"/>
                <w:sz w:val="21"/>
                <w:szCs w:val="21"/>
              </w:rPr>
              <w:t>下游护坦</w:t>
            </w:r>
          </w:p>
        </w:tc>
        <w:tc>
          <w:tcPr>
            <w:tcW w:w="3591" w:type="pct"/>
            <w:vAlign w:val="center"/>
          </w:tcPr>
          <w:p w:rsidR="006378E1" w:rsidRPr="003B20F8" w:rsidRDefault="006378E1" w:rsidP="006378E1">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坝后近坝</w:t>
            </w:r>
            <w:r w:rsidRPr="003B20F8">
              <w:rPr>
                <w:rFonts w:ascii="Times New Roman" w:hAnsi="Times New Roman" w:cs="Times New Roman" w:hint="eastAsia"/>
                <w:sz w:val="21"/>
                <w:szCs w:val="21"/>
                <w:lang w:eastAsia="zh-CN"/>
              </w:rPr>
              <w:t>30m</w:t>
            </w:r>
            <w:r w:rsidRPr="003B20F8">
              <w:rPr>
                <w:rFonts w:ascii="Times New Roman" w:hAnsi="Times New Roman" w:cs="Times New Roman" w:hint="eastAsia"/>
                <w:sz w:val="21"/>
                <w:szCs w:val="21"/>
                <w:lang w:eastAsia="zh-CN"/>
              </w:rPr>
              <w:t>以内的河床部位设钢筋混凝土护坦，并采用锚筋锚固于河床基岩，护坦顶部高程</w:t>
            </w:r>
            <w:r w:rsidRPr="003B20F8">
              <w:rPr>
                <w:rFonts w:ascii="Times New Roman" w:hAnsi="Times New Roman" w:cs="Times New Roman" w:hint="eastAsia"/>
                <w:sz w:val="21"/>
                <w:szCs w:val="21"/>
                <w:lang w:eastAsia="zh-CN"/>
              </w:rPr>
              <w:t>993.0m</w:t>
            </w:r>
            <w:r w:rsidRPr="003B20F8">
              <w:rPr>
                <w:rFonts w:ascii="Times New Roman" w:hAnsi="Times New Roman" w:cs="Times New Roman" w:hint="eastAsia"/>
                <w:sz w:val="21"/>
                <w:szCs w:val="21"/>
                <w:lang w:eastAsia="zh-CN"/>
              </w:rPr>
              <w:t>。</w:t>
            </w:r>
          </w:p>
        </w:tc>
      </w:tr>
      <w:tr w:rsidR="006378E1" w:rsidRPr="003B20F8">
        <w:trPr>
          <w:trHeight w:val="340"/>
        </w:trPr>
        <w:tc>
          <w:tcPr>
            <w:tcW w:w="402" w:type="pct"/>
            <w:vMerge/>
            <w:vAlign w:val="center"/>
          </w:tcPr>
          <w:p w:rsidR="006378E1" w:rsidRPr="003B20F8" w:rsidRDefault="006378E1">
            <w:pPr>
              <w:spacing w:line="240" w:lineRule="auto"/>
              <w:ind w:firstLineChars="0" w:firstLine="0"/>
              <w:jc w:val="center"/>
              <w:rPr>
                <w:sz w:val="21"/>
                <w:lang w:eastAsia="zh-CN"/>
              </w:rPr>
            </w:pPr>
          </w:p>
        </w:tc>
        <w:tc>
          <w:tcPr>
            <w:tcW w:w="317" w:type="pct"/>
            <w:vMerge/>
            <w:vAlign w:val="center"/>
          </w:tcPr>
          <w:p w:rsidR="006378E1" w:rsidRPr="003B20F8" w:rsidRDefault="006378E1">
            <w:pPr>
              <w:spacing w:line="240" w:lineRule="auto"/>
              <w:ind w:firstLineChars="0" w:firstLine="0"/>
              <w:jc w:val="center"/>
              <w:rPr>
                <w:sz w:val="21"/>
                <w:lang w:eastAsia="zh-CN"/>
              </w:rPr>
            </w:pPr>
          </w:p>
        </w:tc>
        <w:tc>
          <w:tcPr>
            <w:tcW w:w="690" w:type="pct"/>
            <w:gridSpan w:val="2"/>
            <w:vAlign w:val="center"/>
          </w:tcPr>
          <w:p w:rsidR="006378E1" w:rsidRPr="003B20F8" w:rsidRDefault="006378E1" w:rsidP="006378E1">
            <w:pPr>
              <w:pStyle w:val="TableParagraph"/>
              <w:rPr>
                <w:rFonts w:ascii="Times New Roman" w:hAnsi="Times New Roman" w:cs="Times New Roman"/>
                <w:sz w:val="21"/>
                <w:szCs w:val="21"/>
              </w:rPr>
            </w:pPr>
            <w:r w:rsidRPr="003B20F8">
              <w:rPr>
                <w:rFonts w:ascii="Times New Roman" w:hAnsi="Times New Roman" w:cs="Times New Roman" w:hint="eastAsia"/>
                <w:sz w:val="21"/>
                <w:szCs w:val="21"/>
              </w:rPr>
              <w:t>二道坝工程</w:t>
            </w:r>
          </w:p>
        </w:tc>
        <w:tc>
          <w:tcPr>
            <w:tcW w:w="3591" w:type="pct"/>
            <w:vAlign w:val="center"/>
          </w:tcPr>
          <w:p w:rsidR="006378E1" w:rsidRPr="003B20F8" w:rsidRDefault="006378E1" w:rsidP="006378E1">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在大坝下游、距溢流堰挑流鼻坎</w:t>
            </w:r>
            <w:r w:rsidRPr="003B20F8">
              <w:rPr>
                <w:rFonts w:ascii="Times New Roman" w:hAnsi="Times New Roman" w:cs="Times New Roman" w:hint="eastAsia"/>
                <w:sz w:val="21"/>
                <w:szCs w:val="21"/>
                <w:lang w:eastAsia="zh-CN"/>
              </w:rPr>
              <w:t>80m</w:t>
            </w:r>
            <w:r w:rsidRPr="003B20F8">
              <w:rPr>
                <w:rFonts w:ascii="Times New Roman" w:hAnsi="Times New Roman" w:cs="Times New Roman" w:hint="eastAsia"/>
                <w:sz w:val="21"/>
                <w:szCs w:val="21"/>
                <w:lang w:eastAsia="zh-CN"/>
              </w:rPr>
              <w:t>处设置二道坝，二道坝采用重力坝形式，坝顶高程</w:t>
            </w:r>
            <w:r w:rsidRPr="003B20F8">
              <w:rPr>
                <w:rFonts w:ascii="Times New Roman" w:hAnsi="Times New Roman" w:cs="Times New Roman" w:hint="eastAsia"/>
                <w:sz w:val="21"/>
                <w:szCs w:val="21"/>
                <w:lang w:eastAsia="zh-CN"/>
              </w:rPr>
              <w:t>988.0m</w:t>
            </w:r>
            <w:r w:rsidRPr="003B20F8">
              <w:rPr>
                <w:rFonts w:ascii="Times New Roman" w:hAnsi="Times New Roman" w:cs="Times New Roman" w:hint="eastAsia"/>
                <w:sz w:val="21"/>
                <w:szCs w:val="21"/>
                <w:lang w:eastAsia="zh-CN"/>
              </w:rPr>
              <w:t>，建基面高程</w:t>
            </w:r>
            <w:r w:rsidRPr="003B20F8">
              <w:rPr>
                <w:rFonts w:ascii="Times New Roman" w:hAnsi="Times New Roman" w:cs="Times New Roman" w:hint="eastAsia"/>
                <w:sz w:val="21"/>
                <w:szCs w:val="21"/>
                <w:lang w:eastAsia="zh-CN"/>
              </w:rPr>
              <w:t>978.0m</w:t>
            </w:r>
            <w:r w:rsidRPr="003B20F8">
              <w:rPr>
                <w:rFonts w:ascii="Times New Roman" w:hAnsi="Times New Roman" w:cs="Times New Roman" w:hint="eastAsia"/>
                <w:sz w:val="21"/>
                <w:szCs w:val="21"/>
                <w:lang w:eastAsia="zh-CN"/>
              </w:rPr>
              <w:t>，最大坝高</w:t>
            </w:r>
            <w:r w:rsidRPr="003B20F8">
              <w:rPr>
                <w:rFonts w:ascii="Times New Roman" w:hAnsi="Times New Roman" w:cs="Times New Roman" w:hint="eastAsia"/>
                <w:sz w:val="21"/>
                <w:szCs w:val="21"/>
                <w:lang w:eastAsia="zh-CN"/>
              </w:rPr>
              <w:t>10m</w:t>
            </w:r>
            <w:r w:rsidRPr="003B20F8">
              <w:rPr>
                <w:rFonts w:ascii="Times New Roman" w:hAnsi="Times New Roman" w:cs="Times New Roman" w:hint="eastAsia"/>
                <w:sz w:val="21"/>
                <w:szCs w:val="21"/>
                <w:lang w:eastAsia="zh-CN"/>
              </w:rPr>
              <w:t>，顶宽</w:t>
            </w:r>
            <w:r w:rsidRPr="003B20F8">
              <w:rPr>
                <w:rFonts w:ascii="Times New Roman" w:hAnsi="Times New Roman" w:cs="Times New Roman" w:hint="eastAsia"/>
                <w:sz w:val="21"/>
                <w:szCs w:val="21"/>
                <w:lang w:eastAsia="zh-CN"/>
              </w:rPr>
              <w:t>5.0m</w:t>
            </w:r>
            <w:r w:rsidRPr="003B20F8">
              <w:rPr>
                <w:rFonts w:ascii="Times New Roman" w:hAnsi="Times New Roman" w:cs="Times New Roman" w:hint="eastAsia"/>
                <w:sz w:val="21"/>
                <w:szCs w:val="21"/>
                <w:lang w:eastAsia="zh-CN"/>
              </w:rPr>
              <w:t>，底宽</w:t>
            </w:r>
            <w:r w:rsidRPr="003B20F8">
              <w:rPr>
                <w:rFonts w:ascii="Times New Roman" w:hAnsi="Times New Roman" w:cs="Times New Roman" w:hint="eastAsia"/>
                <w:sz w:val="21"/>
                <w:szCs w:val="21"/>
                <w:lang w:eastAsia="zh-CN"/>
              </w:rPr>
              <w:t>12.5m</w:t>
            </w:r>
            <w:r w:rsidRPr="003B20F8">
              <w:rPr>
                <w:rFonts w:ascii="Times New Roman" w:hAnsi="Times New Roman" w:cs="Times New Roman" w:hint="eastAsia"/>
                <w:sz w:val="21"/>
                <w:szCs w:val="21"/>
                <w:lang w:eastAsia="zh-CN"/>
              </w:rPr>
              <w:t>，</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317" w:type="pct"/>
            <w:vMerge w:val="restart"/>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w w:val="95"/>
                <w:sz w:val="21"/>
                <w:szCs w:val="21"/>
              </w:rPr>
              <w:t>输水工程</w:t>
            </w:r>
          </w:p>
        </w:tc>
        <w:tc>
          <w:tcPr>
            <w:tcW w:w="690" w:type="pct"/>
            <w:gridSpan w:val="2"/>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引水建筑物</w:t>
            </w:r>
          </w:p>
        </w:tc>
        <w:tc>
          <w:tcPr>
            <w:tcW w:w="3591" w:type="pct"/>
            <w:vAlign w:val="center"/>
          </w:tcPr>
          <w:p w:rsidR="006175A6" w:rsidRPr="003B20F8" w:rsidRDefault="006378E1" w:rsidP="006378E1">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放空管中心高程</w:t>
            </w:r>
            <w:r w:rsidRPr="003B20F8">
              <w:rPr>
                <w:rFonts w:ascii="Times New Roman" w:hAnsi="Times New Roman" w:cs="Times New Roman" w:hint="eastAsia"/>
                <w:sz w:val="21"/>
                <w:szCs w:val="21"/>
                <w:lang w:eastAsia="zh-CN"/>
              </w:rPr>
              <w:t>1000.00</w:t>
            </w:r>
            <w:r w:rsidRPr="003B20F8">
              <w:rPr>
                <w:rFonts w:ascii="Times New Roman" w:hAnsi="Times New Roman" w:cs="Times New Roman" w:hint="eastAsia"/>
                <w:sz w:val="21"/>
                <w:szCs w:val="21"/>
                <w:lang w:eastAsia="zh-CN"/>
              </w:rPr>
              <w:t>，放空管直径</w:t>
            </w:r>
            <w:r w:rsidRPr="003B20F8">
              <w:rPr>
                <w:rFonts w:ascii="Times New Roman" w:hAnsi="Times New Roman" w:cs="Times New Roman" w:hint="eastAsia"/>
                <w:sz w:val="21"/>
                <w:szCs w:val="21"/>
                <w:lang w:eastAsia="zh-CN"/>
              </w:rPr>
              <w:t>1.0m</w:t>
            </w:r>
            <w:r w:rsidRPr="003B20F8">
              <w:rPr>
                <w:rFonts w:ascii="Times New Roman" w:hAnsi="Times New Roman" w:cs="Times New Roman" w:hint="eastAsia"/>
                <w:sz w:val="21"/>
                <w:szCs w:val="21"/>
                <w:lang w:eastAsia="zh-CN"/>
              </w:rPr>
              <w:t>，全长</w:t>
            </w:r>
            <w:r w:rsidRPr="003B20F8">
              <w:rPr>
                <w:rFonts w:ascii="Times New Roman" w:hAnsi="Times New Roman" w:cs="Times New Roman" w:hint="eastAsia"/>
                <w:sz w:val="21"/>
                <w:szCs w:val="21"/>
                <w:lang w:eastAsia="zh-CN"/>
              </w:rPr>
              <w:t>22.0m</w:t>
            </w:r>
            <w:r w:rsidRPr="003B20F8">
              <w:rPr>
                <w:rFonts w:ascii="Times New Roman" w:hAnsi="Times New Roman" w:cs="Times New Roman" w:hint="eastAsia"/>
                <w:sz w:val="21"/>
                <w:szCs w:val="21"/>
                <w:lang w:eastAsia="zh-CN"/>
              </w:rPr>
              <w:t>，进口设置拦污栅罩，出口设置一座闸阀和一座锥阀</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317" w:type="pct"/>
            <w:vMerge/>
            <w:vAlign w:val="center"/>
          </w:tcPr>
          <w:p w:rsidR="006175A6" w:rsidRPr="003B20F8" w:rsidRDefault="006175A6">
            <w:pPr>
              <w:spacing w:line="240" w:lineRule="auto"/>
              <w:ind w:firstLineChars="0" w:firstLine="0"/>
              <w:jc w:val="center"/>
              <w:rPr>
                <w:sz w:val="21"/>
                <w:lang w:eastAsia="zh-CN"/>
              </w:rPr>
            </w:pPr>
          </w:p>
        </w:tc>
        <w:tc>
          <w:tcPr>
            <w:tcW w:w="690" w:type="pct"/>
            <w:gridSpan w:val="2"/>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输水建筑物</w:t>
            </w:r>
          </w:p>
        </w:tc>
        <w:tc>
          <w:tcPr>
            <w:tcW w:w="3591" w:type="pct"/>
            <w:vAlign w:val="center"/>
          </w:tcPr>
          <w:p w:rsidR="006175A6" w:rsidRPr="003B20F8" w:rsidRDefault="006378E1" w:rsidP="006378E1">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输水工程进水口位于大坝有岸上游</w:t>
            </w:r>
            <w:r w:rsidRPr="003B20F8">
              <w:rPr>
                <w:rFonts w:ascii="Times New Roman" w:hAnsi="Times New Roman" w:cs="Times New Roman" w:hint="eastAsia"/>
                <w:sz w:val="21"/>
                <w:szCs w:val="21"/>
                <w:lang w:eastAsia="zh-CN"/>
              </w:rPr>
              <w:t>35m</w:t>
            </w:r>
            <w:r w:rsidRPr="003B20F8">
              <w:rPr>
                <w:rFonts w:ascii="Times New Roman" w:hAnsi="Times New Roman" w:cs="Times New Roman" w:hint="eastAsia"/>
                <w:sz w:val="21"/>
                <w:szCs w:val="21"/>
                <w:lang w:eastAsia="zh-CN"/>
              </w:rPr>
              <w:t>处，采用岸坡塔式进水口，进水口底板高程</w:t>
            </w:r>
            <w:r w:rsidRPr="003B20F8">
              <w:rPr>
                <w:rFonts w:ascii="Times New Roman" w:hAnsi="Times New Roman" w:cs="Times New Roman" w:hint="eastAsia"/>
                <w:sz w:val="21"/>
                <w:szCs w:val="21"/>
                <w:lang w:eastAsia="zh-CN"/>
              </w:rPr>
              <w:t>1011.4m</w:t>
            </w:r>
            <w:r w:rsidRPr="003B20F8">
              <w:rPr>
                <w:rFonts w:ascii="Times New Roman" w:hAnsi="Times New Roman" w:cs="Times New Roman" w:hint="eastAsia"/>
                <w:sz w:val="21"/>
                <w:szCs w:val="21"/>
                <w:lang w:eastAsia="zh-CN"/>
              </w:rPr>
              <w:t>，死水位</w:t>
            </w:r>
            <w:r w:rsidRPr="003B20F8">
              <w:rPr>
                <w:rFonts w:ascii="Times New Roman" w:hAnsi="Times New Roman" w:cs="Times New Roman" w:hint="eastAsia"/>
                <w:sz w:val="21"/>
                <w:szCs w:val="21"/>
                <w:lang w:eastAsia="zh-CN"/>
              </w:rPr>
              <w:t>1013.0m</w:t>
            </w:r>
            <w:r w:rsidRPr="003B20F8">
              <w:rPr>
                <w:rFonts w:ascii="Times New Roman" w:hAnsi="Times New Roman" w:cs="Times New Roman" w:hint="eastAsia"/>
                <w:sz w:val="21"/>
                <w:szCs w:val="21"/>
                <w:lang w:eastAsia="zh-CN"/>
              </w:rPr>
              <w:t>。启闭机室启闭机室高程为</w:t>
            </w:r>
            <w:r w:rsidRPr="003B20F8">
              <w:rPr>
                <w:rFonts w:ascii="Times New Roman" w:hAnsi="Times New Roman" w:cs="Times New Roman" w:hint="eastAsia"/>
                <w:sz w:val="21"/>
                <w:szCs w:val="21"/>
                <w:lang w:eastAsia="zh-CN"/>
              </w:rPr>
              <w:t>1061.0m</w:t>
            </w:r>
            <w:r w:rsidRPr="003B20F8">
              <w:rPr>
                <w:rFonts w:ascii="Times New Roman" w:hAnsi="Times New Roman" w:cs="Times New Roman" w:hint="eastAsia"/>
                <w:sz w:val="21"/>
                <w:szCs w:val="21"/>
                <w:lang w:eastAsia="zh-CN"/>
              </w:rPr>
              <w:t>，进水口方向，与河道轴线成</w:t>
            </w:r>
            <w:r w:rsidRPr="003B20F8">
              <w:rPr>
                <w:rFonts w:ascii="Times New Roman" w:hAnsi="Times New Roman" w:cs="Times New Roman" w:hint="eastAsia"/>
                <w:sz w:val="21"/>
                <w:szCs w:val="21"/>
                <w:lang w:eastAsia="zh-CN"/>
              </w:rPr>
              <w:t>58</w:t>
            </w:r>
            <w:r w:rsidRPr="003B20F8">
              <w:rPr>
                <w:rFonts w:ascii="Times New Roman" w:hAnsi="Times New Roman" w:cs="Times New Roman" w:hint="eastAsia"/>
                <w:sz w:val="21"/>
                <w:szCs w:val="21"/>
                <w:lang w:eastAsia="zh-CN"/>
              </w:rPr>
              <w:t>°夹角。进水口采用两层取水方式，第一层高程为</w:t>
            </w:r>
            <w:r w:rsidRPr="003B20F8">
              <w:rPr>
                <w:rFonts w:ascii="Times New Roman" w:hAnsi="Times New Roman" w:cs="Times New Roman" w:hint="eastAsia"/>
                <w:sz w:val="21"/>
                <w:szCs w:val="21"/>
                <w:lang w:eastAsia="zh-CN"/>
              </w:rPr>
              <w:t>1011.40</w:t>
            </w:r>
            <w:r w:rsidRPr="003B20F8">
              <w:rPr>
                <w:rFonts w:ascii="Times New Roman" w:hAnsi="Times New Roman" w:cs="Times New Roman" w:hint="eastAsia"/>
                <w:sz w:val="21"/>
                <w:szCs w:val="21"/>
                <w:lang w:eastAsia="zh-CN"/>
              </w:rPr>
              <w:t>，第二层高程为</w:t>
            </w:r>
            <w:r w:rsidRPr="003B20F8">
              <w:rPr>
                <w:rFonts w:ascii="Times New Roman" w:hAnsi="Times New Roman" w:cs="Times New Roman" w:hint="eastAsia"/>
                <w:sz w:val="21"/>
                <w:szCs w:val="21"/>
                <w:lang w:eastAsia="zh-CN"/>
              </w:rPr>
              <w:t>1021.40m</w:t>
            </w:r>
            <w:r w:rsidRPr="003B20F8">
              <w:rPr>
                <w:rFonts w:ascii="Times New Roman" w:hAnsi="Times New Roman" w:cs="Times New Roman" w:hint="eastAsia"/>
                <w:sz w:val="21"/>
                <w:szCs w:val="21"/>
                <w:lang w:eastAsia="zh-CN"/>
              </w:rPr>
              <w:t>。</w:t>
            </w:r>
          </w:p>
        </w:tc>
      </w:tr>
      <w:tr w:rsidR="006175A6" w:rsidRPr="003B20F8">
        <w:trPr>
          <w:trHeight w:val="340"/>
        </w:trPr>
        <w:tc>
          <w:tcPr>
            <w:tcW w:w="402" w:type="pct"/>
            <w:vMerge w:val="restart"/>
            <w:vAlign w:val="center"/>
          </w:tcPr>
          <w:p w:rsidR="006175A6" w:rsidRPr="003B20F8" w:rsidRDefault="006175A6">
            <w:pPr>
              <w:pStyle w:val="TableParagraph"/>
              <w:rPr>
                <w:rFonts w:ascii="Times New Roman" w:hAnsi="Times New Roman" w:cs="Times New Roman"/>
                <w:sz w:val="21"/>
                <w:szCs w:val="21"/>
                <w:lang w:eastAsia="zh-CN"/>
              </w:rPr>
            </w:pPr>
          </w:p>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临时工程</w:t>
            </w: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办公、生活营地</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建筑面积</w:t>
            </w:r>
            <w:r w:rsidRPr="003B20F8">
              <w:rPr>
                <w:rFonts w:ascii="Times New Roman" w:eastAsia="Times New Roman" w:hAnsi="Times New Roman" w:cs="Times New Roman"/>
                <w:sz w:val="21"/>
                <w:szCs w:val="21"/>
                <w:lang w:eastAsia="zh-CN"/>
              </w:rPr>
              <w:t>500m</w:t>
            </w:r>
            <w:r w:rsidRPr="003B20F8">
              <w:rPr>
                <w:rFonts w:ascii="Times New Roman" w:eastAsia="Times New Roman" w:hAnsi="Times New Roman" w:cs="Times New Roman"/>
                <w:position w:val="7"/>
                <w:sz w:val="21"/>
                <w:szCs w:val="21"/>
                <w:vertAlign w:val="superscript"/>
                <w:lang w:eastAsia="zh-CN"/>
              </w:rPr>
              <w:t>2</w:t>
            </w:r>
            <w:r w:rsidRPr="003B20F8">
              <w:rPr>
                <w:rFonts w:ascii="Times New Roman" w:hAnsi="Times New Roman" w:cs="Times New Roman"/>
                <w:sz w:val="21"/>
                <w:szCs w:val="21"/>
                <w:lang w:eastAsia="zh-CN"/>
              </w:rPr>
              <w:t>、占地面积</w:t>
            </w:r>
            <w:r w:rsidRPr="003B20F8">
              <w:rPr>
                <w:rFonts w:ascii="Times New Roman" w:eastAsia="Times New Roman" w:hAnsi="Times New Roman" w:cs="Times New Roman"/>
                <w:sz w:val="21"/>
                <w:szCs w:val="21"/>
                <w:lang w:eastAsia="zh-CN"/>
              </w:rPr>
              <w:t>750m</w:t>
            </w:r>
            <w:r w:rsidRPr="003B20F8">
              <w:rPr>
                <w:rFonts w:ascii="Times New Roman" w:eastAsia="Times New Roman" w:hAnsi="Times New Roman" w:cs="Times New Roman"/>
                <w:position w:val="7"/>
                <w:sz w:val="21"/>
                <w:szCs w:val="21"/>
                <w:vertAlign w:val="superscript"/>
                <w:lang w:eastAsia="zh-CN"/>
              </w:rPr>
              <w:t>2</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拌合系统</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拌和站设置在大坝下游左岸，主要供应大坝、溢洪道、导流洞等坝区建筑物，占地面积</w:t>
            </w:r>
            <w:r w:rsidRPr="003B20F8">
              <w:rPr>
                <w:rFonts w:ascii="Times New Roman" w:eastAsia="Times New Roman" w:hAnsi="Times New Roman" w:cs="Times New Roman"/>
                <w:sz w:val="21"/>
                <w:szCs w:val="21"/>
                <w:lang w:eastAsia="zh-CN"/>
              </w:rPr>
              <w:t>600m</w:t>
            </w:r>
            <w:r w:rsidRPr="003B20F8">
              <w:rPr>
                <w:rFonts w:ascii="Times New Roman" w:eastAsia="Times New Roman" w:hAnsi="Times New Roman" w:cs="Times New Roman"/>
                <w:position w:val="7"/>
                <w:sz w:val="21"/>
                <w:szCs w:val="21"/>
                <w:vertAlign w:val="superscript"/>
                <w:lang w:eastAsia="zh-CN"/>
              </w:rPr>
              <w:t>2</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砂石加工系统</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枢纽工程区</w:t>
            </w:r>
            <w:r w:rsidRPr="003B20F8">
              <w:rPr>
                <w:rFonts w:ascii="Times New Roman" w:eastAsia="Times New Roman" w:hAnsi="Times New Roman" w:cs="Times New Roman"/>
                <w:sz w:val="21"/>
                <w:szCs w:val="21"/>
                <w:lang w:eastAsia="zh-CN"/>
              </w:rPr>
              <w:t>1</w:t>
            </w:r>
            <w:r w:rsidRPr="003B20F8">
              <w:rPr>
                <w:rFonts w:ascii="Times New Roman" w:hAnsi="Times New Roman" w:cs="Times New Roman"/>
                <w:sz w:val="21"/>
                <w:szCs w:val="21"/>
                <w:lang w:eastAsia="zh-CN"/>
              </w:rPr>
              <w:t>个，占地面积</w:t>
            </w:r>
            <w:r w:rsidRPr="003B20F8">
              <w:rPr>
                <w:rFonts w:ascii="Times New Roman" w:eastAsia="Times New Roman" w:hAnsi="Times New Roman" w:cs="Times New Roman"/>
                <w:sz w:val="21"/>
                <w:szCs w:val="21"/>
                <w:lang w:eastAsia="zh-CN"/>
              </w:rPr>
              <w:t>2000m</w:t>
            </w:r>
            <w:r w:rsidRPr="003B20F8">
              <w:rPr>
                <w:rFonts w:ascii="Times New Roman" w:eastAsia="Times New Roman" w:hAnsi="Times New Roman" w:cs="Times New Roman"/>
                <w:position w:val="7"/>
                <w:sz w:val="21"/>
                <w:szCs w:val="21"/>
                <w:vertAlign w:val="superscript"/>
                <w:lang w:eastAsia="zh-CN"/>
              </w:rPr>
              <w:t>2</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施工水池</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在左岸山坡上</w:t>
            </w:r>
            <w:r w:rsidRPr="003B20F8">
              <w:rPr>
                <w:rFonts w:ascii="Times New Roman" w:eastAsia="Times New Roman" w:hAnsi="Times New Roman" w:cs="Times New Roman"/>
                <w:sz w:val="21"/>
                <w:szCs w:val="21"/>
                <w:lang w:eastAsia="zh-CN"/>
              </w:rPr>
              <w:t>1260m</w:t>
            </w:r>
            <w:r w:rsidRPr="003B20F8">
              <w:rPr>
                <w:rFonts w:ascii="Times New Roman" w:hAnsi="Times New Roman" w:cs="Times New Roman"/>
                <w:sz w:val="21"/>
                <w:szCs w:val="21"/>
                <w:lang w:eastAsia="zh-CN"/>
              </w:rPr>
              <w:t>高程修建水池，从上游围堰前取水，主要供应混凝土拌和系统、大坝及溢洪道混凝土养护用水，抽水机扬程</w:t>
            </w:r>
            <w:r w:rsidRPr="003B20F8">
              <w:rPr>
                <w:rFonts w:ascii="Times New Roman" w:eastAsia="Times New Roman" w:hAnsi="Times New Roman" w:cs="Times New Roman"/>
                <w:sz w:val="21"/>
                <w:szCs w:val="21"/>
                <w:lang w:eastAsia="zh-CN"/>
              </w:rPr>
              <w:t>40m</w:t>
            </w:r>
            <w:r w:rsidRPr="003B20F8">
              <w:rPr>
                <w:rFonts w:ascii="Times New Roman" w:hAnsi="Times New Roman" w:cs="Times New Roman"/>
                <w:sz w:val="21"/>
                <w:szCs w:val="21"/>
                <w:lang w:eastAsia="zh-CN"/>
              </w:rPr>
              <w:t>，</w:t>
            </w:r>
            <w:r w:rsidRPr="003B20F8">
              <w:rPr>
                <w:rFonts w:ascii="Times New Roman" w:hAnsi="Times New Roman" w:cs="Times New Roman"/>
                <w:sz w:val="21"/>
                <w:szCs w:val="21"/>
                <w:lang w:eastAsia="zh-CN"/>
              </w:rPr>
              <w:lastRenderedPageBreak/>
              <w:t>流量</w:t>
            </w:r>
            <w:r w:rsidRPr="003B20F8">
              <w:rPr>
                <w:rFonts w:ascii="Times New Roman" w:eastAsia="Times New Roman" w:hAnsi="Times New Roman" w:cs="Times New Roman"/>
                <w:sz w:val="21"/>
                <w:szCs w:val="21"/>
                <w:lang w:eastAsia="zh-CN"/>
              </w:rPr>
              <w:t>50m</w:t>
            </w:r>
            <w:r w:rsidRPr="003B20F8">
              <w:rPr>
                <w:rFonts w:ascii="Times New Roman" w:eastAsia="Times New Roman" w:hAnsi="Times New Roman" w:cs="Times New Roman"/>
                <w:position w:val="7"/>
                <w:sz w:val="21"/>
                <w:szCs w:val="21"/>
                <w:vertAlign w:val="superscript"/>
                <w:lang w:eastAsia="zh-CN"/>
              </w:rPr>
              <w:t>3</w:t>
            </w:r>
            <w:r w:rsidRPr="003B20F8">
              <w:rPr>
                <w:rFonts w:ascii="Times New Roman" w:eastAsia="Times New Roman" w:hAnsi="Times New Roman" w:cs="Times New Roman"/>
                <w:sz w:val="21"/>
                <w:szCs w:val="21"/>
                <w:lang w:eastAsia="zh-CN"/>
              </w:rPr>
              <w:t>/h</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渣场</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设</w:t>
            </w:r>
            <w:r w:rsidRPr="003B20F8">
              <w:rPr>
                <w:rFonts w:ascii="Times New Roman" w:eastAsia="Times New Roman" w:hAnsi="Times New Roman" w:cs="Times New Roman"/>
                <w:sz w:val="21"/>
                <w:szCs w:val="21"/>
                <w:lang w:eastAsia="zh-CN"/>
              </w:rPr>
              <w:t>1</w:t>
            </w:r>
            <w:r w:rsidRPr="003B20F8">
              <w:rPr>
                <w:rFonts w:ascii="Times New Roman" w:hAnsi="Times New Roman" w:cs="Times New Roman"/>
                <w:sz w:val="21"/>
                <w:szCs w:val="21"/>
                <w:lang w:eastAsia="zh-CN"/>
              </w:rPr>
              <w:t>个，位于坝址下游</w:t>
            </w:r>
            <w:r w:rsidRPr="003B20F8">
              <w:rPr>
                <w:rFonts w:ascii="Times New Roman" w:eastAsia="Times New Roman" w:hAnsi="Times New Roman" w:cs="Times New Roman"/>
                <w:sz w:val="21"/>
                <w:szCs w:val="21"/>
                <w:lang w:eastAsia="zh-CN"/>
              </w:rPr>
              <w:t>6km</w:t>
            </w:r>
            <w:r w:rsidRPr="003B20F8">
              <w:rPr>
                <w:rFonts w:ascii="Times New Roman" w:hAnsi="Times New Roman" w:cs="Times New Roman"/>
                <w:sz w:val="21"/>
                <w:szCs w:val="21"/>
                <w:lang w:eastAsia="zh-CN"/>
              </w:rPr>
              <w:t>处，用于堆放坝基开挖弃料、围堰拆除开挖弃料，占地面积</w:t>
            </w:r>
            <w:r w:rsidRPr="003B20F8">
              <w:rPr>
                <w:rFonts w:ascii="Times New Roman" w:eastAsia="Times New Roman" w:hAnsi="Times New Roman" w:cs="Times New Roman"/>
                <w:sz w:val="21"/>
                <w:szCs w:val="21"/>
                <w:lang w:eastAsia="zh-CN"/>
              </w:rPr>
              <w:t>5000m</w:t>
            </w:r>
            <w:r w:rsidRPr="003B20F8">
              <w:rPr>
                <w:rFonts w:ascii="Times New Roman" w:eastAsia="Times New Roman" w:hAnsi="Times New Roman" w:cs="Times New Roman"/>
                <w:position w:val="7"/>
                <w:sz w:val="21"/>
                <w:szCs w:val="21"/>
                <w:vertAlign w:val="superscript"/>
                <w:lang w:eastAsia="zh-CN"/>
              </w:rPr>
              <w:t>2</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临时堆土场</w:t>
            </w:r>
          </w:p>
        </w:tc>
        <w:tc>
          <w:tcPr>
            <w:tcW w:w="3591" w:type="pct"/>
            <w:vAlign w:val="center"/>
          </w:tcPr>
          <w:p w:rsidR="006175A6" w:rsidRPr="003B20F8" w:rsidRDefault="009B4BA7">
            <w:pPr>
              <w:pStyle w:val="TableParagraph"/>
              <w:rPr>
                <w:rFonts w:ascii="Times New Roman" w:eastAsia="Times New Roman" w:hAnsi="Times New Roman" w:cs="Times New Roman"/>
                <w:sz w:val="21"/>
                <w:szCs w:val="21"/>
                <w:lang w:eastAsia="zh-CN"/>
              </w:rPr>
            </w:pPr>
            <w:r w:rsidRPr="003B20F8">
              <w:rPr>
                <w:rFonts w:ascii="Times New Roman" w:hAnsi="Times New Roman" w:cs="Times New Roman"/>
                <w:sz w:val="21"/>
                <w:szCs w:val="21"/>
                <w:lang w:eastAsia="zh-CN"/>
              </w:rPr>
              <w:t>共有</w:t>
            </w:r>
            <w:r w:rsidRPr="003B20F8">
              <w:rPr>
                <w:rFonts w:ascii="Times New Roman" w:eastAsia="Times New Roman" w:hAnsi="Times New Roman" w:cs="Times New Roman"/>
                <w:sz w:val="21"/>
                <w:szCs w:val="21"/>
                <w:lang w:eastAsia="zh-CN"/>
              </w:rPr>
              <w:t>1</w:t>
            </w:r>
            <w:r w:rsidRPr="003B20F8">
              <w:rPr>
                <w:rFonts w:ascii="Times New Roman" w:hAnsi="Times New Roman" w:cs="Times New Roman"/>
                <w:sz w:val="21"/>
                <w:szCs w:val="21"/>
                <w:lang w:eastAsia="zh-CN"/>
              </w:rPr>
              <w:t>处，位于大坝左岸，用于堆放坝区及施工道路开挖前剥离的表土，占地面积</w:t>
            </w:r>
            <w:r w:rsidRPr="003B20F8">
              <w:rPr>
                <w:rFonts w:ascii="Times New Roman" w:eastAsia="Times New Roman" w:hAnsi="Times New Roman" w:cs="Times New Roman"/>
                <w:sz w:val="21"/>
                <w:szCs w:val="21"/>
                <w:lang w:eastAsia="zh-CN"/>
              </w:rPr>
              <w:t>1000m</w:t>
            </w:r>
            <w:r w:rsidRPr="003B20F8">
              <w:rPr>
                <w:rFonts w:ascii="Times New Roman" w:eastAsia="Times New Roman" w:hAnsi="Times New Roman" w:cs="Times New Roman"/>
                <w:position w:val="7"/>
                <w:sz w:val="21"/>
                <w:szCs w:val="21"/>
                <w:vertAlign w:val="superscript"/>
                <w:lang w:eastAsia="zh-CN"/>
              </w:rPr>
              <w:t>2</w:t>
            </w:r>
          </w:p>
        </w:tc>
      </w:tr>
      <w:tr w:rsidR="006175A6" w:rsidRPr="003B20F8">
        <w:trPr>
          <w:trHeight w:val="340"/>
        </w:trPr>
        <w:tc>
          <w:tcPr>
            <w:tcW w:w="402" w:type="pct"/>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pacing w:val="-1"/>
                <w:w w:val="95"/>
                <w:sz w:val="21"/>
                <w:szCs w:val="21"/>
              </w:rPr>
              <w:t>辅助工程</w:t>
            </w: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库区管理房</w:t>
            </w:r>
          </w:p>
        </w:tc>
        <w:tc>
          <w:tcPr>
            <w:tcW w:w="3591" w:type="pct"/>
            <w:vAlign w:val="center"/>
          </w:tcPr>
          <w:p w:rsidR="006175A6" w:rsidRPr="003B20F8" w:rsidRDefault="003C709B">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布置在坝下游约</w:t>
            </w:r>
            <w:r w:rsidRPr="003B20F8">
              <w:rPr>
                <w:rFonts w:ascii="Times New Roman" w:hAnsi="Times New Roman" w:cs="Times New Roman" w:hint="eastAsia"/>
                <w:sz w:val="21"/>
                <w:szCs w:val="21"/>
                <w:lang w:eastAsia="zh-CN"/>
              </w:rPr>
              <w:t>800m</w:t>
            </w:r>
            <w:r w:rsidRPr="003B20F8">
              <w:rPr>
                <w:rFonts w:ascii="Times New Roman" w:hAnsi="Times New Roman" w:cs="Times New Roman" w:hint="eastAsia"/>
                <w:sz w:val="21"/>
                <w:szCs w:val="21"/>
                <w:lang w:eastAsia="zh-CN"/>
              </w:rPr>
              <w:t>处，总面积</w:t>
            </w:r>
            <w:r w:rsidRPr="003B20F8">
              <w:rPr>
                <w:rFonts w:ascii="Times New Roman" w:hAnsi="Times New Roman" w:cs="Times New Roman" w:hint="eastAsia"/>
                <w:sz w:val="21"/>
                <w:szCs w:val="21"/>
                <w:lang w:eastAsia="zh-CN"/>
              </w:rPr>
              <w:t>1500m</w:t>
            </w:r>
            <w:r w:rsidRPr="003B20F8">
              <w:rPr>
                <w:rFonts w:ascii="Times New Roman" w:hAnsi="Times New Roman" w:cs="Times New Roman" w:hint="eastAsia"/>
                <w:sz w:val="21"/>
                <w:szCs w:val="21"/>
                <w:vertAlign w:val="superscript"/>
                <w:lang w:eastAsia="zh-CN"/>
              </w:rPr>
              <w:t>2</w:t>
            </w:r>
            <w:r w:rsidRPr="003B20F8">
              <w:rPr>
                <w:rFonts w:ascii="Times New Roman" w:hAnsi="Times New Roman" w:cs="Times New Roman" w:hint="eastAsia"/>
                <w:sz w:val="21"/>
                <w:szCs w:val="21"/>
                <w:lang w:eastAsia="zh-CN"/>
              </w:rPr>
              <w:t>，</w:t>
            </w:r>
            <w:r w:rsidR="009B4BA7" w:rsidRPr="003B20F8">
              <w:rPr>
                <w:rFonts w:ascii="Times New Roman" w:hAnsi="Times New Roman" w:cs="Times New Roman"/>
                <w:sz w:val="21"/>
                <w:szCs w:val="21"/>
                <w:lang w:eastAsia="zh-CN"/>
              </w:rPr>
              <w:t>为营运期水库管理人员用房。</w:t>
            </w:r>
          </w:p>
        </w:tc>
      </w:tr>
      <w:tr w:rsidR="006175A6" w:rsidRPr="003B20F8">
        <w:trPr>
          <w:trHeight w:val="340"/>
        </w:trPr>
        <w:tc>
          <w:tcPr>
            <w:tcW w:w="402" w:type="pct"/>
            <w:vMerge w:val="restart"/>
            <w:vAlign w:val="center"/>
          </w:tcPr>
          <w:p w:rsidR="006175A6" w:rsidRPr="003B20F8" w:rsidRDefault="009B4BA7">
            <w:pPr>
              <w:spacing w:line="240" w:lineRule="auto"/>
              <w:ind w:firstLineChars="0" w:firstLine="0"/>
              <w:jc w:val="center"/>
              <w:rPr>
                <w:sz w:val="21"/>
              </w:rPr>
            </w:pPr>
            <w:r w:rsidRPr="003B20F8">
              <w:rPr>
                <w:sz w:val="21"/>
              </w:rPr>
              <w:t>公用工程</w:t>
            </w: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供电</w:t>
            </w:r>
          </w:p>
        </w:tc>
        <w:tc>
          <w:tcPr>
            <w:tcW w:w="3591" w:type="pct"/>
            <w:vAlign w:val="center"/>
          </w:tcPr>
          <w:p w:rsidR="006175A6" w:rsidRPr="003B20F8" w:rsidRDefault="009F3C45" w:rsidP="009F3C45">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供电来源分别来自黄粮变电站、维峰电站网络侧、门家河电站网络侧。通过</w:t>
            </w:r>
            <w:r w:rsidRPr="003B20F8">
              <w:rPr>
                <w:rFonts w:ascii="Times New Roman" w:hAnsi="Times New Roman" w:cs="Times New Roman" w:hint="eastAsia"/>
                <w:sz w:val="21"/>
                <w:szCs w:val="21"/>
                <w:lang w:eastAsia="zh-CN"/>
              </w:rPr>
              <w:t>10kv</w:t>
            </w:r>
            <w:r w:rsidRPr="003B20F8">
              <w:rPr>
                <w:rFonts w:ascii="Times New Roman" w:hAnsi="Times New Roman" w:cs="Times New Roman" w:hint="eastAsia"/>
                <w:sz w:val="21"/>
                <w:szCs w:val="21"/>
                <w:lang w:eastAsia="zh-CN"/>
              </w:rPr>
              <w:t>线路分别供引到大坝及各施工洞口。</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lang w:eastAsia="zh-CN"/>
              </w:rPr>
              <w:t>供</w:t>
            </w:r>
            <w:r w:rsidRPr="003B20F8">
              <w:rPr>
                <w:rFonts w:ascii="Times New Roman" w:hAnsi="Times New Roman" w:cs="Times New Roman"/>
                <w:sz w:val="21"/>
                <w:szCs w:val="21"/>
              </w:rPr>
              <w:t>水</w:t>
            </w:r>
          </w:p>
        </w:tc>
        <w:tc>
          <w:tcPr>
            <w:tcW w:w="3591" w:type="pct"/>
            <w:vAlign w:val="center"/>
          </w:tcPr>
          <w:p w:rsidR="006175A6" w:rsidRPr="003B20F8" w:rsidRDefault="009F3C45">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施工用水均可就近从高岚河直接抽取；在坝址上游围堰和厂址河段处各设一抽水设施可满足施工期供水要求</w:t>
            </w:r>
          </w:p>
        </w:tc>
      </w:tr>
      <w:tr w:rsidR="006175A6" w:rsidRPr="003B20F8">
        <w:trPr>
          <w:trHeight w:val="340"/>
        </w:trPr>
        <w:tc>
          <w:tcPr>
            <w:tcW w:w="402" w:type="pct"/>
            <w:vMerge w:val="restart"/>
            <w:vAlign w:val="center"/>
          </w:tcPr>
          <w:p w:rsidR="006175A6" w:rsidRPr="003B20F8" w:rsidRDefault="009B4BA7">
            <w:pPr>
              <w:spacing w:line="240" w:lineRule="auto"/>
              <w:ind w:firstLineChars="0" w:firstLine="0"/>
              <w:jc w:val="center"/>
              <w:rPr>
                <w:sz w:val="21"/>
              </w:rPr>
            </w:pPr>
            <w:r w:rsidRPr="003B20F8">
              <w:rPr>
                <w:sz w:val="21"/>
              </w:rPr>
              <w:t>储运工程</w:t>
            </w: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对外交通</w:t>
            </w:r>
          </w:p>
        </w:tc>
        <w:tc>
          <w:tcPr>
            <w:tcW w:w="3591" w:type="pct"/>
            <w:vAlign w:val="center"/>
          </w:tcPr>
          <w:p w:rsidR="006175A6" w:rsidRPr="003B20F8" w:rsidRDefault="009B4BA7" w:rsidP="009F3C45">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公路运输主要有</w:t>
            </w:r>
            <w:r w:rsidR="009F3C45" w:rsidRPr="003B20F8">
              <w:rPr>
                <w:rFonts w:ascii="Times New Roman" w:hAnsi="Times New Roman" w:cs="Times New Roman" w:hint="eastAsia"/>
                <w:sz w:val="21"/>
                <w:szCs w:val="21"/>
                <w:lang w:eastAsia="zh-CN"/>
              </w:rPr>
              <w:t>1</w:t>
            </w:r>
            <w:r w:rsidRPr="003B20F8">
              <w:rPr>
                <w:rFonts w:ascii="Times New Roman" w:hAnsi="Times New Roman" w:cs="Times New Roman"/>
                <w:sz w:val="21"/>
                <w:szCs w:val="21"/>
                <w:lang w:eastAsia="zh-CN"/>
              </w:rPr>
              <w:t>条主要运输干线：</w:t>
            </w:r>
            <w:r w:rsidR="009F3C45" w:rsidRPr="003B20F8">
              <w:rPr>
                <w:rFonts w:ascii="Times New Roman" w:eastAsia="Times New Roman" w:hAnsi="Times New Roman" w:cs="Times New Roman" w:hint="eastAsia"/>
                <w:sz w:val="21"/>
                <w:szCs w:val="21"/>
                <w:lang w:eastAsia="zh-CN"/>
              </w:rPr>
              <w:t>252</w:t>
            </w:r>
            <w:r w:rsidR="009F3C45" w:rsidRPr="003B20F8">
              <w:rPr>
                <w:rFonts w:hint="eastAsia"/>
                <w:sz w:val="21"/>
                <w:szCs w:val="21"/>
                <w:lang w:eastAsia="zh-CN"/>
              </w:rPr>
              <w:t>省道</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场内交通</w:t>
            </w:r>
          </w:p>
        </w:tc>
        <w:tc>
          <w:tcPr>
            <w:tcW w:w="3591" w:type="pct"/>
            <w:vAlign w:val="center"/>
          </w:tcPr>
          <w:p w:rsidR="006175A6" w:rsidRPr="003B20F8" w:rsidRDefault="009F3C45">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左岸上坝公路总长为：</w:t>
            </w:r>
            <w:r w:rsidRPr="003B20F8">
              <w:rPr>
                <w:rFonts w:ascii="Times New Roman" w:hAnsi="Times New Roman" w:cs="Times New Roman" w:hint="eastAsia"/>
                <w:sz w:val="21"/>
                <w:szCs w:val="21"/>
                <w:lang w:eastAsia="zh-CN"/>
              </w:rPr>
              <w:t>970m</w:t>
            </w:r>
            <w:r w:rsidRPr="003B20F8">
              <w:rPr>
                <w:rFonts w:ascii="Times New Roman" w:hAnsi="Times New Roman" w:cs="Times New Roman" w:hint="eastAsia"/>
                <w:sz w:val="21"/>
                <w:szCs w:val="21"/>
                <w:lang w:eastAsia="zh-CN"/>
              </w:rPr>
              <w:t>，其中，露天公路</w:t>
            </w:r>
            <w:r w:rsidRPr="003B20F8">
              <w:rPr>
                <w:rFonts w:ascii="Times New Roman" w:hAnsi="Times New Roman" w:cs="Times New Roman" w:hint="eastAsia"/>
                <w:sz w:val="21"/>
                <w:szCs w:val="21"/>
                <w:lang w:eastAsia="zh-CN"/>
              </w:rPr>
              <w:t>420m</w:t>
            </w:r>
            <w:r w:rsidRPr="003B20F8">
              <w:rPr>
                <w:rFonts w:ascii="Times New Roman" w:hAnsi="Times New Roman" w:cs="Times New Roman" w:hint="eastAsia"/>
                <w:sz w:val="21"/>
                <w:szCs w:val="21"/>
                <w:lang w:eastAsia="zh-CN"/>
              </w:rPr>
              <w:t>，公路隧道</w:t>
            </w:r>
            <w:r w:rsidRPr="003B20F8">
              <w:rPr>
                <w:rFonts w:ascii="Times New Roman" w:hAnsi="Times New Roman" w:cs="Times New Roman" w:hint="eastAsia"/>
                <w:sz w:val="21"/>
                <w:szCs w:val="21"/>
                <w:lang w:eastAsia="zh-CN"/>
              </w:rPr>
              <w:t>450m</w:t>
            </w:r>
            <w:r w:rsidRPr="003B20F8">
              <w:rPr>
                <w:rFonts w:ascii="Times New Roman" w:hAnsi="Times New Roman" w:cs="Times New Roman" w:hint="eastAsia"/>
                <w:sz w:val="21"/>
                <w:szCs w:val="21"/>
                <w:lang w:eastAsia="zh-CN"/>
              </w:rPr>
              <w:t>，综合坡降为</w:t>
            </w:r>
            <w:r w:rsidRPr="003B20F8">
              <w:rPr>
                <w:rFonts w:ascii="Times New Roman" w:hAnsi="Times New Roman" w:cs="Times New Roman" w:hint="eastAsia"/>
                <w:sz w:val="21"/>
                <w:szCs w:val="21"/>
                <w:lang w:eastAsia="zh-CN"/>
              </w:rPr>
              <w:t>8.3%</w:t>
            </w:r>
            <w:r w:rsidRPr="003B20F8">
              <w:rPr>
                <w:rFonts w:ascii="Times New Roman" w:hAnsi="Times New Roman" w:cs="Times New Roman" w:hint="eastAsia"/>
                <w:sz w:val="21"/>
                <w:szCs w:val="21"/>
                <w:lang w:eastAsia="zh-CN"/>
              </w:rPr>
              <w:t>。左岸坝肩移民还建公路距坝顶最近距离为</w:t>
            </w:r>
            <w:r w:rsidRPr="003B20F8">
              <w:rPr>
                <w:rFonts w:ascii="Times New Roman" w:hAnsi="Times New Roman" w:cs="Times New Roman" w:hint="eastAsia"/>
                <w:sz w:val="21"/>
                <w:szCs w:val="21"/>
                <w:lang w:eastAsia="zh-CN"/>
              </w:rPr>
              <w:t>140m</w:t>
            </w:r>
            <w:r w:rsidRPr="003B20F8">
              <w:rPr>
                <w:rFonts w:ascii="Times New Roman" w:hAnsi="Times New Roman" w:cs="Times New Roman" w:hint="eastAsia"/>
                <w:sz w:val="21"/>
                <w:szCs w:val="21"/>
                <w:lang w:eastAsia="zh-CN"/>
              </w:rPr>
              <w:t>，高程为</w:t>
            </w:r>
            <w:r w:rsidRPr="003B20F8">
              <w:rPr>
                <w:rFonts w:ascii="Times New Roman" w:hAnsi="Times New Roman" w:cs="Times New Roman" w:hint="eastAsia"/>
                <w:sz w:val="21"/>
                <w:szCs w:val="21"/>
                <w:lang w:eastAsia="zh-CN"/>
              </w:rPr>
              <w:t>1056.0m</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料场</w:t>
            </w:r>
          </w:p>
        </w:tc>
        <w:tc>
          <w:tcPr>
            <w:tcW w:w="3591" w:type="pct"/>
            <w:vAlign w:val="center"/>
          </w:tcPr>
          <w:p w:rsidR="006175A6" w:rsidRPr="003B20F8" w:rsidRDefault="009F3C45" w:rsidP="009F3C45">
            <w:pPr>
              <w:pStyle w:val="TableParagraph"/>
              <w:rPr>
                <w:rFonts w:ascii="Times New Roman" w:hAnsi="Times New Roman" w:cs="Times New Roman"/>
                <w:sz w:val="21"/>
                <w:szCs w:val="21"/>
                <w:lang w:eastAsia="zh-CN"/>
              </w:rPr>
            </w:pPr>
            <w:r w:rsidRPr="003B20F8">
              <w:rPr>
                <w:rFonts w:ascii="Times New Roman" w:hAnsi="Times New Roman" w:cs="Times New Roman" w:hint="eastAsia"/>
                <w:sz w:val="21"/>
                <w:szCs w:val="21"/>
                <w:lang w:eastAsia="zh-CN"/>
              </w:rPr>
              <w:t>大坝所需石料选取了</w:t>
            </w:r>
            <w:r w:rsidRPr="003B20F8">
              <w:rPr>
                <w:rFonts w:ascii="Times New Roman" w:hAnsi="Times New Roman" w:cs="Times New Roman" w:hint="eastAsia"/>
                <w:sz w:val="21"/>
                <w:szCs w:val="21"/>
                <w:lang w:eastAsia="zh-CN"/>
              </w:rPr>
              <w:t>3</w:t>
            </w:r>
            <w:r w:rsidRPr="003B20F8">
              <w:rPr>
                <w:rFonts w:ascii="Times New Roman" w:hAnsi="Times New Roman" w:cs="Times New Roman" w:hint="eastAsia"/>
                <w:sz w:val="21"/>
                <w:szCs w:val="21"/>
                <w:lang w:eastAsia="zh-CN"/>
              </w:rPr>
              <w:t>个石料场，总储量</w:t>
            </w:r>
            <w:r w:rsidRPr="003B20F8">
              <w:rPr>
                <w:rFonts w:ascii="Times New Roman" w:hAnsi="Times New Roman" w:cs="Times New Roman" w:hint="eastAsia"/>
                <w:sz w:val="21"/>
                <w:szCs w:val="21"/>
                <w:lang w:eastAsia="zh-CN"/>
              </w:rPr>
              <w:t>890.0</w:t>
            </w:r>
            <w:r w:rsidRPr="003B20F8">
              <w:rPr>
                <w:rFonts w:ascii="Times New Roman" w:hAnsi="Times New Roman" w:cs="Times New Roman" w:hint="eastAsia"/>
                <w:sz w:val="21"/>
                <w:szCs w:val="21"/>
                <w:lang w:eastAsia="zh-CN"/>
              </w:rPr>
              <w:t>×</w:t>
            </w:r>
            <w:r w:rsidRPr="003B20F8">
              <w:rPr>
                <w:rFonts w:ascii="Times New Roman" w:hAnsi="Times New Roman" w:cs="Times New Roman" w:hint="eastAsia"/>
                <w:sz w:val="21"/>
                <w:szCs w:val="21"/>
                <w:lang w:eastAsia="zh-CN"/>
              </w:rPr>
              <w:t>104m</w:t>
            </w:r>
            <w:r w:rsidRPr="003B20F8">
              <w:rPr>
                <w:rFonts w:ascii="Times New Roman" w:hAnsi="Times New Roman" w:cs="Times New Roman" w:hint="eastAsia"/>
                <w:sz w:val="21"/>
                <w:szCs w:val="21"/>
                <w:lang w:eastAsia="zh-CN"/>
              </w:rPr>
              <w:t>³。</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1007" w:type="pct"/>
            <w:gridSpan w:val="3"/>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物资仓库</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物资仓库布置在场内外交通衔接处，以方便通行</w:t>
            </w:r>
          </w:p>
        </w:tc>
      </w:tr>
      <w:tr w:rsidR="006175A6" w:rsidRPr="003B20F8">
        <w:trPr>
          <w:trHeight w:val="340"/>
        </w:trPr>
        <w:tc>
          <w:tcPr>
            <w:tcW w:w="402" w:type="pct"/>
            <w:vMerge w:val="restart"/>
            <w:vAlign w:val="center"/>
          </w:tcPr>
          <w:p w:rsidR="006175A6" w:rsidRPr="003B20F8" w:rsidRDefault="009B4BA7">
            <w:pPr>
              <w:spacing w:line="240" w:lineRule="auto"/>
              <w:ind w:firstLineChars="0" w:firstLine="0"/>
              <w:jc w:val="center"/>
              <w:rPr>
                <w:sz w:val="21"/>
              </w:rPr>
            </w:pPr>
            <w:r w:rsidRPr="003B20F8">
              <w:rPr>
                <w:sz w:val="21"/>
              </w:rPr>
              <w:t>环保工程</w:t>
            </w:r>
          </w:p>
        </w:tc>
        <w:tc>
          <w:tcPr>
            <w:tcW w:w="415" w:type="pct"/>
            <w:gridSpan w:val="2"/>
            <w:vMerge w:val="restart"/>
            <w:tcBorders>
              <w:right w:val="single" w:sz="4" w:space="0" w:color="000000"/>
            </w:tcBorders>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施工期</w:t>
            </w: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废气</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场地粉尘通过洒水抑尘减少大气污染</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废水</w:t>
            </w:r>
          </w:p>
        </w:tc>
        <w:tc>
          <w:tcPr>
            <w:tcW w:w="3591" w:type="pct"/>
            <w:vAlign w:val="center"/>
          </w:tcPr>
          <w:p w:rsidR="006175A6" w:rsidRPr="003B20F8" w:rsidRDefault="003B20F8" w:rsidP="009F3C45">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施工区设沉淀池收集、处理施工废水；施工人员产生的生活污水</w:t>
            </w:r>
            <w:r w:rsidR="009B4BA7" w:rsidRPr="003B20F8">
              <w:rPr>
                <w:rFonts w:ascii="Times New Roman" w:hAnsi="Times New Roman" w:cs="Times New Roman"/>
                <w:sz w:val="21"/>
                <w:szCs w:val="21"/>
                <w:lang w:eastAsia="zh-CN"/>
              </w:rPr>
              <w:t>通过一体化污水处理设备处理；机修区设隔油池收集处理含油废水</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固废</w:t>
            </w:r>
          </w:p>
        </w:tc>
        <w:tc>
          <w:tcPr>
            <w:tcW w:w="3591" w:type="pct"/>
            <w:vAlign w:val="center"/>
          </w:tcPr>
          <w:p w:rsidR="006175A6" w:rsidRPr="003B20F8" w:rsidRDefault="009B4BA7" w:rsidP="009F3C45">
            <w:pPr>
              <w:pStyle w:val="TableParagraph"/>
              <w:rPr>
                <w:rFonts w:ascii="Times New Roman" w:hAnsi="Times New Roman" w:cs="Times New Roman"/>
                <w:sz w:val="21"/>
                <w:szCs w:val="21"/>
                <w:lang w:eastAsia="zh-CN"/>
              </w:rPr>
            </w:pPr>
            <w:r w:rsidRPr="003B20F8">
              <w:rPr>
                <w:rFonts w:ascii="Times New Roman" w:hAnsi="Times New Roman" w:cs="Times New Roman"/>
                <w:spacing w:val="-6"/>
                <w:sz w:val="21"/>
                <w:szCs w:val="21"/>
                <w:lang w:eastAsia="zh-CN"/>
              </w:rPr>
              <w:t>施工人员生活垃圾收集后交环卫部门清运，在坝址下游</w:t>
            </w:r>
            <w:r w:rsidRPr="003B20F8">
              <w:rPr>
                <w:rFonts w:ascii="Times New Roman" w:hAnsi="Times New Roman" w:cs="Times New Roman"/>
                <w:sz w:val="21"/>
                <w:szCs w:val="21"/>
                <w:lang w:eastAsia="zh-CN"/>
              </w:rPr>
              <w:t>设置弃渣</w:t>
            </w:r>
            <w:r w:rsidRPr="003B20F8">
              <w:rPr>
                <w:rFonts w:ascii="Times New Roman" w:hAnsi="Times New Roman" w:cs="Times New Roman"/>
                <w:w w:val="95"/>
                <w:sz w:val="21"/>
                <w:szCs w:val="21"/>
                <w:lang w:eastAsia="zh-CN"/>
              </w:rPr>
              <w:t>场，产生的弃土石方送至渣场堆放</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噪声</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合理安排施工时间、隔声减振等措施</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库底清理</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建筑物清理、卫生清理、林木清理</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val="restart"/>
            <w:tcBorders>
              <w:righ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w w:val="95"/>
                <w:sz w:val="21"/>
                <w:szCs w:val="21"/>
              </w:rPr>
              <w:t>营运期</w:t>
            </w: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rPr>
            </w:pPr>
            <w:r w:rsidRPr="003B20F8">
              <w:rPr>
                <w:rFonts w:ascii="Times New Roman" w:hAnsi="Times New Roman" w:cs="Times New Roman"/>
                <w:sz w:val="21"/>
                <w:szCs w:val="21"/>
              </w:rPr>
              <w:t>废气</w:t>
            </w:r>
          </w:p>
        </w:tc>
        <w:tc>
          <w:tcPr>
            <w:tcW w:w="3591" w:type="pct"/>
            <w:vAlign w:val="center"/>
          </w:tcPr>
          <w:p w:rsidR="006175A6" w:rsidRPr="003B20F8" w:rsidRDefault="009F3C45" w:rsidP="009F3C45">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营运期基本无废气产生</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rPr>
              <w:t>废水</w:t>
            </w:r>
          </w:p>
        </w:tc>
        <w:tc>
          <w:tcPr>
            <w:tcW w:w="3591" w:type="pct"/>
            <w:vAlign w:val="center"/>
          </w:tcPr>
          <w:p w:rsidR="006175A6" w:rsidRPr="003B20F8" w:rsidRDefault="009B4BA7" w:rsidP="009F3C45">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水库管理区设置化粪池，</w:t>
            </w:r>
            <w:r w:rsidR="009F3C45" w:rsidRPr="003B20F8">
              <w:rPr>
                <w:rFonts w:ascii="Times New Roman" w:hAnsi="Times New Roman" w:cs="Times New Roman"/>
                <w:sz w:val="21"/>
                <w:szCs w:val="21"/>
                <w:lang w:eastAsia="zh-CN"/>
              </w:rPr>
              <w:t>经三格化粪池处理之后用于林地绿化</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rPr>
              <w:t>固废</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设置生活垃圾收集箱，收集后交环卫部门清运</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lang w:eastAsia="zh-CN"/>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rPr>
              <w:t>生态</w:t>
            </w:r>
          </w:p>
        </w:tc>
        <w:tc>
          <w:tcPr>
            <w:tcW w:w="3591" w:type="pct"/>
            <w:vAlign w:val="center"/>
          </w:tcPr>
          <w:p w:rsidR="006175A6" w:rsidRPr="003B20F8" w:rsidRDefault="009B4BA7" w:rsidP="009F3C45">
            <w:pPr>
              <w:pStyle w:val="TableParagraph"/>
              <w:rPr>
                <w:rFonts w:ascii="Times New Roman" w:hAnsi="Times New Roman" w:cs="Times New Roman"/>
                <w:sz w:val="21"/>
                <w:szCs w:val="21"/>
                <w:lang w:eastAsia="zh-CN"/>
              </w:rPr>
            </w:pPr>
            <w:r w:rsidRPr="003B20F8">
              <w:rPr>
                <w:rFonts w:ascii="Times New Roman" w:hAnsi="Times New Roman" w:cs="Times New Roman"/>
                <w:spacing w:val="-7"/>
                <w:sz w:val="21"/>
                <w:szCs w:val="21"/>
                <w:lang w:eastAsia="zh-CN"/>
              </w:rPr>
              <w:t>生态放水管道采用</w:t>
            </w:r>
            <w:r w:rsidRPr="003B20F8">
              <w:rPr>
                <w:rFonts w:ascii="Times New Roman" w:eastAsia="Times New Roman" w:hAnsi="Times New Roman" w:cs="Times New Roman"/>
                <w:sz w:val="21"/>
                <w:szCs w:val="21"/>
                <w:lang w:eastAsia="zh-CN"/>
              </w:rPr>
              <w:t>DN100</w:t>
            </w:r>
            <w:r w:rsidR="009F3C45" w:rsidRPr="003B20F8">
              <w:rPr>
                <w:rFonts w:ascii="Times New Roman" w:eastAsiaTheme="minorEastAsia" w:hAnsi="Times New Roman" w:cs="Times New Roman" w:hint="eastAsia"/>
                <w:sz w:val="21"/>
                <w:szCs w:val="21"/>
                <w:lang w:eastAsia="zh-CN"/>
              </w:rPr>
              <w:t>0</w:t>
            </w:r>
            <w:r w:rsidRPr="003B20F8">
              <w:rPr>
                <w:rFonts w:ascii="Times New Roman" w:hAnsi="Times New Roman" w:cs="Times New Roman"/>
                <w:spacing w:val="-26"/>
                <w:sz w:val="21"/>
                <w:szCs w:val="21"/>
                <w:lang w:eastAsia="zh-CN"/>
              </w:rPr>
              <w:t>钢管，长</w:t>
            </w:r>
            <w:r w:rsidRPr="003B20F8">
              <w:rPr>
                <w:rFonts w:ascii="Times New Roman" w:eastAsia="Times New Roman" w:hAnsi="Times New Roman" w:cs="Times New Roman"/>
                <w:sz w:val="21"/>
                <w:szCs w:val="21"/>
                <w:lang w:eastAsia="zh-CN"/>
              </w:rPr>
              <w:t>12m</w:t>
            </w:r>
            <w:r w:rsidRPr="003B20F8">
              <w:rPr>
                <w:rFonts w:ascii="Times New Roman" w:hAnsi="Times New Roman" w:cs="Times New Roman"/>
                <w:spacing w:val="-15"/>
                <w:sz w:val="21"/>
                <w:szCs w:val="21"/>
                <w:lang w:eastAsia="zh-CN"/>
              </w:rPr>
              <w:t>。</w:t>
            </w:r>
            <w:r w:rsidRPr="003B20F8">
              <w:rPr>
                <w:rFonts w:ascii="Times New Roman" w:hAnsi="Times New Roman" w:cs="Times New Roman"/>
                <w:spacing w:val="-15"/>
                <w:sz w:val="21"/>
                <w:szCs w:val="21"/>
              </w:rPr>
              <w:t>保证最小下泄流量</w:t>
            </w:r>
            <w:r w:rsidRPr="003B20F8">
              <w:rPr>
                <w:rFonts w:ascii="Times New Roman" w:eastAsia="Times New Roman" w:hAnsi="Times New Roman" w:cs="Times New Roman"/>
                <w:sz w:val="21"/>
                <w:szCs w:val="21"/>
              </w:rPr>
              <w:t>0.</w:t>
            </w:r>
            <w:r w:rsidR="009F3C45" w:rsidRPr="003B20F8">
              <w:rPr>
                <w:rFonts w:ascii="Times New Roman" w:eastAsiaTheme="minorEastAsia" w:hAnsi="Times New Roman" w:cs="Times New Roman" w:hint="eastAsia"/>
                <w:sz w:val="21"/>
                <w:szCs w:val="21"/>
                <w:lang w:eastAsia="zh-CN"/>
              </w:rPr>
              <w:t>312</w:t>
            </w:r>
            <w:r w:rsidRPr="003B20F8">
              <w:rPr>
                <w:rFonts w:ascii="Times New Roman" w:eastAsia="Times New Roman" w:hAnsi="Times New Roman" w:cs="Times New Roman"/>
                <w:sz w:val="21"/>
                <w:szCs w:val="21"/>
              </w:rPr>
              <w:t>m</w:t>
            </w:r>
            <w:r w:rsidRPr="003B20F8">
              <w:rPr>
                <w:rFonts w:ascii="Times New Roman" w:eastAsia="Times New Roman" w:hAnsi="Times New Roman" w:cs="Times New Roman"/>
                <w:position w:val="7"/>
                <w:sz w:val="21"/>
                <w:szCs w:val="21"/>
              </w:rPr>
              <w:t>3</w:t>
            </w:r>
            <w:r w:rsidRPr="003B20F8">
              <w:rPr>
                <w:rFonts w:ascii="Times New Roman" w:eastAsia="Times New Roman" w:hAnsi="Times New Roman" w:cs="Times New Roman"/>
                <w:sz w:val="21"/>
                <w:szCs w:val="21"/>
              </w:rPr>
              <w:t>/s</w:t>
            </w:r>
          </w:p>
        </w:tc>
      </w:tr>
      <w:tr w:rsidR="006175A6" w:rsidRPr="003B20F8">
        <w:trPr>
          <w:trHeight w:val="340"/>
        </w:trPr>
        <w:tc>
          <w:tcPr>
            <w:tcW w:w="402" w:type="pct"/>
            <w:vMerge/>
            <w:vAlign w:val="center"/>
          </w:tcPr>
          <w:p w:rsidR="006175A6" w:rsidRPr="003B20F8" w:rsidRDefault="006175A6">
            <w:pPr>
              <w:spacing w:line="240" w:lineRule="auto"/>
              <w:ind w:firstLineChars="0" w:firstLine="0"/>
              <w:jc w:val="center"/>
              <w:rPr>
                <w:sz w:val="21"/>
              </w:rPr>
            </w:pPr>
          </w:p>
        </w:tc>
        <w:tc>
          <w:tcPr>
            <w:tcW w:w="415" w:type="pct"/>
            <w:gridSpan w:val="2"/>
            <w:vMerge/>
            <w:tcBorders>
              <w:right w:val="single" w:sz="4" w:space="0" w:color="000000"/>
            </w:tcBorders>
            <w:vAlign w:val="center"/>
          </w:tcPr>
          <w:p w:rsidR="006175A6" w:rsidRPr="003B20F8" w:rsidRDefault="006175A6">
            <w:pPr>
              <w:pStyle w:val="TableParagraph"/>
              <w:rPr>
                <w:rFonts w:ascii="Times New Roman" w:hAnsi="Times New Roman" w:cs="Times New Roman"/>
                <w:sz w:val="21"/>
                <w:szCs w:val="21"/>
                <w:lang w:eastAsia="zh-CN"/>
              </w:rPr>
            </w:pPr>
          </w:p>
        </w:tc>
        <w:tc>
          <w:tcPr>
            <w:tcW w:w="592" w:type="pct"/>
            <w:tcBorders>
              <w:left w:val="single" w:sz="4" w:space="0" w:color="000000"/>
            </w:tcBorders>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rPr>
              <w:t>水源地保护</w:t>
            </w:r>
          </w:p>
        </w:tc>
        <w:tc>
          <w:tcPr>
            <w:tcW w:w="3591" w:type="pct"/>
            <w:vAlign w:val="center"/>
          </w:tcPr>
          <w:p w:rsidR="006175A6" w:rsidRPr="003B20F8" w:rsidRDefault="009B4BA7">
            <w:pPr>
              <w:pStyle w:val="TableParagraph"/>
              <w:rPr>
                <w:rFonts w:ascii="Times New Roman" w:hAnsi="Times New Roman" w:cs="Times New Roman"/>
                <w:sz w:val="21"/>
                <w:szCs w:val="21"/>
                <w:lang w:eastAsia="zh-CN"/>
              </w:rPr>
            </w:pPr>
            <w:r w:rsidRPr="003B20F8">
              <w:rPr>
                <w:rFonts w:ascii="Times New Roman" w:hAnsi="Times New Roman" w:cs="Times New Roman"/>
                <w:sz w:val="21"/>
                <w:szCs w:val="21"/>
                <w:lang w:eastAsia="zh-CN"/>
              </w:rPr>
              <w:t>重新划分水源地保护区、设置隔离网、界标宣传牌警示牌</w:t>
            </w:r>
          </w:p>
        </w:tc>
      </w:tr>
    </w:tbl>
    <w:p w:rsidR="006175A6" w:rsidRDefault="006175A6">
      <w:pPr>
        <w:ind w:firstLine="480"/>
      </w:pPr>
    </w:p>
    <w:p w:rsidR="006175A6" w:rsidRDefault="009B4BA7">
      <w:pPr>
        <w:pStyle w:val="2"/>
      </w:pPr>
      <w:bookmarkStart w:id="36" w:name="_Toc80170095"/>
      <w:r>
        <w:rPr>
          <w:rFonts w:hint="eastAsia"/>
        </w:rPr>
        <w:t>工程施工布置及进度</w:t>
      </w:r>
      <w:bookmarkEnd w:id="36"/>
    </w:p>
    <w:p w:rsidR="006175A6" w:rsidRDefault="009B4BA7">
      <w:pPr>
        <w:pStyle w:val="3"/>
      </w:pPr>
      <w:r>
        <w:rPr>
          <w:rFonts w:hint="eastAsia"/>
        </w:rPr>
        <w:t>施工导流</w:t>
      </w:r>
    </w:p>
    <w:p w:rsidR="006175A6" w:rsidRDefault="009B4BA7">
      <w:pPr>
        <w:ind w:firstLine="480"/>
      </w:pPr>
      <w:r>
        <w:rPr>
          <w:rFonts w:hint="eastAsia"/>
        </w:rPr>
        <w:t>工程所在的流域（高岚河流域上游段门家河流域），属山溪性河流，长形流</w:t>
      </w:r>
      <w:r>
        <w:rPr>
          <w:rFonts w:hint="eastAsia"/>
        </w:rPr>
        <w:lastRenderedPageBreak/>
        <w:t>域，支流发育，河道两岸山体陡峻，集流时间短、汇流快，致使洪水暴涨暴落，流域每年初夏进入汛期，</w:t>
      </w:r>
      <w:r>
        <w:rPr>
          <w:rFonts w:hint="eastAsia"/>
        </w:rPr>
        <w:t>7~9</w:t>
      </w:r>
      <w:r>
        <w:rPr>
          <w:rFonts w:hint="eastAsia"/>
        </w:rPr>
        <w:t>月为洪水多发季节，年最大洪水</w:t>
      </w:r>
      <w:r>
        <w:rPr>
          <w:rFonts w:hint="eastAsia"/>
        </w:rPr>
        <w:t>4~10</w:t>
      </w:r>
      <w:r>
        <w:rPr>
          <w:rFonts w:hint="eastAsia"/>
        </w:rPr>
        <w:t>月均可发生；</w:t>
      </w:r>
      <w:r>
        <w:rPr>
          <w:rFonts w:hint="eastAsia"/>
        </w:rPr>
        <w:t>11~3</w:t>
      </w:r>
      <w:r>
        <w:rPr>
          <w:rFonts w:hint="eastAsia"/>
        </w:rPr>
        <w:t>月为枯水期，结合工程特性及初拟的施工工期安排，施工时段的划分按</w:t>
      </w:r>
      <w:r>
        <w:rPr>
          <w:rFonts w:hint="eastAsia"/>
        </w:rPr>
        <w:t>4</w:t>
      </w:r>
      <w:r>
        <w:rPr>
          <w:rFonts w:hint="eastAsia"/>
        </w:rPr>
        <w:t>月</w:t>
      </w:r>
      <w:r>
        <w:rPr>
          <w:rFonts w:hint="eastAsia"/>
        </w:rPr>
        <w:t>~10</w:t>
      </w:r>
      <w:r>
        <w:rPr>
          <w:rFonts w:hint="eastAsia"/>
        </w:rPr>
        <w:t>月和</w:t>
      </w:r>
      <w:r>
        <w:rPr>
          <w:rFonts w:hint="eastAsia"/>
        </w:rPr>
        <w:t>11</w:t>
      </w:r>
      <w:r>
        <w:rPr>
          <w:rFonts w:hint="eastAsia"/>
        </w:rPr>
        <w:t>月</w:t>
      </w:r>
      <w:r>
        <w:rPr>
          <w:rFonts w:hint="eastAsia"/>
        </w:rPr>
        <w:t>~</w:t>
      </w:r>
      <w:r>
        <w:rPr>
          <w:rFonts w:hint="eastAsia"/>
        </w:rPr>
        <w:t>次年</w:t>
      </w:r>
      <w:r>
        <w:rPr>
          <w:rFonts w:hint="eastAsia"/>
        </w:rPr>
        <w:t>3</w:t>
      </w:r>
      <w:r>
        <w:rPr>
          <w:rFonts w:hint="eastAsia"/>
        </w:rPr>
        <w:t>月进行。</w:t>
      </w:r>
    </w:p>
    <w:p w:rsidR="006175A6" w:rsidRDefault="009B4BA7">
      <w:pPr>
        <w:ind w:firstLine="480"/>
      </w:pPr>
      <w:r>
        <w:rPr>
          <w:rFonts w:hint="eastAsia"/>
        </w:rPr>
        <w:t>工程施工推荐采用“枯水期围堰挡水，隧洞导流，汛期坝体临时度汛断面挡水，隧洞导流”的导流方案。输水隧洞在冲沟处均采用过沟箱涵的形式连接。导流方案采用预埋涵管方式导流。</w:t>
      </w:r>
    </w:p>
    <w:p w:rsidR="006175A6" w:rsidRDefault="009B4BA7">
      <w:pPr>
        <w:ind w:firstLine="480"/>
      </w:pPr>
      <w:r>
        <w:rPr>
          <w:rFonts w:hint="eastAsia"/>
        </w:rPr>
        <w:t>（</w:t>
      </w:r>
      <w:r>
        <w:rPr>
          <w:rFonts w:hint="eastAsia"/>
        </w:rPr>
        <w:t>1</w:t>
      </w:r>
      <w:r>
        <w:rPr>
          <w:rFonts w:hint="eastAsia"/>
        </w:rPr>
        <w:t>）大坝导流</w:t>
      </w:r>
    </w:p>
    <w:p w:rsidR="006175A6" w:rsidRDefault="009B4BA7">
      <w:pPr>
        <w:ind w:firstLine="480"/>
      </w:pPr>
      <w:r>
        <w:rPr>
          <w:rFonts w:hint="eastAsia"/>
        </w:rPr>
        <w:t>①第一年</w:t>
      </w:r>
      <w:r>
        <w:rPr>
          <w:rFonts w:hint="eastAsia"/>
        </w:rPr>
        <w:t>11</w:t>
      </w:r>
      <w:r>
        <w:rPr>
          <w:rFonts w:hint="eastAsia"/>
        </w:rPr>
        <w:t>月</w:t>
      </w:r>
      <w:r>
        <w:rPr>
          <w:rFonts w:hint="eastAsia"/>
        </w:rPr>
        <w:t>~</w:t>
      </w:r>
      <w:r>
        <w:rPr>
          <w:rFonts w:hint="eastAsia"/>
        </w:rPr>
        <w:t>第二年</w:t>
      </w:r>
      <w:r>
        <w:rPr>
          <w:rFonts w:hint="eastAsia"/>
        </w:rPr>
        <w:t>3</w:t>
      </w:r>
      <w:r>
        <w:rPr>
          <w:rFonts w:hint="eastAsia"/>
        </w:rPr>
        <w:t>月枯水期导流：截流后第一个枯水期施工（</w:t>
      </w:r>
      <w:r>
        <w:rPr>
          <w:rFonts w:hint="eastAsia"/>
        </w:rPr>
        <w:t>11-3</w:t>
      </w:r>
      <w:r>
        <w:rPr>
          <w:rFonts w:hint="eastAsia"/>
        </w:rPr>
        <w:t>月），采用围堰挡水，隧洞导流，并在围堰的保护下进行基坑开挖及混凝土浇筑，根据施工强度，至</w:t>
      </w:r>
      <w:r>
        <w:rPr>
          <w:rFonts w:hint="eastAsia"/>
        </w:rPr>
        <w:t>3</w:t>
      </w:r>
      <w:r>
        <w:rPr>
          <w:rFonts w:hint="eastAsia"/>
        </w:rPr>
        <w:t>月底大坝可浇筑至</w:t>
      </w:r>
      <w:r>
        <w:rPr>
          <w:rFonts w:hint="eastAsia"/>
        </w:rPr>
        <w:t>1024.00</w:t>
      </w:r>
      <w:r>
        <w:rPr>
          <w:rFonts w:hint="eastAsia"/>
        </w:rPr>
        <w:t>高程。</w:t>
      </w:r>
    </w:p>
    <w:p w:rsidR="006175A6" w:rsidRDefault="009B4BA7">
      <w:pPr>
        <w:ind w:firstLine="480"/>
      </w:pPr>
      <w:r>
        <w:rPr>
          <w:rFonts w:hint="eastAsia"/>
        </w:rPr>
        <w:t>②第二年</w:t>
      </w:r>
      <w:r>
        <w:rPr>
          <w:rFonts w:hint="eastAsia"/>
        </w:rPr>
        <w:t>4</w:t>
      </w:r>
      <w:r>
        <w:rPr>
          <w:rFonts w:hint="eastAsia"/>
        </w:rPr>
        <w:t>月</w:t>
      </w:r>
      <w:r>
        <w:rPr>
          <w:rFonts w:hint="eastAsia"/>
        </w:rPr>
        <w:t>~</w:t>
      </w:r>
      <w:r>
        <w:rPr>
          <w:rFonts w:hint="eastAsia"/>
        </w:rPr>
        <w:t>第二年</w:t>
      </w:r>
      <w:r>
        <w:rPr>
          <w:rFonts w:hint="eastAsia"/>
        </w:rPr>
        <w:t>10</w:t>
      </w:r>
      <w:r>
        <w:rPr>
          <w:rFonts w:hint="eastAsia"/>
        </w:rPr>
        <w:t>月第二年汛期导流：由于上游围堰只能挡</w:t>
      </w:r>
      <w:r>
        <w:rPr>
          <w:rFonts w:hint="eastAsia"/>
        </w:rPr>
        <w:t>11-3</w:t>
      </w:r>
      <w:r>
        <w:rPr>
          <w:rFonts w:hint="eastAsia"/>
        </w:rPr>
        <w:t>月</w:t>
      </w:r>
      <w:r>
        <w:rPr>
          <w:rFonts w:hint="eastAsia"/>
        </w:rPr>
        <w:t>5</w:t>
      </w:r>
      <w:r>
        <w:rPr>
          <w:rFonts w:hint="eastAsia"/>
        </w:rPr>
        <w:t>年一遇标准洪水，汛期围堰过水，采用坝体预留缺口和导流洞联合泄洪方案，通过调洪演算，当大坝浇筑至</w:t>
      </w:r>
      <w:r>
        <w:rPr>
          <w:rFonts w:hint="eastAsia"/>
        </w:rPr>
        <w:t>1024.00m</w:t>
      </w:r>
      <w:r>
        <w:rPr>
          <w:rFonts w:hint="eastAsia"/>
        </w:rPr>
        <w:t>高程坝体时，导流洞的泄流能力为</w:t>
      </w:r>
      <w:r>
        <w:rPr>
          <w:rFonts w:hint="eastAsia"/>
        </w:rPr>
        <w:t>124m3/s</w:t>
      </w:r>
      <w:r>
        <w:rPr>
          <w:rFonts w:hint="eastAsia"/>
        </w:rPr>
        <w:t>，当大坝预留缺口宽为</w:t>
      </w:r>
      <w:r>
        <w:rPr>
          <w:rFonts w:hint="eastAsia"/>
        </w:rPr>
        <w:t>32m</w:t>
      </w:r>
      <w:r>
        <w:rPr>
          <w:rFonts w:hint="eastAsia"/>
        </w:rPr>
        <w:t>，高</w:t>
      </w:r>
      <w:r>
        <w:rPr>
          <w:rFonts w:hint="eastAsia"/>
        </w:rPr>
        <w:t>4m</w:t>
      </w:r>
      <w:r>
        <w:rPr>
          <w:rFonts w:hint="eastAsia"/>
        </w:rPr>
        <w:t>，水深为</w:t>
      </w:r>
      <w:r>
        <w:rPr>
          <w:rFonts w:hint="eastAsia"/>
        </w:rPr>
        <w:t>3.7m</w:t>
      </w:r>
      <w:r>
        <w:rPr>
          <w:rFonts w:hint="eastAsia"/>
        </w:rPr>
        <w:t>，过洪能力可达到</w:t>
      </w:r>
      <w:r>
        <w:rPr>
          <w:rFonts w:hint="eastAsia"/>
        </w:rPr>
        <w:t>366m3/s</w:t>
      </w:r>
      <w:r>
        <w:rPr>
          <w:rFonts w:hint="eastAsia"/>
        </w:rPr>
        <w:t>。</w:t>
      </w:r>
    </w:p>
    <w:p w:rsidR="006175A6" w:rsidRDefault="009B4BA7">
      <w:pPr>
        <w:ind w:firstLine="480"/>
      </w:pPr>
      <w:r>
        <w:rPr>
          <w:rFonts w:hint="eastAsia"/>
        </w:rPr>
        <w:t>③第二年</w:t>
      </w:r>
      <w:r>
        <w:rPr>
          <w:rFonts w:hint="eastAsia"/>
        </w:rPr>
        <w:t>11</w:t>
      </w:r>
      <w:r>
        <w:rPr>
          <w:rFonts w:hint="eastAsia"/>
        </w:rPr>
        <w:t>月</w:t>
      </w:r>
      <w:r>
        <w:rPr>
          <w:rFonts w:hint="eastAsia"/>
        </w:rPr>
        <w:t>~</w:t>
      </w:r>
      <w:r>
        <w:rPr>
          <w:rFonts w:hint="eastAsia"/>
        </w:rPr>
        <w:t>第三年</w:t>
      </w:r>
      <w:r>
        <w:rPr>
          <w:rFonts w:hint="eastAsia"/>
        </w:rPr>
        <w:t>3</w:t>
      </w:r>
      <w:r>
        <w:rPr>
          <w:rFonts w:hint="eastAsia"/>
        </w:rPr>
        <w:t>月枯水期导流：大坝继续浇筑，利用导流洞导流。完成大坝主体工程。</w:t>
      </w:r>
    </w:p>
    <w:p w:rsidR="006175A6" w:rsidRDefault="009B4BA7">
      <w:pPr>
        <w:ind w:firstLine="480"/>
      </w:pPr>
      <w:r>
        <w:rPr>
          <w:rFonts w:hint="eastAsia"/>
        </w:rPr>
        <w:t>④第三年</w:t>
      </w:r>
      <w:r>
        <w:rPr>
          <w:rFonts w:hint="eastAsia"/>
        </w:rPr>
        <w:t>4</w:t>
      </w:r>
      <w:r>
        <w:rPr>
          <w:rFonts w:hint="eastAsia"/>
        </w:rPr>
        <w:t>月</w:t>
      </w:r>
      <w:r>
        <w:rPr>
          <w:rFonts w:hint="eastAsia"/>
        </w:rPr>
        <w:t>~</w:t>
      </w:r>
      <w:r>
        <w:rPr>
          <w:rFonts w:hint="eastAsia"/>
        </w:rPr>
        <w:t>第三年</w:t>
      </w:r>
      <w:r>
        <w:rPr>
          <w:rFonts w:hint="eastAsia"/>
        </w:rPr>
        <w:t>10</w:t>
      </w:r>
      <w:r>
        <w:rPr>
          <w:rFonts w:hint="eastAsia"/>
        </w:rPr>
        <w:t>月第三年汛期导流，大坝主体工程完成，导流洞下闸封堵，溢洪道具备溢洪能力。</w:t>
      </w:r>
    </w:p>
    <w:p w:rsidR="006175A6" w:rsidRDefault="009B4BA7">
      <w:pPr>
        <w:ind w:firstLine="480"/>
      </w:pPr>
      <w:r>
        <w:rPr>
          <w:rFonts w:hint="eastAsia"/>
        </w:rPr>
        <w:t>（</w:t>
      </w:r>
      <w:r>
        <w:rPr>
          <w:rFonts w:hint="eastAsia"/>
        </w:rPr>
        <w:t>2</w:t>
      </w:r>
      <w:r>
        <w:rPr>
          <w:rFonts w:hint="eastAsia"/>
        </w:rPr>
        <w:t>）输水隧洞过沟建筑物导流</w:t>
      </w:r>
    </w:p>
    <w:p w:rsidR="006175A6" w:rsidRDefault="009B4BA7">
      <w:pPr>
        <w:ind w:firstLine="480"/>
      </w:pPr>
      <w:r>
        <w:rPr>
          <w:rFonts w:hint="eastAsia"/>
        </w:rPr>
        <w:t>输水系统由</w:t>
      </w:r>
      <w:r>
        <w:rPr>
          <w:rFonts w:hint="eastAsia"/>
        </w:rPr>
        <w:t>13</w:t>
      </w:r>
      <w:r>
        <w:rPr>
          <w:rFonts w:hint="eastAsia"/>
        </w:rPr>
        <w:t>条输水隧洞组成，因冲沟处的洞口地表高程与主洞在该冲沟处的出洞口的底板高程十分接近，输水隧洞在冲沟处采用过沟箱涵的形式连接。各建筑物工程量小，施工期洪水流量小，经过对地形、地质、建筑物施工特性及河流水文特性的综合分析后，采用一次拦断河床、洪水经导流涵管宣泄。</w:t>
      </w:r>
    </w:p>
    <w:p w:rsidR="006175A6" w:rsidRDefault="009B4BA7">
      <w:pPr>
        <w:pStyle w:val="3"/>
      </w:pPr>
      <w:r>
        <w:rPr>
          <w:rFonts w:hint="eastAsia"/>
        </w:rPr>
        <w:t>施工运输</w:t>
      </w:r>
    </w:p>
    <w:p w:rsidR="006175A6" w:rsidRDefault="009B4BA7">
      <w:pPr>
        <w:ind w:firstLine="480"/>
      </w:pPr>
      <w:r>
        <w:rPr>
          <w:rFonts w:hint="eastAsia"/>
        </w:rPr>
        <w:t>（</w:t>
      </w:r>
      <w:r>
        <w:rPr>
          <w:rFonts w:hint="eastAsia"/>
        </w:rPr>
        <w:t>1</w:t>
      </w:r>
      <w:r>
        <w:rPr>
          <w:rFonts w:hint="eastAsia"/>
        </w:rPr>
        <w:t>）对外交通</w:t>
      </w:r>
    </w:p>
    <w:p w:rsidR="006175A6" w:rsidRDefault="009B4BA7">
      <w:pPr>
        <w:ind w:firstLine="480"/>
      </w:pPr>
      <w:r>
        <w:rPr>
          <w:rFonts w:hint="eastAsia"/>
        </w:rPr>
        <w:t>工程主要建筑材料在兴山县城和宜昌市城区能得到充足的供应。对外交通主要是公路运输，</w:t>
      </w:r>
      <w:r>
        <w:rPr>
          <w:rFonts w:hint="eastAsia"/>
        </w:rPr>
        <w:t>252</w:t>
      </w:r>
      <w:r>
        <w:rPr>
          <w:rFonts w:hint="eastAsia"/>
        </w:rPr>
        <w:t>省道经整个坝址及输水线路，距兴山县城</w:t>
      </w:r>
      <w:r>
        <w:rPr>
          <w:rFonts w:hint="eastAsia"/>
        </w:rPr>
        <w:t>17.6km</w:t>
      </w:r>
      <w:r>
        <w:rPr>
          <w:rFonts w:hint="eastAsia"/>
        </w:rPr>
        <w:t>，距宜昌市城区</w:t>
      </w:r>
      <w:r>
        <w:rPr>
          <w:rFonts w:hint="eastAsia"/>
        </w:rPr>
        <w:t>150km</w:t>
      </w:r>
      <w:r>
        <w:rPr>
          <w:rFonts w:hint="eastAsia"/>
        </w:rPr>
        <w:t>，现有公路情况，完全能满足本工程运输要求。</w:t>
      </w:r>
    </w:p>
    <w:p w:rsidR="006175A6" w:rsidRDefault="009B4BA7">
      <w:pPr>
        <w:ind w:firstLine="480"/>
      </w:pPr>
      <w:r>
        <w:rPr>
          <w:rFonts w:hint="eastAsia"/>
        </w:rPr>
        <w:lastRenderedPageBreak/>
        <w:t>（</w:t>
      </w:r>
      <w:r>
        <w:rPr>
          <w:rFonts w:hint="eastAsia"/>
        </w:rPr>
        <w:t>2</w:t>
      </w:r>
      <w:r>
        <w:rPr>
          <w:rFonts w:hint="eastAsia"/>
        </w:rPr>
        <w:t>）对内交通</w:t>
      </w:r>
    </w:p>
    <w:p w:rsidR="006175A6" w:rsidRDefault="009B4BA7">
      <w:pPr>
        <w:ind w:firstLine="480"/>
      </w:pPr>
      <w:r>
        <w:rPr>
          <w:rFonts w:hint="eastAsia"/>
        </w:rPr>
        <w:t>根据枢纽布置、料场分布、场地地形条件及施工临时企业的布置情况，场内公路的规划以料场→拌合楼→坝区的上坝道路，辅以出渣道路及连接两岸的过河漫水桥，枢纽工程场内交通共计</w:t>
      </w:r>
      <w:r>
        <w:rPr>
          <w:rFonts w:hint="eastAsia"/>
        </w:rPr>
        <w:t>6.35km</w:t>
      </w:r>
      <w:r>
        <w:rPr>
          <w:rFonts w:hint="eastAsia"/>
        </w:rPr>
        <w:t>，其中修建永久道路</w:t>
      </w:r>
      <w:r>
        <w:rPr>
          <w:rFonts w:hint="eastAsia"/>
        </w:rPr>
        <w:t>1.35km</w:t>
      </w:r>
      <w:r>
        <w:rPr>
          <w:rFonts w:hint="eastAsia"/>
        </w:rPr>
        <w:t>，临时道路</w:t>
      </w:r>
      <w:r>
        <w:rPr>
          <w:rFonts w:hint="eastAsia"/>
        </w:rPr>
        <w:t>5.0km</w:t>
      </w:r>
      <w:r>
        <w:rPr>
          <w:rFonts w:hint="eastAsia"/>
        </w:rPr>
        <w:t>。</w:t>
      </w:r>
    </w:p>
    <w:p w:rsidR="006175A6" w:rsidRDefault="009B4BA7">
      <w:pPr>
        <w:ind w:firstLine="480"/>
      </w:pPr>
      <w:r>
        <w:rPr>
          <w:rFonts w:hint="eastAsia"/>
        </w:rPr>
        <w:t>施工道路坝后两支：一支为上坝的永久道路，位于大坝下游右岸，分别由拌合楼至坝顶及进水口和廊道，为新修道路，一支为利用现有兴发集团矿区公路，改造大坝下游约</w:t>
      </w:r>
      <w:r>
        <w:rPr>
          <w:rFonts w:hint="eastAsia"/>
        </w:rPr>
        <w:t>550m</w:t>
      </w:r>
      <w:r>
        <w:rPr>
          <w:rFonts w:hint="eastAsia"/>
        </w:rPr>
        <w:t>处一条村村通泥结石公路，公路位于河道左岸，路况良好，需进行扩宽即可。同时可以从大坝下游填筑</w:t>
      </w:r>
      <w:r>
        <w:rPr>
          <w:rFonts w:hint="eastAsia"/>
        </w:rPr>
        <w:t>2km</w:t>
      </w:r>
      <w:r>
        <w:rPr>
          <w:rFonts w:hint="eastAsia"/>
        </w:rPr>
        <w:t>临时道路可以满足河床部位混凝土及材料运输要求，本次规划设计场内道路，可以满足工程施工期间和正常运行期间对进水口闸门控制，大坝安全维护等要求。</w:t>
      </w:r>
    </w:p>
    <w:p w:rsidR="006175A6" w:rsidRDefault="009B4BA7">
      <w:pPr>
        <w:ind w:firstLine="480"/>
      </w:pPr>
      <w:r>
        <w:rPr>
          <w:rFonts w:hint="eastAsia"/>
        </w:rPr>
        <w:t>根据料场分布、坝区地形和枢纽建筑物的布置，坝区施工临时道路共计</w:t>
      </w:r>
      <w:r>
        <w:rPr>
          <w:rFonts w:hint="eastAsia"/>
        </w:rPr>
        <w:t>2</w:t>
      </w:r>
      <w:r>
        <w:rPr>
          <w:rFonts w:hint="eastAsia"/>
        </w:rPr>
        <w:t>条：施工道路布置如下：</w:t>
      </w:r>
    </w:p>
    <w:p w:rsidR="006175A6" w:rsidRDefault="009B4BA7">
      <w:pPr>
        <w:ind w:firstLine="480"/>
      </w:pPr>
      <w:r>
        <w:rPr>
          <w:rFonts w:hint="eastAsia"/>
        </w:rPr>
        <w:t>①下游沿河床修建一条临时施工道路主要承担出渣、完成河床段及进水口施工和河床高程附近坝体填筑交通任务，路宽</w:t>
      </w:r>
      <w:r>
        <w:rPr>
          <w:rFonts w:hint="eastAsia"/>
        </w:rPr>
        <w:t>6.0m</w:t>
      </w:r>
      <w:r>
        <w:rPr>
          <w:rFonts w:hint="eastAsia"/>
        </w:rPr>
        <w:t>，坡度不小于</w:t>
      </w:r>
      <w:r>
        <w:rPr>
          <w:rFonts w:hint="eastAsia"/>
        </w:rPr>
        <w:t>8%</w:t>
      </w:r>
      <w:r>
        <w:rPr>
          <w:rFonts w:hint="eastAsia"/>
        </w:rPr>
        <w:t>，石渣路面。</w:t>
      </w:r>
    </w:p>
    <w:p w:rsidR="006175A6" w:rsidRDefault="009B4BA7">
      <w:pPr>
        <w:ind w:firstLine="480"/>
      </w:pPr>
      <w:r>
        <w:rPr>
          <w:rFonts w:hint="eastAsia"/>
        </w:rPr>
        <w:t>②大坝左岸在</w:t>
      </w:r>
      <w:r>
        <w:rPr>
          <w:rFonts w:hint="eastAsia"/>
        </w:rPr>
        <w:t>990~1017m</w:t>
      </w:r>
      <w:r>
        <w:rPr>
          <w:rFonts w:hint="eastAsia"/>
        </w:rPr>
        <w:t>高程布置一条施工道路，此道路可满足</w:t>
      </w:r>
      <w:r>
        <w:rPr>
          <w:rFonts w:hint="eastAsia"/>
        </w:rPr>
        <w:t>1017.0m</w:t>
      </w:r>
      <w:r>
        <w:rPr>
          <w:rFonts w:hint="eastAsia"/>
        </w:rPr>
        <w:t>高程以下混凝土入仓，入仓方式主要以自卸汽车入仓为主；</w:t>
      </w:r>
      <w:r>
        <w:rPr>
          <w:rFonts w:hint="eastAsia"/>
        </w:rPr>
        <w:t>1017.00</w:t>
      </w:r>
      <w:r>
        <w:rPr>
          <w:rFonts w:hint="eastAsia"/>
        </w:rPr>
        <w:t>高程以上坝体混凝土采用负压溜槽入仓，路宽</w:t>
      </w:r>
      <w:r>
        <w:rPr>
          <w:rFonts w:hint="eastAsia"/>
        </w:rPr>
        <w:t>6.0m</w:t>
      </w:r>
      <w:r>
        <w:rPr>
          <w:rFonts w:hint="eastAsia"/>
        </w:rPr>
        <w:t>，坡度不小于</w:t>
      </w:r>
      <w:r>
        <w:rPr>
          <w:rFonts w:hint="eastAsia"/>
        </w:rPr>
        <w:t>8%</w:t>
      </w:r>
      <w:r>
        <w:rPr>
          <w:rFonts w:hint="eastAsia"/>
        </w:rPr>
        <w:t>，碎石路面。各种建筑材料采用塔吊转运至仓面。</w:t>
      </w:r>
    </w:p>
    <w:p w:rsidR="006175A6" w:rsidRDefault="009B4BA7">
      <w:pPr>
        <w:ind w:firstLine="480"/>
      </w:pPr>
      <w:r>
        <w:rPr>
          <w:rFonts w:hint="eastAsia"/>
        </w:rPr>
        <w:t>③由于进水口位于大坝上游右岸约</w:t>
      </w:r>
      <w:r>
        <w:rPr>
          <w:rFonts w:hint="eastAsia"/>
        </w:rPr>
        <w:t>50m</w:t>
      </w:r>
      <w:r>
        <w:rPr>
          <w:rFonts w:hint="eastAsia"/>
        </w:rPr>
        <w:t>处，因此，对于进水口上部开挖及混凝土浇筑，临时道路仍然可以利用右岸上坝施工道路，将其在洞内进行延伸即可到达进水口的顶部高程（</w:t>
      </w:r>
      <w:r>
        <w:rPr>
          <w:rFonts w:hint="eastAsia"/>
        </w:rPr>
        <w:t>1061.00m</w:t>
      </w:r>
      <w:r>
        <w:rPr>
          <w:rFonts w:hint="eastAsia"/>
        </w:rPr>
        <w:t>）。右岸坝顶的交通洞至进水口启闭机平台的交通道路，在施工完成后，可作为永久公路。</w:t>
      </w:r>
    </w:p>
    <w:p w:rsidR="006175A6" w:rsidRDefault="009B4BA7">
      <w:pPr>
        <w:ind w:firstLine="480"/>
      </w:pPr>
      <w:r>
        <w:rPr>
          <w:rFonts w:hint="eastAsia"/>
        </w:rPr>
        <w:t>④输水线路场内交通运输</w:t>
      </w:r>
    </w:p>
    <w:p w:rsidR="006175A6" w:rsidRDefault="009B4BA7">
      <w:pPr>
        <w:ind w:firstLine="480"/>
      </w:pPr>
      <w:r>
        <w:rPr>
          <w:rFonts w:hint="eastAsia"/>
        </w:rPr>
        <w:t>输水线路施工布置考虑在各个支洞口修建临时道路与现有道路连接，各支洞口修建道路及坝区施工道路具体分布情况见</w:t>
      </w:r>
      <w:r>
        <w:fldChar w:fldCharType="begin"/>
      </w:r>
      <w:r>
        <w:instrText xml:space="preserve"> </w:instrText>
      </w:r>
      <w:r>
        <w:rPr>
          <w:rFonts w:hint="eastAsia"/>
        </w:rPr>
        <w:instrText>REF _Ref77000986 \h</w:instrText>
      </w:r>
      <w:r>
        <w:instrText xml:space="preserve"> </w:instrText>
      </w:r>
      <w:r>
        <w:fldChar w:fldCharType="separate"/>
      </w:r>
      <w:r w:rsidR="00E97427">
        <w:rPr>
          <w:rFonts w:hint="eastAsia"/>
        </w:rPr>
        <w:t>表</w:t>
      </w:r>
      <w:r w:rsidR="00E97427">
        <w:rPr>
          <w:rFonts w:hint="eastAsia"/>
        </w:rPr>
        <w:t xml:space="preserve"> </w:t>
      </w:r>
      <w:r w:rsidR="00E97427">
        <w:rPr>
          <w:noProof/>
        </w:rPr>
        <w:t>3.5</w:t>
      </w:r>
      <w:r w:rsidR="00E97427">
        <w:noBreakHyphen/>
      </w:r>
      <w:r w:rsidR="00E97427">
        <w:rPr>
          <w:noProof/>
        </w:rPr>
        <w:t>1</w:t>
      </w:r>
      <w:r>
        <w:fldChar w:fldCharType="end"/>
      </w:r>
      <w:r>
        <w:rPr>
          <w:rFonts w:hint="eastAsia"/>
        </w:rPr>
        <w:t>。</w:t>
      </w:r>
    </w:p>
    <w:p w:rsidR="006175A6" w:rsidRDefault="009B4BA7">
      <w:pPr>
        <w:pStyle w:val="a3"/>
      </w:pPr>
      <w:bookmarkStart w:id="37" w:name="_Ref77000986"/>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37"/>
      <w:r>
        <w:rPr>
          <w:rFonts w:hint="eastAsia"/>
        </w:rPr>
        <w:t xml:space="preserve">  </w:t>
      </w:r>
      <w:r>
        <w:rPr>
          <w:rFonts w:hint="eastAsia"/>
        </w:rPr>
        <w:t>施工道路分布情况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3"/>
        <w:gridCol w:w="570"/>
        <w:gridCol w:w="2694"/>
        <w:gridCol w:w="1031"/>
        <w:gridCol w:w="1234"/>
        <w:gridCol w:w="1136"/>
        <w:gridCol w:w="1078"/>
      </w:tblGrid>
      <w:tr w:rsidR="006175A6">
        <w:trPr>
          <w:trHeight w:val="340"/>
        </w:trPr>
        <w:tc>
          <w:tcPr>
            <w:tcW w:w="3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位置</w:t>
            </w: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编号</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项目</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长度</w:t>
            </w:r>
            <w:r>
              <w:rPr>
                <w:rFonts w:ascii="Times New Roman" w:eastAsiaTheme="minorEastAsia" w:hAnsi="Times New Roman" w:cs="Times New Roman"/>
                <w:spacing w:val="-1"/>
                <w:sz w:val="21"/>
                <w:szCs w:val="21"/>
              </w:rPr>
              <w:t>（</w:t>
            </w:r>
            <w:r>
              <w:rPr>
                <w:rFonts w:ascii="Times New Roman" w:eastAsiaTheme="minorEastAsia" w:hAnsi="Times New Roman" w:cs="Times New Roman"/>
                <w:spacing w:val="-1"/>
                <w:sz w:val="21"/>
                <w:szCs w:val="21"/>
              </w:rPr>
              <w:t>m</w:t>
            </w:r>
            <w:r>
              <w:rPr>
                <w:rFonts w:ascii="Times New Roman" w:eastAsiaTheme="minorEastAsia" w:hAnsi="Times New Roman" w:cs="Times New Roman"/>
                <w:spacing w:val="-1"/>
                <w:sz w:val="21"/>
                <w:szCs w:val="21"/>
              </w:rPr>
              <w:t>）</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路面宽度（</w:t>
            </w:r>
            <w:r>
              <w:rPr>
                <w:rFonts w:ascii="Times New Roman" w:eastAsiaTheme="minorEastAsia" w:hAnsi="Times New Roman" w:cs="Times New Roman"/>
                <w:sz w:val="21"/>
                <w:szCs w:val="21"/>
              </w:rPr>
              <w:t>m</w:t>
            </w:r>
            <w:r>
              <w:rPr>
                <w:rFonts w:ascii="Times New Roman" w:eastAsiaTheme="minorEastAsia" w:hAnsi="Times New Roman" w:cs="Times New Roman"/>
                <w:sz w:val="21"/>
                <w:szCs w:val="21"/>
              </w:rPr>
              <w:t>）</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路面结构</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备注</w:t>
            </w:r>
          </w:p>
        </w:tc>
      </w:tr>
      <w:tr w:rsidR="006175A6">
        <w:trPr>
          <w:trHeight w:val="340"/>
        </w:trPr>
        <w:tc>
          <w:tcPr>
            <w:tcW w:w="344" w:type="pct"/>
            <w:vMerge w:val="restart"/>
            <w:vAlign w:val="center"/>
          </w:tcPr>
          <w:p w:rsidR="006175A6" w:rsidRDefault="006175A6">
            <w:pPr>
              <w:pStyle w:val="TableParagraph"/>
              <w:rPr>
                <w:rFonts w:ascii="Times New Roman" w:eastAsiaTheme="minorEastAsia" w:hAnsi="Times New Roman" w:cs="Times New Roman"/>
                <w:sz w:val="21"/>
                <w:szCs w:val="21"/>
              </w:rPr>
            </w:pP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大坝</w:t>
            </w: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河床下基坑</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石渣路</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新建临时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左岸上坝道路（</w:t>
            </w:r>
            <w:r>
              <w:rPr>
                <w:rFonts w:ascii="Times New Roman" w:eastAsiaTheme="minorEastAsia" w:hAnsi="Times New Roman" w:cs="Times New Roman"/>
                <w:sz w:val="21"/>
                <w:szCs w:val="21"/>
              </w:rPr>
              <w:t>990~1017m</w:t>
            </w:r>
            <w:r>
              <w:rPr>
                <w:rFonts w:ascii="Times New Roman" w:eastAsiaTheme="minorEastAsia" w:hAnsi="Times New Roman" w:cs="Times New Roman"/>
                <w:sz w:val="21"/>
                <w:szCs w:val="21"/>
              </w:rPr>
              <w:t>）</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新建临时</w:t>
            </w:r>
          </w:p>
        </w:tc>
      </w:tr>
      <w:tr w:rsidR="006175A6">
        <w:trPr>
          <w:trHeight w:val="340"/>
        </w:trPr>
        <w:tc>
          <w:tcPr>
            <w:tcW w:w="34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输水线路施工</w:t>
            </w: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梨园沟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550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板桥湾</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920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小寨沟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1520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黑沟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4300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红山沟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4100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斗子沟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钟家沟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寨沟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渣刺沟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2300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庙沟</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2190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青林垭</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1150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Merge/>
            <w:vAlign w:val="center"/>
          </w:tcPr>
          <w:p w:rsidR="006175A6" w:rsidRDefault="006175A6">
            <w:pPr>
              <w:widowControl/>
              <w:spacing w:line="240" w:lineRule="auto"/>
              <w:ind w:firstLineChars="0" w:firstLine="0"/>
              <w:jc w:val="center"/>
              <w:rPr>
                <w:rFonts w:eastAsiaTheme="minorEastAsia"/>
                <w:sz w:val="21"/>
              </w:rPr>
            </w:pP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龙洞湾</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540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3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料场</w:t>
            </w:r>
          </w:p>
        </w:tc>
        <w:tc>
          <w:tcPr>
            <w:tcW w:w="34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1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料场取料至拌合楼</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560</w:t>
            </w:r>
          </w:p>
        </w:tc>
        <w:tc>
          <w:tcPr>
            <w:tcW w:w="7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68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碎石</w:t>
            </w:r>
          </w:p>
        </w:tc>
        <w:tc>
          <w:tcPr>
            <w:tcW w:w="64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r>
      <w:tr w:rsidR="006175A6">
        <w:trPr>
          <w:trHeight w:val="340"/>
        </w:trPr>
        <w:tc>
          <w:tcPr>
            <w:tcW w:w="2306" w:type="pct"/>
            <w:gridSpan w:val="3"/>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62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25230</w:t>
            </w:r>
          </w:p>
        </w:tc>
        <w:tc>
          <w:tcPr>
            <w:tcW w:w="742" w:type="pct"/>
            <w:vAlign w:val="center"/>
          </w:tcPr>
          <w:p w:rsidR="006175A6" w:rsidRDefault="006175A6">
            <w:pPr>
              <w:pStyle w:val="TableParagraph"/>
              <w:rPr>
                <w:rFonts w:ascii="Times New Roman" w:eastAsiaTheme="minorEastAsia" w:hAnsi="Times New Roman" w:cs="Times New Roman"/>
                <w:sz w:val="21"/>
                <w:szCs w:val="21"/>
              </w:rPr>
            </w:pPr>
          </w:p>
        </w:tc>
        <w:tc>
          <w:tcPr>
            <w:tcW w:w="683" w:type="pct"/>
            <w:vAlign w:val="center"/>
          </w:tcPr>
          <w:p w:rsidR="006175A6" w:rsidRDefault="006175A6">
            <w:pPr>
              <w:pStyle w:val="TableParagraph"/>
              <w:rPr>
                <w:rFonts w:ascii="Times New Roman" w:eastAsiaTheme="minorEastAsia" w:hAnsi="Times New Roman" w:cs="Times New Roman"/>
                <w:sz w:val="21"/>
                <w:szCs w:val="21"/>
              </w:rPr>
            </w:pPr>
          </w:p>
        </w:tc>
        <w:tc>
          <w:tcPr>
            <w:tcW w:w="649" w:type="pct"/>
            <w:vAlign w:val="center"/>
          </w:tcPr>
          <w:p w:rsidR="006175A6" w:rsidRDefault="006175A6">
            <w:pPr>
              <w:pStyle w:val="TableParagraph"/>
              <w:rPr>
                <w:rFonts w:ascii="Times New Roman" w:eastAsiaTheme="minorEastAsia" w:hAnsi="Times New Roman" w:cs="Times New Roman"/>
                <w:sz w:val="21"/>
                <w:szCs w:val="21"/>
              </w:rPr>
            </w:pPr>
          </w:p>
        </w:tc>
      </w:tr>
    </w:tbl>
    <w:p w:rsidR="006175A6" w:rsidRDefault="006175A6">
      <w:pPr>
        <w:ind w:firstLine="480"/>
      </w:pPr>
    </w:p>
    <w:p w:rsidR="006175A6" w:rsidRDefault="009B4BA7">
      <w:pPr>
        <w:pStyle w:val="3"/>
      </w:pPr>
      <w:r>
        <w:rPr>
          <w:rFonts w:hint="eastAsia"/>
        </w:rPr>
        <w:t>施工布置</w:t>
      </w:r>
    </w:p>
    <w:p w:rsidR="006175A6" w:rsidRDefault="009B4BA7">
      <w:pPr>
        <w:pStyle w:val="4"/>
      </w:pPr>
      <w:r>
        <w:rPr>
          <w:rFonts w:hint="eastAsia"/>
        </w:rPr>
        <w:t>布置原则</w:t>
      </w:r>
    </w:p>
    <w:p w:rsidR="006175A6" w:rsidRDefault="009B4BA7">
      <w:pPr>
        <w:ind w:firstLine="480"/>
      </w:pPr>
      <w:r>
        <w:rPr>
          <w:rFonts w:hint="eastAsia"/>
        </w:rPr>
        <w:t>根据枢纽布置和工程规模、地形地质条件，施工布置的规划原则如下：</w:t>
      </w:r>
    </w:p>
    <w:p w:rsidR="006175A6" w:rsidRDefault="009B4BA7">
      <w:pPr>
        <w:ind w:firstLine="480"/>
      </w:pPr>
      <w:r>
        <w:rPr>
          <w:rFonts w:hint="eastAsia"/>
        </w:rPr>
        <w:t>（</w:t>
      </w:r>
      <w:r>
        <w:rPr>
          <w:rFonts w:hint="eastAsia"/>
        </w:rPr>
        <w:t>1</w:t>
      </w:r>
      <w:r>
        <w:rPr>
          <w:rFonts w:hint="eastAsia"/>
        </w:rPr>
        <w:t>）节约用地，交通顺畅，方便生产、生活。生产区和生活区相对分开，采用右岸为主，左岸为辅的两岸分散布置方式。</w:t>
      </w:r>
    </w:p>
    <w:p w:rsidR="006175A6" w:rsidRDefault="009B4BA7">
      <w:pPr>
        <w:ind w:firstLine="480"/>
      </w:pPr>
      <w:r>
        <w:rPr>
          <w:rFonts w:hint="eastAsia"/>
        </w:rPr>
        <w:t>（</w:t>
      </w:r>
      <w:r>
        <w:rPr>
          <w:rFonts w:hint="eastAsia"/>
        </w:rPr>
        <w:t>2</w:t>
      </w:r>
      <w:r>
        <w:rPr>
          <w:rFonts w:hint="eastAsia"/>
        </w:rPr>
        <w:t>）因地制宜，充分利用当地现有条件，尽可能缩小施工企业规模，必须修建的施工及生活设施，均按临时标准修建，以减少工程费用。</w:t>
      </w:r>
    </w:p>
    <w:p w:rsidR="006175A6" w:rsidRDefault="009B4BA7">
      <w:pPr>
        <w:ind w:firstLine="480"/>
      </w:pPr>
      <w:r>
        <w:rPr>
          <w:rFonts w:hint="eastAsia"/>
        </w:rPr>
        <w:t>（</w:t>
      </w:r>
      <w:r>
        <w:rPr>
          <w:rFonts w:hint="eastAsia"/>
        </w:rPr>
        <w:t>3</w:t>
      </w:r>
      <w:r>
        <w:rPr>
          <w:rFonts w:hint="eastAsia"/>
        </w:rPr>
        <w:t>）临时生活用房尽量与永久住房相结合。</w:t>
      </w:r>
    </w:p>
    <w:p w:rsidR="006175A6" w:rsidRDefault="009B4BA7">
      <w:pPr>
        <w:ind w:firstLine="480"/>
      </w:pPr>
      <w:r>
        <w:rPr>
          <w:rFonts w:hint="eastAsia"/>
        </w:rPr>
        <w:t>基于以上原则，施工总平面布置应根据场地条件采用分散布置，除工程必须的砂石骨料加工系统、混凝土拌合系统、钢筋木材加工及其施工机械维修厂以外，施工中涉及的钢模板、标准产品和钢结构等，均由专门厂家提供或者加工，施工现场仅规划维修保养、堆放场地。</w:t>
      </w:r>
    </w:p>
    <w:p w:rsidR="006175A6" w:rsidRDefault="009B4BA7">
      <w:pPr>
        <w:pStyle w:val="4"/>
      </w:pPr>
      <w:r>
        <w:rPr>
          <w:rFonts w:hint="eastAsia"/>
        </w:rPr>
        <w:t>施工总体规划</w:t>
      </w:r>
    </w:p>
    <w:p w:rsidR="006175A6" w:rsidRDefault="009B4BA7">
      <w:pPr>
        <w:ind w:firstLine="480"/>
      </w:pPr>
      <w:r>
        <w:rPr>
          <w:rFonts w:hint="eastAsia"/>
        </w:rPr>
        <w:t>施工总平面布置根据场地条件采用分区布置，与工程施工密切相关的企业主要布置在坝址下游右岸一带。</w:t>
      </w:r>
    </w:p>
    <w:p w:rsidR="006175A6" w:rsidRDefault="009B4BA7">
      <w:pPr>
        <w:ind w:firstLine="480"/>
      </w:pPr>
      <w:r>
        <w:rPr>
          <w:rFonts w:hint="eastAsia"/>
        </w:rPr>
        <w:t>（</w:t>
      </w:r>
      <w:r>
        <w:rPr>
          <w:rFonts w:hint="eastAsia"/>
        </w:rPr>
        <w:t>1</w:t>
      </w:r>
      <w:r>
        <w:rPr>
          <w:rFonts w:hint="eastAsia"/>
        </w:rPr>
        <w:t>）砂石加工系统</w:t>
      </w:r>
    </w:p>
    <w:p w:rsidR="006175A6" w:rsidRDefault="009B4BA7">
      <w:pPr>
        <w:ind w:firstLine="480"/>
      </w:pPr>
      <w:r>
        <w:rPr>
          <w:rFonts w:hint="eastAsia"/>
        </w:rPr>
        <w:t>砂石生产系统布置在大坝右岸下游</w:t>
      </w:r>
      <w:r>
        <w:rPr>
          <w:rFonts w:hint="eastAsia"/>
        </w:rPr>
        <w:t>1002m</w:t>
      </w:r>
      <w:r>
        <w:rPr>
          <w:rFonts w:hint="eastAsia"/>
        </w:rPr>
        <w:t>高程的岸坡上，距坝址约</w:t>
      </w:r>
      <w:r>
        <w:rPr>
          <w:rFonts w:hint="eastAsia"/>
        </w:rPr>
        <w:t>750m</w:t>
      </w:r>
      <w:r>
        <w:rPr>
          <w:rFonts w:hint="eastAsia"/>
        </w:rPr>
        <w:t>。</w:t>
      </w:r>
      <w:r>
        <w:rPr>
          <w:rFonts w:hint="eastAsia"/>
        </w:rPr>
        <w:lastRenderedPageBreak/>
        <w:t>配置一套砂石分筛系统即可，分筛后按不同的粒径规格堆放。</w:t>
      </w:r>
    </w:p>
    <w:p w:rsidR="006175A6" w:rsidRDefault="009B4BA7">
      <w:pPr>
        <w:ind w:firstLine="480"/>
      </w:pPr>
      <w:r>
        <w:rPr>
          <w:rFonts w:hint="eastAsia"/>
        </w:rPr>
        <w:t>（</w:t>
      </w:r>
      <w:r>
        <w:rPr>
          <w:rFonts w:hint="eastAsia"/>
        </w:rPr>
        <w:t>2</w:t>
      </w:r>
      <w:r>
        <w:rPr>
          <w:rFonts w:hint="eastAsia"/>
        </w:rPr>
        <w:t>）混凝土拌和系统</w:t>
      </w:r>
    </w:p>
    <w:p w:rsidR="006175A6" w:rsidRDefault="009B4BA7">
      <w:pPr>
        <w:ind w:firstLine="480"/>
      </w:pPr>
      <w:r>
        <w:rPr>
          <w:rFonts w:hint="eastAsia"/>
        </w:rPr>
        <w:t>工程混凝土总量约为</w:t>
      </w:r>
      <w:r>
        <w:rPr>
          <w:rFonts w:hint="eastAsia"/>
        </w:rPr>
        <w:t>14.0</w:t>
      </w:r>
      <w:r>
        <w:rPr>
          <w:rFonts w:hint="eastAsia"/>
        </w:rPr>
        <w:t>万</w:t>
      </w:r>
      <w:r>
        <w:rPr>
          <w:rFonts w:hint="eastAsia"/>
        </w:rPr>
        <w:t>m</w:t>
      </w:r>
      <w:r>
        <w:rPr>
          <w:rFonts w:hint="eastAsia"/>
        </w:rPr>
        <w:t>³，高峰月浇筑强度约</w:t>
      </w:r>
      <w:r>
        <w:rPr>
          <w:rFonts w:hint="eastAsia"/>
        </w:rPr>
        <w:t>3.2</w:t>
      </w:r>
      <w:r>
        <w:rPr>
          <w:rFonts w:hint="eastAsia"/>
        </w:rPr>
        <w:t>万</w:t>
      </w:r>
      <w:r>
        <w:rPr>
          <w:rFonts w:hint="eastAsia"/>
        </w:rPr>
        <w:t>m</w:t>
      </w:r>
      <w:r>
        <w:rPr>
          <w:rFonts w:hint="eastAsia"/>
        </w:rPr>
        <w:t>³，混凝土工程量主要集中大坝施工。因此，混凝土生产系统布置除导流隧洞等采用临时拌合站外，主要部位的混凝土均由拌合楼供料。拌合楼布置在大坝右岸下游</w:t>
      </w:r>
      <w:r>
        <w:rPr>
          <w:rFonts w:hint="eastAsia"/>
        </w:rPr>
        <w:t>995m</w:t>
      </w:r>
      <w:r>
        <w:rPr>
          <w:rFonts w:hint="eastAsia"/>
        </w:rPr>
        <w:t>高程的岸坡上，距坝址约</w:t>
      </w:r>
      <w:r>
        <w:rPr>
          <w:rFonts w:hint="eastAsia"/>
        </w:rPr>
        <w:t>750m</w:t>
      </w:r>
      <w:r>
        <w:rPr>
          <w:rFonts w:hint="eastAsia"/>
        </w:rPr>
        <w:t>。选用型号为</w:t>
      </w:r>
      <w:r>
        <w:rPr>
          <w:rFonts w:hint="eastAsia"/>
        </w:rPr>
        <w:t>HL115</w:t>
      </w:r>
      <w:r>
        <w:rPr>
          <w:rFonts w:hint="eastAsia"/>
        </w:rPr>
        <w:t>—</w:t>
      </w:r>
      <w:r>
        <w:rPr>
          <w:rFonts w:hint="eastAsia"/>
        </w:rPr>
        <w:t>4F1000</w:t>
      </w:r>
      <w:r>
        <w:rPr>
          <w:rFonts w:hint="eastAsia"/>
        </w:rPr>
        <w:t>的拌和楼，最大楼高</w:t>
      </w:r>
      <w:r>
        <w:rPr>
          <w:rFonts w:hint="eastAsia"/>
        </w:rPr>
        <w:t>25m</w:t>
      </w:r>
      <w:r>
        <w:rPr>
          <w:rFonts w:hint="eastAsia"/>
        </w:rPr>
        <w:t>，拌和能力</w:t>
      </w:r>
      <w:r>
        <w:rPr>
          <w:rFonts w:hint="eastAsia"/>
        </w:rPr>
        <w:t>150m</w:t>
      </w:r>
      <w:r>
        <w:rPr>
          <w:rFonts w:hint="eastAsia"/>
          <w:vertAlign w:val="superscript"/>
        </w:rPr>
        <w:t>3</w:t>
      </w:r>
      <w:r>
        <w:rPr>
          <w:rFonts w:hint="eastAsia"/>
        </w:rPr>
        <w:t>/h</w:t>
      </w:r>
      <w:r>
        <w:rPr>
          <w:rFonts w:hint="eastAsia"/>
        </w:rPr>
        <w:t>，可满足混凝土施工强度要求。</w:t>
      </w:r>
    </w:p>
    <w:p w:rsidR="006175A6" w:rsidRDefault="009B4BA7">
      <w:pPr>
        <w:ind w:firstLine="480"/>
      </w:pPr>
      <w:r>
        <w:rPr>
          <w:rFonts w:hint="eastAsia"/>
        </w:rPr>
        <w:t>（</w:t>
      </w:r>
      <w:r>
        <w:rPr>
          <w:rFonts w:hint="eastAsia"/>
        </w:rPr>
        <w:t>3</w:t>
      </w:r>
      <w:r>
        <w:rPr>
          <w:rFonts w:hint="eastAsia"/>
        </w:rPr>
        <w:t>）综合加工系统</w:t>
      </w:r>
    </w:p>
    <w:p w:rsidR="006175A6" w:rsidRDefault="009B4BA7">
      <w:pPr>
        <w:ind w:firstLine="480"/>
      </w:pPr>
      <w:r>
        <w:rPr>
          <w:rFonts w:hint="eastAsia"/>
        </w:rPr>
        <w:t>包括钢筋加工厂、木材加工厂、混凝土预制构件厂和金结加工拼装长等，布置在大坝右岸下游</w:t>
      </w:r>
      <w:r>
        <w:rPr>
          <w:rFonts w:hint="eastAsia"/>
        </w:rPr>
        <w:t>977m</w:t>
      </w:r>
      <w:r>
        <w:rPr>
          <w:rFonts w:hint="eastAsia"/>
        </w:rPr>
        <w:t>高程的岸坡上，距坝址约</w:t>
      </w:r>
      <w:r>
        <w:rPr>
          <w:rFonts w:hint="eastAsia"/>
        </w:rPr>
        <w:t>1100m</w:t>
      </w:r>
      <w:r>
        <w:rPr>
          <w:rFonts w:hint="eastAsia"/>
        </w:rPr>
        <w:t>。</w:t>
      </w:r>
    </w:p>
    <w:p w:rsidR="006175A6" w:rsidRDefault="009B4BA7">
      <w:pPr>
        <w:ind w:firstLine="480"/>
      </w:pPr>
      <w:r>
        <w:rPr>
          <w:rFonts w:hint="eastAsia"/>
        </w:rPr>
        <w:t>根据工程施工规模及施工设置相应规模企业施工工厂。本工程在现场设有机械修配厂、钢筋加工厂、木材加工厂等，工程施工设施和建筑占地面积见</w:t>
      </w:r>
      <w:r>
        <w:fldChar w:fldCharType="begin"/>
      </w:r>
      <w:r>
        <w:instrText xml:space="preserve"> </w:instrText>
      </w:r>
      <w:r>
        <w:rPr>
          <w:rFonts w:hint="eastAsia"/>
        </w:rPr>
        <w:instrText>REF _Ref77001363 \h</w:instrText>
      </w:r>
      <w:r>
        <w:instrText xml:space="preserve"> </w:instrText>
      </w:r>
      <w:r>
        <w:fldChar w:fldCharType="separate"/>
      </w:r>
      <w:r w:rsidR="00E97427">
        <w:rPr>
          <w:rFonts w:hint="eastAsia"/>
        </w:rPr>
        <w:t>表</w:t>
      </w:r>
      <w:r w:rsidR="00E97427">
        <w:rPr>
          <w:rFonts w:hint="eastAsia"/>
        </w:rPr>
        <w:t xml:space="preserve"> </w:t>
      </w:r>
      <w:r w:rsidR="00E97427">
        <w:rPr>
          <w:noProof/>
        </w:rPr>
        <w:t>3.5</w:t>
      </w:r>
      <w:r w:rsidR="00E97427">
        <w:noBreakHyphen/>
      </w:r>
      <w:r w:rsidR="00E97427">
        <w:rPr>
          <w:noProof/>
        </w:rPr>
        <w:t>2</w:t>
      </w:r>
      <w:r>
        <w:fldChar w:fldCharType="end"/>
      </w:r>
      <w:r>
        <w:rPr>
          <w:rFonts w:hint="eastAsia"/>
        </w:rPr>
        <w:t>。</w:t>
      </w:r>
    </w:p>
    <w:p w:rsidR="006175A6" w:rsidRDefault="009B4BA7">
      <w:pPr>
        <w:pStyle w:val="a3"/>
      </w:pPr>
      <w:bookmarkStart w:id="38" w:name="_Ref77001363"/>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bookmarkEnd w:id="38"/>
      <w:r>
        <w:rPr>
          <w:rFonts w:hint="eastAsia"/>
        </w:rPr>
        <w:t xml:space="preserve">  </w:t>
      </w:r>
      <w:r>
        <w:rPr>
          <w:rFonts w:hint="eastAsia"/>
        </w:rPr>
        <w:t>施工用场地面积统计一览表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10"/>
        <w:gridCol w:w="1878"/>
        <w:gridCol w:w="1322"/>
        <w:gridCol w:w="2164"/>
        <w:gridCol w:w="2142"/>
      </w:tblGrid>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编号</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项目名称</w:t>
            </w:r>
          </w:p>
        </w:tc>
        <w:tc>
          <w:tcPr>
            <w:tcW w:w="795"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规模</w:t>
            </w: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建筑面积（</w:t>
            </w:r>
            <w:r>
              <w:rPr>
                <w:rFonts w:ascii="Times New Roman" w:eastAsiaTheme="minorEastAsia" w:hAnsi="Times New Roman" w:cs="Times New Roman"/>
                <w:sz w:val="21"/>
                <w:szCs w:val="21"/>
              </w:rPr>
              <w:t>m²</w:t>
            </w:r>
            <w:r>
              <w:rPr>
                <w:rFonts w:ascii="Times New Roman" w:eastAsiaTheme="minorEastAsia" w:hAnsi="Times New Roman" w:cs="Times New Roman"/>
                <w:sz w:val="21"/>
                <w:szCs w:val="21"/>
              </w:rPr>
              <w:t>）</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占地面积（亩）</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砂石加工系统</w:t>
            </w:r>
          </w:p>
        </w:tc>
        <w:tc>
          <w:tcPr>
            <w:tcW w:w="795"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220t/h</w:t>
            </w: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3.8</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拌和站</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3.6</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临时堆放</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3.25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空压系统</w:t>
            </w:r>
          </w:p>
        </w:tc>
        <w:tc>
          <w:tcPr>
            <w:tcW w:w="795"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10m³/min</w:t>
            </w: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施工供水</w:t>
            </w:r>
          </w:p>
        </w:tc>
        <w:tc>
          <w:tcPr>
            <w:tcW w:w="795"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600m³/h</w:t>
            </w: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0.3</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施工供电</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0.6</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机械修理</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汽车保养</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机械停放</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45</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钢筋</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木材</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0.75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物资仓库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设备仓库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水泥仓库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0.9</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16</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油料仓库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0.45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17</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炸药雷管仓库</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0.15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临时生活用房</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19</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施工道路</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200.3</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料场</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17.2</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21</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1#~13#</w:t>
            </w:r>
            <w:r>
              <w:rPr>
                <w:rFonts w:ascii="Times New Roman" w:eastAsiaTheme="minorEastAsia" w:hAnsi="Times New Roman" w:cs="Times New Roman"/>
                <w:sz w:val="21"/>
                <w:szCs w:val="21"/>
              </w:rPr>
              <w:t>渣场</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6175A6">
            <w:pPr>
              <w:pStyle w:val="TableParagraph"/>
              <w:jc w:val="left"/>
              <w:rPr>
                <w:rFonts w:ascii="Times New Roman" w:eastAsiaTheme="minorEastAsia" w:hAnsi="Times New Roman" w:cs="Times New Roman"/>
                <w:sz w:val="21"/>
                <w:szCs w:val="21"/>
              </w:rPr>
            </w:pP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103.1</w:t>
            </w:r>
          </w:p>
        </w:tc>
      </w:tr>
      <w:tr w:rsidR="006175A6">
        <w:trPr>
          <w:trHeight w:val="340"/>
          <w:jc w:val="center"/>
        </w:trPr>
        <w:tc>
          <w:tcPr>
            <w:tcW w:w="487"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22</w:t>
            </w:r>
          </w:p>
        </w:tc>
        <w:tc>
          <w:tcPr>
            <w:tcW w:w="1129"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其他</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r>
      <w:tr w:rsidR="006175A6">
        <w:trPr>
          <w:trHeight w:val="340"/>
          <w:jc w:val="center"/>
        </w:trPr>
        <w:tc>
          <w:tcPr>
            <w:tcW w:w="1616" w:type="pct"/>
            <w:gridSpan w:val="2"/>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795" w:type="pct"/>
          </w:tcPr>
          <w:p w:rsidR="006175A6" w:rsidRDefault="006175A6">
            <w:pPr>
              <w:pStyle w:val="TableParagraph"/>
              <w:jc w:val="left"/>
              <w:rPr>
                <w:rFonts w:ascii="Times New Roman" w:eastAsiaTheme="minorEastAsia" w:hAnsi="Times New Roman" w:cs="Times New Roman"/>
                <w:sz w:val="21"/>
                <w:szCs w:val="21"/>
              </w:rPr>
            </w:pPr>
          </w:p>
        </w:tc>
        <w:tc>
          <w:tcPr>
            <w:tcW w:w="1301"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5675</w:t>
            </w:r>
          </w:p>
        </w:tc>
        <w:tc>
          <w:tcPr>
            <w:tcW w:w="1288" w:type="pct"/>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352</w:t>
            </w:r>
          </w:p>
        </w:tc>
      </w:tr>
    </w:tbl>
    <w:p w:rsidR="006175A6" w:rsidRDefault="009B4BA7">
      <w:pPr>
        <w:pStyle w:val="3"/>
      </w:pPr>
      <w:r>
        <w:rPr>
          <w:rFonts w:hint="eastAsia"/>
        </w:rPr>
        <w:t>风、水、电及通信系统</w:t>
      </w:r>
    </w:p>
    <w:p w:rsidR="006175A6" w:rsidRDefault="009B4BA7">
      <w:pPr>
        <w:ind w:firstLine="480"/>
      </w:pPr>
      <w:r>
        <w:rPr>
          <w:rFonts w:hint="eastAsia"/>
        </w:rPr>
        <w:t>（</w:t>
      </w:r>
      <w:r>
        <w:rPr>
          <w:rFonts w:hint="eastAsia"/>
        </w:rPr>
        <w:t>1</w:t>
      </w:r>
      <w:r>
        <w:rPr>
          <w:rFonts w:hint="eastAsia"/>
        </w:rPr>
        <w:t>）施工供风系统</w:t>
      </w:r>
    </w:p>
    <w:p w:rsidR="006175A6" w:rsidRDefault="009B4BA7">
      <w:pPr>
        <w:ind w:firstLine="480"/>
      </w:pPr>
      <w:r>
        <w:rPr>
          <w:rFonts w:hint="eastAsia"/>
        </w:rPr>
        <w:t>①大坝区供风</w:t>
      </w:r>
    </w:p>
    <w:p w:rsidR="006175A6" w:rsidRDefault="009B4BA7">
      <w:pPr>
        <w:ind w:firstLine="480"/>
      </w:pPr>
      <w:r>
        <w:rPr>
          <w:rFonts w:hint="eastAsia"/>
        </w:rPr>
        <w:t>大坝施工区供风：设计供风能力为</w:t>
      </w:r>
      <w:r>
        <w:rPr>
          <w:rFonts w:hint="eastAsia"/>
        </w:rPr>
        <w:t>20m</w:t>
      </w:r>
      <w:r>
        <w:rPr>
          <w:rFonts w:hint="eastAsia"/>
        </w:rPr>
        <w:t>³</w:t>
      </w:r>
      <w:r>
        <w:rPr>
          <w:rFonts w:hint="eastAsia"/>
        </w:rPr>
        <w:t>/min</w:t>
      </w:r>
      <w:r>
        <w:rPr>
          <w:rFonts w:hint="eastAsia"/>
        </w:rPr>
        <w:t>，设计布置</w:t>
      </w:r>
      <w:r>
        <w:rPr>
          <w:rFonts w:hint="eastAsia"/>
        </w:rPr>
        <w:t>2</w:t>
      </w:r>
      <w:r>
        <w:rPr>
          <w:rFonts w:hint="eastAsia"/>
        </w:rPr>
        <w:t>台空压机，空压站内布置</w:t>
      </w:r>
      <w:r>
        <w:rPr>
          <w:rFonts w:hint="eastAsia"/>
        </w:rPr>
        <w:t>1</w:t>
      </w:r>
      <w:r>
        <w:rPr>
          <w:rFonts w:hint="eastAsia"/>
        </w:rPr>
        <w:t>台</w:t>
      </w:r>
      <w:r>
        <w:rPr>
          <w:rFonts w:hint="eastAsia"/>
        </w:rPr>
        <w:t>20m</w:t>
      </w:r>
      <w:r>
        <w:rPr>
          <w:rFonts w:hint="eastAsia"/>
        </w:rPr>
        <w:t>³电动固定式空气压缩机，左右岸各一台，主要供大坝基础开挖及输水渠道进口段开挖用风。</w:t>
      </w:r>
    </w:p>
    <w:p w:rsidR="006175A6" w:rsidRDefault="009B4BA7">
      <w:pPr>
        <w:ind w:firstLine="480"/>
      </w:pPr>
      <w:r>
        <w:rPr>
          <w:rFonts w:hint="eastAsia"/>
        </w:rPr>
        <w:t>②隧洞供风</w:t>
      </w:r>
    </w:p>
    <w:p w:rsidR="006175A6" w:rsidRDefault="009B4BA7">
      <w:pPr>
        <w:ind w:firstLine="480"/>
      </w:pPr>
      <w:r>
        <w:rPr>
          <w:rFonts w:hint="eastAsia"/>
        </w:rPr>
        <w:t>隧洞供风点布置隧洞进出口，隧洞具体供风设计见</w:t>
      </w:r>
      <w:r>
        <w:fldChar w:fldCharType="begin"/>
      </w:r>
      <w:r>
        <w:instrText xml:space="preserve"> </w:instrText>
      </w:r>
      <w:r>
        <w:rPr>
          <w:rFonts w:hint="eastAsia"/>
        </w:rPr>
        <w:instrText>REF _Ref77001752 \h</w:instrText>
      </w:r>
      <w:r>
        <w:instrText xml:space="preserve"> </w:instrText>
      </w:r>
      <w:r>
        <w:fldChar w:fldCharType="separate"/>
      </w:r>
      <w:r w:rsidR="00E97427">
        <w:rPr>
          <w:rFonts w:hint="eastAsia"/>
        </w:rPr>
        <w:t>表</w:t>
      </w:r>
      <w:r w:rsidR="00E97427">
        <w:rPr>
          <w:rFonts w:hint="eastAsia"/>
        </w:rPr>
        <w:t xml:space="preserve"> </w:t>
      </w:r>
      <w:r w:rsidR="00E97427">
        <w:rPr>
          <w:noProof/>
        </w:rPr>
        <w:t>3.5</w:t>
      </w:r>
      <w:r w:rsidR="00E97427">
        <w:noBreakHyphen/>
      </w:r>
      <w:r w:rsidR="00E97427">
        <w:rPr>
          <w:noProof/>
        </w:rPr>
        <w:t>3</w:t>
      </w:r>
      <w:r>
        <w:fldChar w:fldCharType="end"/>
      </w:r>
      <w:r>
        <w:rPr>
          <w:rFonts w:hint="eastAsia"/>
        </w:rPr>
        <w:t>。</w:t>
      </w:r>
    </w:p>
    <w:p w:rsidR="006175A6" w:rsidRDefault="009B4BA7">
      <w:pPr>
        <w:pStyle w:val="a3"/>
      </w:pPr>
      <w:bookmarkStart w:id="39" w:name="_Ref77001752"/>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bookmarkEnd w:id="39"/>
      <w:r>
        <w:rPr>
          <w:rFonts w:hint="eastAsia"/>
        </w:rPr>
        <w:t xml:space="preserve">  </w:t>
      </w:r>
      <w:r>
        <w:rPr>
          <w:rFonts w:hint="eastAsia"/>
        </w:rPr>
        <w:t>隧洞供风设备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1"/>
        <w:gridCol w:w="2269"/>
        <w:gridCol w:w="1134"/>
        <w:gridCol w:w="2267"/>
        <w:gridCol w:w="993"/>
        <w:gridCol w:w="1222"/>
      </w:tblGrid>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序号</w:t>
            </w:r>
          </w:p>
        </w:tc>
        <w:tc>
          <w:tcPr>
            <w:tcW w:w="1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建筑物名称</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建筑物长度</w:t>
            </w:r>
          </w:p>
        </w:tc>
        <w:tc>
          <w:tcPr>
            <w:tcW w:w="136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设计供风设备型号</w:t>
            </w:r>
          </w:p>
        </w:tc>
        <w:tc>
          <w:tcPr>
            <w:tcW w:w="597"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pacing w:val="-5"/>
                <w:sz w:val="21"/>
                <w:szCs w:val="21"/>
                <w:lang w:eastAsia="zh-CN"/>
              </w:rPr>
              <w:t>设备</w:t>
            </w:r>
            <w:r>
              <w:rPr>
                <w:rFonts w:ascii="Times New Roman" w:eastAsiaTheme="minorEastAsia" w:hAnsi="Times New Roman" w:cs="Times New Roman"/>
                <w:sz w:val="21"/>
                <w:szCs w:val="21"/>
                <w:lang w:eastAsia="zh-CN"/>
              </w:rPr>
              <w:t>台数</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备注</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导流隧洞</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220</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w:t>
            </w:r>
            <w:r>
              <w:rPr>
                <w:rFonts w:ascii="Times New Roman" w:eastAsiaTheme="minorEastAsia" w:hAnsi="Times New Roman" w:cs="Times New Roman"/>
                <w:sz w:val="21"/>
                <w:szCs w:val="21"/>
                <w:lang w:eastAsia="zh-CN"/>
              </w:rPr>
              <w:t>隧洞（坝址至梨园沟）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1178</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2#</w:t>
            </w:r>
            <w:r>
              <w:rPr>
                <w:rFonts w:ascii="Times New Roman" w:eastAsiaTheme="minorEastAsia" w:hAnsi="Times New Roman" w:cs="Times New Roman"/>
                <w:sz w:val="21"/>
                <w:szCs w:val="21"/>
                <w:lang w:eastAsia="zh-CN"/>
              </w:rPr>
              <w:t>隧洞（坝址至板桥湾）</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1826</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3#</w:t>
            </w:r>
            <w:r>
              <w:rPr>
                <w:rFonts w:ascii="Times New Roman" w:eastAsiaTheme="minorEastAsia" w:hAnsi="Times New Roman" w:cs="Times New Roman"/>
                <w:sz w:val="21"/>
                <w:szCs w:val="21"/>
                <w:lang w:eastAsia="zh-CN"/>
              </w:rPr>
              <w:t>隧洞（板桥湾至小寨沟）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1310</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4#</w:t>
            </w:r>
            <w:r>
              <w:rPr>
                <w:rFonts w:ascii="Times New Roman" w:eastAsiaTheme="minorEastAsia" w:hAnsi="Times New Roman" w:cs="Times New Roman"/>
                <w:sz w:val="21"/>
                <w:szCs w:val="21"/>
                <w:lang w:eastAsia="zh-CN"/>
              </w:rPr>
              <w:t>隧洞（小寨沟至黑沟）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2280</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进出口各一台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5#</w:t>
            </w:r>
            <w:r>
              <w:rPr>
                <w:rFonts w:ascii="Times New Roman" w:eastAsiaTheme="minorEastAsia" w:hAnsi="Times New Roman" w:cs="Times New Roman"/>
                <w:sz w:val="21"/>
                <w:szCs w:val="21"/>
                <w:lang w:eastAsia="zh-CN"/>
              </w:rPr>
              <w:t>隧洞（黑沟至红山沟）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2054</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进出口各一台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6#</w:t>
            </w:r>
            <w:r>
              <w:rPr>
                <w:rFonts w:ascii="Times New Roman" w:eastAsiaTheme="minorEastAsia" w:hAnsi="Times New Roman" w:cs="Times New Roman"/>
                <w:sz w:val="21"/>
                <w:szCs w:val="21"/>
                <w:lang w:eastAsia="zh-CN"/>
              </w:rPr>
              <w:t>隧洞（红山沟至斗子沟）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2716</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进出口各一台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7#</w:t>
            </w:r>
            <w:r>
              <w:rPr>
                <w:rFonts w:ascii="Times New Roman" w:eastAsiaTheme="minorEastAsia" w:hAnsi="Times New Roman" w:cs="Times New Roman"/>
                <w:sz w:val="21"/>
                <w:szCs w:val="21"/>
                <w:lang w:eastAsia="zh-CN"/>
              </w:rPr>
              <w:t>隧洞（斗子沟至钟家沟）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1465</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8#</w:t>
            </w:r>
            <w:r>
              <w:rPr>
                <w:rFonts w:ascii="Times New Roman" w:eastAsiaTheme="minorEastAsia" w:hAnsi="Times New Roman" w:cs="Times New Roman"/>
                <w:sz w:val="21"/>
                <w:szCs w:val="21"/>
                <w:lang w:eastAsia="zh-CN"/>
              </w:rPr>
              <w:t>隧洞（钟家沟至寨沟）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1034</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9#</w:t>
            </w:r>
            <w:r>
              <w:rPr>
                <w:rFonts w:ascii="Times New Roman" w:eastAsiaTheme="minorEastAsia" w:hAnsi="Times New Roman" w:cs="Times New Roman"/>
                <w:sz w:val="21"/>
                <w:szCs w:val="21"/>
                <w:lang w:eastAsia="zh-CN"/>
              </w:rPr>
              <w:t>隧洞（寨沟至渣刺沟）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1091</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10#</w:t>
            </w:r>
            <w:r>
              <w:rPr>
                <w:rFonts w:ascii="Times New Roman" w:eastAsiaTheme="minorEastAsia" w:hAnsi="Times New Roman" w:cs="Times New Roman"/>
                <w:sz w:val="21"/>
                <w:szCs w:val="21"/>
                <w:lang w:eastAsia="zh-CN"/>
              </w:rPr>
              <w:t>隧洞（渣刺沟至庙沟）</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1235</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11#</w:t>
            </w:r>
            <w:r>
              <w:rPr>
                <w:rFonts w:ascii="Times New Roman" w:eastAsiaTheme="minorEastAsia" w:hAnsi="Times New Roman" w:cs="Times New Roman"/>
                <w:sz w:val="21"/>
                <w:szCs w:val="21"/>
                <w:lang w:eastAsia="zh-CN"/>
              </w:rPr>
              <w:t>隧洞（庙沟至青林垭）</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1772</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进口一台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12#</w:t>
            </w:r>
            <w:r>
              <w:rPr>
                <w:rFonts w:ascii="Times New Roman" w:eastAsiaTheme="minorEastAsia" w:hAnsi="Times New Roman" w:cs="Times New Roman"/>
                <w:sz w:val="21"/>
                <w:szCs w:val="21"/>
                <w:lang w:eastAsia="zh-CN"/>
              </w:rPr>
              <w:t>隧洞（青林垭至淹水埫）</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2899</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进出口各一台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15</w:t>
            </w:r>
          </w:p>
        </w:tc>
        <w:tc>
          <w:tcPr>
            <w:tcW w:w="1364"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12#</w:t>
            </w:r>
            <w:r>
              <w:rPr>
                <w:rFonts w:ascii="Times New Roman" w:eastAsiaTheme="minorEastAsia" w:hAnsi="Times New Roman" w:cs="Times New Roman"/>
                <w:sz w:val="21"/>
                <w:szCs w:val="21"/>
                <w:lang w:eastAsia="zh-CN"/>
              </w:rPr>
              <w:t>隧洞（淹水埫至龙洞湾）</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2371</w:t>
            </w:r>
          </w:p>
        </w:tc>
        <w:tc>
          <w:tcPr>
            <w:tcW w:w="1363"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10m³/min </w:t>
            </w:r>
            <w:r>
              <w:rPr>
                <w:rFonts w:ascii="Times New Roman" w:eastAsiaTheme="minorEastAsia" w:hAnsi="Times New Roman" w:cs="Times New Roman"/>
                <w:sz w:val="21"/>
                <w:szCs w:val="21"/>
                <w:lang w:eastAsia="zh-CN"/>
              </w:rPr>
              <w:t>电动固定式空压机</w:t>
            </w: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3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进出口各一台</w:t>
            </w:r>
          </w:p>
        </w:tc>
      </w:tr>
      <w:tr w:rsidR="006175A6">
        <w:trPr>
          <w:trHeight w:val="340"/>
          <w:jc w:val="center"/>
        </w:trPr>
        <w:tc>
          <w:tcPr>
            <w:tcW w:w="259"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lang w:eastAsia="zh-CN"/>
              </w:rPr>
              <w:t>6</w:t>
            </w:r>
          </w:p>
        </w:tc>
        <w:tc>
          <w:tcPr>
            <w:tcW w:w="1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6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23431</w:t>
            </w:r>
          </w:p>
        </w:tc>
        <w:tc>
          <w:tcPr>
            <w:tcW w:w="1363" w:type="pct"/>
            <w:vAlign w:val="center"/>
          </w:tcPr>
          <w:p w:rsidR="006175A6" w:rsidRDefault="006175A6">
            <w:pPr>
              <w:pStyle w:val="TableParagraph"/>
              <w:rPr>
                <w:rFonts w:ascii="Times New Roman" w:eastAsiaTheme="minorEastAsia" w:hAnsi="Times New Roman" w:cs="Times New Roman"/>
                <w:sz w:val="21"/>
                <w:szCs w:val="21"/>
              </w:rPr>
            </w:pPr>
          </w:p>
        </w:tc>
        <w:tc>
          <w:tcPr>
            <w:tcW w:w="59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735" w:type="pct"/>
            <w:vAlign w:val="center"/>
          </w:tcPr>
          <w:p w:rsidR="006175A6" w:rsidRDefault="006175A6">
            <w:pPr>
              <w:pStyle w:val="TableParagraph"/>
              <w:rPr>
                <w:rFonts w:ascii="Times New Roman" w:eastAsiaTheme="minorEastAsia" w:hAnsi="Times New Roman" w:cs="Times New Roman"/>
                <w:sz w:val="21"/>
                <w:szCs w:val="21"/>
              </w:rPr>
            </w:pPr>
          </w:p>
        </w:tc>
      </w:tr>
    </w:tbl>
    <w:p w:rsidR="006175A6" w:rsidRDefault="009B4BA7">
      <w:pPr>
        <w:ind w:firstLine="480"/>
      </w:pPr>
      <w:r>
        <w:rPr>
          <w:rFonts w:hint="eastAsia"/>
        </w:rPr>
        <w:t>（</w:t>
      </w:r>
      <w:r>
        <w:rPr>
          <w:rFonts w:hint="eastAsia"/>
        </w:rPr>
        <w:t>2</w:t>
      </w:r>
      <w:r>
        <w:rPr>
          <w:rFonts w:hint="eastAsia"/>
        </w:rPr>
        <w:t>）施工供水系统</w:t>
      </w:r>
    </w:p>
    <w:p w:rsidR="006175A6" w:rsidRDefault="009B4BA7">
      <w:pPr>
        <w:ind w:firstLine="480"/>
      </w:pPr>
      <w:r>
        <w:rPr>
          <w:rFonts w:hint="eastAsia"/>
        </w:rPr>
        <w:t>①水源</w:t>
      </w:r>
    </w:p>
    <w:p w:rsidR="006175A6" w:rsidRDefault="009B4BA7">
      <w:pPr>
        <w:ind w:firstLine="480"/>
      </w:pPr>
      <w:r>
        <w:rPr>
          <w:rFonts w:hint="eastAsia"/>
        </w:rPr>
        <w:t>大坝施工段：施工用水从河中提水。</w:t>
      </w:r>
    </w:p>
    <w:p w:rsidR="006175A6" w:rsidRDefault="009B4BA7">
      <w:pPr>
        <w:ind w:firstLine="480"/>
      </w:pPr>
      <w:r>
        <w:rPr>
          <w:rFonts w:hint="eastAsia"/>
        </w:rPr>
        <w:t>输水线路段：施工用水从附近河中提水。</w:t>
      </w:r>
    </w:p>
    <w:p w:rsidR="006175A6" w:rsidRDefault="009B4BA7">
      <w:pPr>
        <w:ind w:firstLine="480"/>
      </w:pPr>
      <w:r>
        <w:rPr>
          <w:rFonts w:hint="eastAsia"/>
        </w:rPr>
        <w:t>②供水系统规划：由于用水量不大，采用泵抽水可以解决施工用水问题。</w:t>
      </w:r>
    </w:p>
    <w:p w:rsidR="006175A6" w:rsidRDefault="009B4BA7">
      <w:pPr>
        <w:ind w:firstLine="480"/>
      </w:pPr>
      <w:r>
        <w:rPr>
          <w:rFonts w:hint="eastAsia"/>
        </w:rPr>
        <w:t>③供水系统工艺：大坝供水系统从河取水，分别在坝区、拌和区及生活区各布置一个</w:t>
      </w:r>
      <w:r>
        <w:rPr>
          <w:rFonts w:hint="eastAsia"/>
        </w:rPr>
        <w:t xml:space="preserve"> 300m</w:t>
      </w:r>
      <w:r>
        <w:rPr>
          <w:rFonts w:hint="eastAsia"/>
        </w:rPr>
        <w:t>³蓄水池，供坝区、拌合楼及生活区施工和生活用水。</w:t>
      </w:r>
    </w:p>
    <w:p w:rsidR="006175A6" w:rsidRDefault="009B4BA7">
      <w:pPr>
        <w:ind w:firstLine="480"/>
      </w:pPr>
      <w:r>
        <w:rPr>
          <w:rFonts w:hint="eastAsia"/>
        </w:rPr>
        <w:t>输水线路系统选在施工隧洞附近，修建一个</w:t>
      </w:r>
      <w:r>
        <w:rPr>
          <w:rFonts w:hint="eastAsia"/>
        </w:rPr>
        <w:t xml:space="preserve"> 30m</w:t>
      </w:r>
      <w:r>
        <w:rPr>
          <w:rFonts w:hint="eastAsia"/>
        </w:rPr>
        <w:t>³蓄水池，对输水隧道区提供施工用水。</w:t>
      </w:r>
    </w:p>
    <w:p w:rsidR="006175A6" w:rsidRDefault="009B4BA7">
      <w:pPr>
        <w:ind w:firstLine="480"/>
      </w:pPr>
      <w:r>
        <w:rPr>
          <w:rFonts w:hint="eastAsia"/>
        </w:rPr>
        <w:t>（</w:t>
      </w:r>
      <w:r>
        <w:rPr>
          <w:rFonts w:hint="eastAsia"/>
        </w:rPr>
        <w:t>3</w:t>
      </w:r>
      <w:r>
        <w:rPr>
          <w:rFonts w:hint="eastAsia"/>
        </w:rPr>
        <w:t>）施工供电</w:t>
      </w:r>
    </w:p>
    <w:p w:rsidR="006175A6" w:rsidRDefault="009B4BA7">
      <w:pPr>
        <w:ind w:firstLine="480"/>
      </w:pPr>
      <w:r>
        <w:rPr>
          <w:rFonts w:hint="eastAsia"/>
        </w:rPr>
        <w:t>由于施工用电情况比较分散，为满足施工要求，施工供电主要来源为门家河电站。大坝施工所接线路及变压器临时用电结束后，可作为永久用电运行使用，因此不计入临时用电工程，配置两台</w:t>
      </w:r>
      <w:r>
        <w:rPr>
          <w:rFonts w:hint="eastAsia"/>
        </w:rPr>
        <w:t xml:space="preserve"> 50kW </w:t>
      </w:r>
      <w:r>
        <w:rPr>
          <w:rFonts w:hint="eastAsia"/>
        </w:rPr>
        <w:t>柴油发电机组作为备用电源。</w:t>
      </w:r>
    </w:p>
    <w:p w:rsidR="006175A6" w:rsidRDefault="009B4BA7">
      <w:pPr>
        <w:ind w:firstLine="480"/>
      </w:pPr>
      <w:r>
        <w:rPr>
          <w:rFonts w:hint="eastAsia"/>
        </w:rPr>
        <w:t>输水工程线路均为施工临时用电。</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施工供电情况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5"/>
        <w:gridCol w:w="1051"/>
        <w:gridCol w:w="1472"/>
        <w:gridCol w:w="845"/>
        <w:gridCol w:w="845"/>
        <w:gridCol w:w="843"/>
        <w:gridCol w:w="2625"/>
      </w:tblGrid>
      <w:tr w:rsidR="006175A6">
        <w:trPr>
          <w:trHeight w:val="340"/>
        </w:trPr>
        <w:tc>
          <w:tcPr>
            <w:tcW w:w="38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序号</w:t>
            </w:r>
          </w:p>
        </w:tc>
        <w:tc>
          <w:tcPr>
            <w:tcW w:w="6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名称</w:t>
            </w:r>
          </w:p>
        </w:tc>
        <w:tc>
          <w:tcPr>
            <w:tcW w:w="885"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施工用电来源</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型号</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台数</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施工用</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电长度</w:t>
            </w:r>
          </w:p>
        </w:tc>
        <w:tc>
          <w:tcPr>
            <w:tcW w:w="1578"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详情</w:t>
            </w:r>
          </w:p>
        </w:tc>
      </w:tr>
      <w:tr w:rsidR="006175A6">
        <w:trPr>
          <w:trHeight w:val="340"/>
        </w:trPr>
        <w:tc>
          <w:tcPr>
            <w:tcW w:w="382" w:type="pct"/>
            <w:vMerge/>
            <w:vAlign w:val="center"/>
          </w:tcPr>
          <w:p w:rsidR="006175A6" w:rsidRDefault="006175A6">
            <w:pPr>
              <w:widowControl/>
              <w:spacing w:line="240" w:lineRule="auto"/>
              <w:ind w:firstLineChars="0" w:firstLine="0"/>
              <w:jc w:val="center"/>
              <w:rPr>
                <w:rFonts w:eastAsiaTheme="minorEastAsia"/>
                <w:sz w:val="21"/>
              </w:rPr>
            </w:pPr>
          </w:p>
        </w:tc>
        <w:tc>
          <w:tcPr>
            <w:tcW w:w="632" w:type="pct"/>
            <w:vMerge/>
            <w:vAlign w:val="center"/>
          </w:tcPr>
          <w:p w:rsidR="006175A6" w:rsidRDefault="006175A6">
            <w:pPr>
              <w:widowControl/>
              <w:spacing w:line="240" w:lineRule="auto"/>
              <w:ind w:firstLineChars="0" w:firstLine="0"/>
              <w:jc w:val="center"/>
              <w:rPr>
                <w:rFonts w:eastAsiaTheme="minorEastAsia"/>
                <w:sz w:val="21"/>
              </w:rPr>
            </w:pPr>
          </w:p>
        </w:tc>
        <w:tc>
          <w:tcPr>
            <w:tcW w:w="885" w:type="pct"/>
            <w:vMerge/>
            <w:vAlign w:val="center"/>
          </w:tcPr>
          <w:p w:rsidR="006175A6" w:rsidRDefault="006175A6">
            <w:pPr>
              <w:widowControl/>
              <w:spacing w:line="240" w:lineRule="auto"/>
              <w:ind w:firstLineChars="0" w:firstLine="0"/>
              <w:jc w:val="center"/>
              <w:rPr>
                <w:rFonts w:eastAsiaTheme="minorEastAsia"/>
                <w:sz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单位：</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KVA</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单位：</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台</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单位：</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km</w:t>
            </w:r>
          </w:p>
        </w:tc>
        <w:tc>
          <w:tcPr>
            <w:tcW w:w="1578" w:type="pct"/>
            <w:vMerge/>
            <w:vAlign w:val="center"/>
          </w:tcPr>
          <w:p w:rsidR="006175A6" w:rsidRDefault="006175A6">
            <w:pPr>
              <w:widowControl/>
              <w:spacing w:line="240" w:lineRule="auto"/>
              <w:ind w:firstLineChars="0" w:firstLine="0"/>
              <w:jc w:val="center"/>
              <w:rPr>
                <w:rFonts w:eastAsiaTheme="minorEastAsia"/>
                <w:sz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大坝施工</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7.2</w:t>
            </w:r>
          </w:p>
        </w:tc>
        <w:tc>
          <w:tcPr>
            <w:tcW w:w="1578"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从门家河电站接</w:t>
            </w:r>
            <w:r>
              <w:rPr>
                <w:rFonts w:ascii="Times New Roman" w:eastAsiaTheme="minorEastAsia" w:hAnsi="Times New Roman" w:cs="Times New Roman"/>
                <w:sz w:val="21"/>
                <w:szCs w:val="21"/>
                <w:lang w:eastAsia="zh-CN"/>
              </w:rPr>
              <w:t xml:space="preserve"> 10kv </w:t>
            </w:r>
            <w:r>
              <w:rPr>
                <w:rFonts w:ascii="Times New Roman" w:eastAsiaTheme="minorEastAsia" w:hAnsi="Times New Roman" w:cs="Times New Roman"/>
                <w:sz w:val="21"/>
                <w:szCs w:val="21"/>
                <w:lang w:eastAsia="zh-CN"/>
              </w:rPr>
              <w:t>线路</w:t>
            </w: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板桥湾</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157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 </w:t>
            </w:r>
            <w:r>
              <w:rPr>
                <w:rFonts w:ascii="Times New Roman" w:eastAsiaTheme="minorEastAsia" w:hAnsi="Times New Roman" w:cs="Times New Roman"/>
                <w:sz w:val="21"/>
                <w:szCs w:val="21"/>
              </w:rPr>
              <w:t>接上坝线路</w:t>
            </w: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小寨沟</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4.8</w:t>
            </w:r>
          </w:p>
        </w:tc>
        <w:tc>
          <w:tcPr>
            <w:tcW w:w="1578"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从门家河电站接</w:t>
            </w:r>
            <w:r>
              <w:rPr>
                <w:rFonts w:ascii="Times New Roman" w:eastAsiaTheme="minorEastAsia" w:hAnsi="Times New Roman" w:cs="Times New Roman"/>
                <w:sz w:val="21"/>
                <w:szCs w:val="21"/>
                <w:lang w:eastAsia="zh-CN"/>
              </w:rPr>
              <w:t xml:space="preserve"> 10kv </w:t>
            </w:r>
            <w:r>
              <w:rPr>
                <w:rFonts w:ascii="Times New Roman" w:eastAsiaTheme="minorEastAsia" w:hAnsi="Times New Roman" w:cs="Times New Roman"/>
                <w:sz w:val="21"/>
                <w:szCs w:val="21"/>
                <w:lang w:eastAsia="zh-CN"/>
              </w:rPr>
              <w:t>线路</w:t>
            </w: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黑沟</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2.4</w:t>
            </w:r>
          </w:p>
        </w:tc>
        <w:tc>
          <w:tcPr>
            <w:tcW w:w="157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 </w:t>
            </w:r>
            <w:r>
              <w:rPr>
                <w:rFonts w:ascii="Times New Roman" w:eastAsiaTheme="minorEastAsia" w:hAnsi="Times New Roman" w:cs="Times New Roman"/>
                <w:sz w:val="21"/>
                <w:szCs w:val="21"/>
              </w:rPr>
              <w:t>接上小寨沟线路</w:t>
            </w: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红山沟</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柴油发电机</w:t>
            </w: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斗子沟</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维峰电站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钟家沟</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寨沟</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渣刺沟</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庙沟</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1.6</w:t>
            </w: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青林垭</w:t>
            </w:r>
          </w:p>
        </w:tc>
        <w:tc>
          <w:tcPr>
            <w:tcW w:w="885" w:type="pct"/>
            <w:vAlign w:val="center"/>
          </w:tcPr>
          <w:p w:rsidR="006175A6" w:rsidRDefault="006175A6">
            <w:pPr>
              <w:pStyle w:val="TableParagraph"/>
              <w:rPr>
                <w:rFonts w:ascii="Times New Roman" w:eastAsiaTheme="minorEastAsia" w:hAnsi="Times New Roman" w:cs="Times New Roman"/>
                <w:sz w:val="21"/>
                <w:szCs w:val="21"/>
              </w:rPr>
            </w:pP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125</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2.5</w:t>
            </w: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淹水埫</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黄粮变电站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闸沟</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黄粮变电站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3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14</w:t>
            </w:r>
          </w:p>
        </w:tc>
        <w:tc>
          <w:tcPr>
            <w:tcW w:w="63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龙洞湾</w:t>
            </w:r>
          </w:p>
        </w:tc>
        <w:tc>
          <w:tcPr>
            <w:tcW w:w="88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黄粮变电站</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07" w:type="pct"/>
            <w:vAlign w:val="center"/>
          </w:tcPr>
          <w:p w:rsidR="006175A6" w:rsidRDefault="006175A6">
            <w:pPr>
              <w:pStyle w:val="TableParagraph"/>
              <w:rPr>
                <w:rFonts w:ascii="Times New Roman" w:eastAsiaTheme="minorEastAsia" w:hAnsi="Times New Roman" w:cs="Times New Roman"/>
                <w:sz w:val="21"/>
                <w:szCs w:val="21"/>
              </w:rPr>
            </w:pP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2407" w:type="pct"/>
            <w:gridSpan w:val="4"/>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50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507"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1578" w:type="pct"/>
            <w:vAlign w:val="center"/>
          </w:tcPr>
          <w:p w:rsidR="006175A6" w:rsidRDefault="006175A6">
            <w:pPr>
              <w:pStyle w:val="TableParagraph"/>
              <w:rPr>
                <w:rFonts w:ascii="Times New Roman" w:eastAsiaTheme="minorEastAsia" w:hAnsi="Times New Roman" w:cs="Times New Roman"/>
                <w:sz w:val="21"/>
                <w:szCs w:val="21"/>
              </w:rPr>
            </w:pPr>
          </w:p>
        </w:tc>
      </w:tr>
    </w:tbl>
    <w:p w:rsidR="006175A6" w:rsidRDefault="009B4BA7">
      <w:pPr>
        <w:ind w:firstLine="480"/>
      </w:pPr>
      <w:r>
        <w:rPr>
          <w:rFonts w:hint="eastAsia"/>
        </w:rPr>
        <w:t>（</w:t>
      </w:r>
      <w:r>
        <w:rPr>
          <w:rFonts w:hint="eastAsia"/>
        </w:rPr>
        <w:t>4</w:t>
      </w:r>
      <w:r>
        <w:rPr>
          <w:rFonts w:hint="eastAsia"/>
        </w:rPr>
        <w:t>）通讯</w:t>
      </w:r>
    </w:p>
    <w:p w:rsidR="006175A6" w:rsidRDefault="009B4BA7">
      <w:pPr>
        <w:ind w:firstLine="480"/>
      </w:pPr>
      <w:r>
        <w:rPr>
          <w:rFonts w:hint="eastAsia"/>
        </w:rPr>
        <w:t>工程区有程控电话线路通过，可接固定电话，并有手机信号覆盖整个工程建设区，且信号较强，对外联系可通过固定电话、移动相结合的通信方式，而工地内部可采用无线对讲机的通信方式。</w:t>
      </w:r>
    </w:p>
    <w:p w:rsidR="006175A6" w:rsidRDefault="009B4BA7">
      <w:pPr>
        <w:pStyle w:val="3"/>
      </w:pPr>
      <w:r>
        <w:rPr>
          <w:rFonts w:hint="eastAsia"/>
        </w:rPr>
        <w:t>土石方平衡及渣场规划</w:t>
      </w:r>
    </w:p>
    <w:p w:rsidR="006175A6" w:rsidRDefault="009B4BA7">
      <w:pPr>
        <w:ind w:firstLine="480"/>
      </w:pPr>
      <w:r>
        <w:rPr>
          <w:rFonts w:hint="eastAsia"/>
        </w:rPr>
        <w:t>两河口水库工程土石方开挖量</w:t>
      </w:r>
      <w:r>
        <w:rPr>
          <w:rFonts w:hint="eastAsia"/>
        </w:rPr>
        <w:t xml:space="preserve"> 40.1 </w:t>
      </w:r>
      <w:r>
        <w:rPr>
          <w:rFonts w:hint="eastAsia"/>
        </w:rPr>
        <w:t>万</w:t>
      </w:r>
      <w:r>
        <w:rPr>
          <w:rFonts w:hint="eastAsia"/>
        </w:rPr>
        <w:t xml:space="preserve"> m</w:t>
      </w:r>
      <w:r>
        <w:rPr>
          <w:rFonts w:hint="eastAsia"/>
        </w:rPr>
        <w:t>³，回填量</w:t>
      </w:r>
      <w:r>
        <w:rPr>
          <w:rFonts w:hint="eastAsia"/>
        </w:rPr>
        <w:t xml:space="preserve"> 0.48 </w:t>
      </w:r>
      <w:r>
        <w:rPr>
          <w:rFonts w:hint="eastAsia"/>
        </w:rPr>
        <w:t>万</w:t>
      </w:r>
      <w:r>
        <w:rPr>
          <w:rFonts w:hint="eastAsia"/>
        </w:rPr>
        <w:t xml:space="preserve"> m</w:t>
      </w:r>
      <w:r>
        <w:rPr>
          <w:rFonts w:hint="eastAsia"/>
        </w:rPr>
        <w:t>³，共产生弃渣约</w:t>
      </w:r>
      <w:r>
        <w:rPr>
          <w:rFonts w:hint="eastAsia"/>
        </w:rPr>
        <w:t xml:space="preserve"> 27.1</w:t>
      </w:r>
      <w:r>
        <w:rPr>
          <w:rFonts w:hint="eastAsia"/>
        </w:rPr>
        <w:t>万</w:t>
      </w:r>
      <w:r>
        <w:rPr>
          <w:rFonts w:hint="eastAsia"/>
        </w:rPr>
        <w:t xml:space="preserve"> m</w:t>
      </w:r>
      <w:r>
        <w:rPr>
          <w:rFonts w:hint="eastAsia"/>
        </w:rPr>
        <w:t>³，产生的永久弃渣全部运至规划弃渣场。土石方平衡见</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r>
        <w:rPr>
          <w:rFonts w:hint="eastAsia"/>
        </w:rPr>
        <w:t xml:space="preserve">  </w:t>
      </w:r>
      <w:r>
        <w:rPr>
          <w:rFonts w:hint="eastAsia"/>
        </w:rPr>
        <w:t>土石方平衡表</w:t>
      </w:r>
      <w:r>
        <w:rPr>
          <w:rFonts w:hint="eastAsia"/>
        </w:rPr>
        <w:t xml:space="preserve">  </w:t>
      </w:r>
      <w:r>
        <w:rPr>
          <w:rFonts w:hint="eastAsia"/>
        </w:rPr>
        <w:t>单位：</w:t>
      </w:r>
      <w:r>
        <w:rPr>
          <w:rFonts w:hint="eastAsia"/>
        </w:rPr>
        <w:t>m</w:t>
      </w:r>
      <w:r>
        <w:rPr>
          <w:rFonts w:hint="eastAsia"/>
          <w:vertAlign w:val="superscript"/>
        </w:rPr>
        <w:t>3</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4"/>
        <w:gridCol w:w="579"/>
        <w:gridCol w:w="569"/>
        <w:gridCol w:w="613"/>
        <w:gridCol w:w="569"/>
        <w:gridCol w:w="389"/>
        <w:gridCol w:w="561"/>
        <w:gridCol w:w="509"/>
        <w:gridCol w:w="313"/>
        <w:gridCol w:w="389"/>
        <w:gridCol w:w="507"/>
        <w:gridCol w:w="429"/>
        <w:gridCol w:w="314"/>
        <w:gridCol w:w="432"/>
        <w:gridCol w:w="614"/>
        <w:gridCol w:w="480"/>
        <w:gridCol w:w="646"/>
      </w:tblGrid>
      <w:tr w:rsidR="006175A6">
        <w:trPr>
          <w:trHeight w:val="340"/>
          <w:jc w:val="center"/>
        </w:trPr>
        <w:tc>
          <w:tcPr>
            <w:tcW w:w="724" w:type="dxa"/>
            <w:vMerge w:val="restart"/>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主要部位</w:t>
            </w:r>
          </w:p>
        </w:tc>
        <w:tc>
          <w:tcPr>
            <w:tcW w:w="1761" w:type="dxa"/>
            <w:gridSpan w:val="3"/>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开挖</w:t>
            </w:r>
          </w:p>
        </w:tc>
        <w:tc>
          <w:tcPr>
            <w:tcW w:w="1519" w:type="dxa"/>
            <w:gridSpan w:val="3"/>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回填</w:t>
            </w:r>
          </w:p>
        </w:tc>
        <w:tc>
          <w:tcPr>
            <w:tcW w:w="1718" w:type="dxa"/>
            <w:gridSpan w:val="4"/>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调入</w:t>
            </w:r>
          </w:p>
        </w:tc>
        <w:tc>
          <w:tcPr>
            <w:tcW w:w="1789" w:type="dxa"/>
            <w:gridSpan w:val="4"/>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调出</w:t>
            </w:r>
          </w:p>
        </w:tc>
        <w:tc>
          <w:tcPr>
            <w:tcW w:w="480"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利用</w:t>
            </w:r>
          </w:p>
        </w:tc>
        <w:tc>
          <w:tcPr>
            <w:tcW w:w="646" w:type="dxa"/>
            <w:vMerge w:val="restart"/>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弃渣</w:t>
            </w:r>
          </w:p>
        </w:tc>
      </w:tr>
      <w:tr w:rsidR="006175A6">
        <w:trPr>
          <w:trHeight w:val="340"/>
          <w:jc w:val="center"/>
        </w:trPr>
        <w:tc>
          <w:tcPr>
            <w:tcW w:w="724" w:type="dxa"/>
            <w:vMerge/>
            <w:vAlign w:val="center"/>
          </w:tcPr>
          <w:p w:rsidR="006175A6" w:rsidRDefault="006175A6">
            <w:pPr>
              <w:widowControl/>
              <w:spacing w:line="240" w:lineRule="auto"/>
              <w:ind w:firstLineChars="0" w:firstLine="0"/>
              <w:jc w:val="center"/>
              <w:rPr>
                <w:rFonts w:eastAsiaTheme="minorEastAsia"/>
                <w:sz w:val="16"/>
              </w:rPr>
            </w:pP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覆盖层及土方</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石方</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小计</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pacing w:val="-5"/>
                <w:sz w:val="16"/>
                <w:szCs w:val="21"/>
              </w:rPr>
              <w:t>覆盖层及土方</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pacing w:val="-7"/>
                <w:sz w:val="16"/>
                <w:szCs w:val="21"/>
              </w:rPr>
              <w:t>石方</w:t>
            </w: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小计</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覆盖</w:t>
            </w:r>
            <w:r>
              <w:rPr>
                <w:rFonts w:ascii="Times New Roman" w:eastAsiaTheme="minorEastAsia" w:hAnsi="Times New Roman" w:cs="Times New Roman"/>
                <w:spacing w:val="-9"/>
                <w:sz w:val="16"/>
                <w:szCs w:val="21"/>
              </w:rPr>
              <w:t>层及土方</w:t>
            </w:r>
          </w:p>
        </w:tc>
        <w:tc>
          <w:tcPr>
            <w:tcW w:w="3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来源</w:t>
            </w:r>
          </w:p>
        </w:tc>
        <w:tc>
          <w:tcPr>
            <w:tcW w:w="389" w:type="dxa"/>
            <w:vAlign w:val="center"/>
          </w:tcPr>
          <w:p w:rsidR="006175A6" w:rsidRDefault="006175A6">
            <w:pPr>
              <w:pStyle w:val="TableParagraph"/>
              <w:jc w:val="both"/>
              <w:rPr>
                <w:rFonts w:ascii="Times New Roman" w:eastAsiaTheme="minorEastAsia" w:hAnsi="Times New Roman" w:cs="Times New Roman"/>
                <w:sz w:val="16"/>
                <w:szCs w:val="21"/>
                <w:lang w:eastAsia="zh-CN"/>
              </w:rPr>
            </w:pPr>
          </w:p>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pacing w:val="-9"/>
                <w:sz w:val="16"/>
                <w:szCs w:val="21"/>
              </w:rPr>
              <w:t>石方</w:t>
            </w:r>
          </w:p>
        </w:tc>
        <w:tc>
          <w:tcPr>
            <w:tcW w:w="507"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来源</w:t>
            </w: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pacing w:val="-8"/>
                <w:sz w:val="16"/>
                <w:szCs w:val="21"/>
              </w:rPr>
              <w:t>覆盖</w:t>
            </w:r>
          </w:p>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pacing w:val="-9"/>
                <w:sz w:val="16"/>
                <w:szCs w:val="21"/>
              </w:rPr>
              <w:t>层及土方</w:t>
            </w:r>
          </w:p>
        </w:tc>
        <w:tc>
          <w:tcPr>
            <w:tcW w:w="31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去向</w:t>
            </w: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石方</w:t>
            </w:r>
          </w:p>
        </w:tc>
        <w:tc>
          <w:tcPr>
            <w:tcW w:w="61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去向</w:t>
            </w:r>
          </w:p>
        </w:tc>
        <w:tc>
          <w:tcPr>
            <w:tcW w:w="480" w:type="dxa"/>
            <w:vAlign w:val="center"/>
          </w:tcPr>
          <w:p w:rsidR="006175A6" w:rsidRDefault="006175A6">
            <w:pPr>
              <w:pStyle w:val="TableParagraph"/>
              <w:jc w:val="both"/>
              <w:rPr>
                <w:rFonts w:ascii="Times New Roman" w:eastAsiaTheme="minorEastAsia" w:hAnsi="Times New Roman" w:cs="Times New Roman"/>
                <w:sz w:val="16"/>
                <w:szCs w:val="21"/>
                <w:lang w:eastAsia="zh-CN"/>
              </w:rPr>
            </w:pPr>
          </w:p>
        </w:tc>
        <w:tc>
          <w:tcPr>
            <w:tcW w:w="646" w:type="dxa"/>
            <w:vMerge/>
            <w:vAlign w:val="center"/>
          </w:tcPr>
          <w:p w:rsidR="006175A6" w:rsidRDefault="006175A6">
            <w:pPr>
              <w:widowControl/>
              <w:spacing w:line="240" w:lineRule="auto"/>
              <w:ind w:firstLineChars="0" w:firstLine="0"/>
              <w:jc w:val="center"/>
              <w:rPr>
                <w:rFonts w:eastAsiaTheme="minorEastAsia"/>
                <w:sz w:val="16"/>
              </w:rPr>
            </w:pP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挡水工程</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7159</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130940</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138099</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89" w:type="dxa"/>
            <w:vAlign w:val="center"/>
          </w:tcPr>
          <w:p w:rsidR="006175A6" w:rsidRDefault="006175A6">
            <w:pPr>
              <w:pStyle w:val="TableParagraph"/>
              <w:rPr>
                <w:rFonts w:ascii="Times New Roman" w:eastAsiaTheme="minorEastAsia" w:hAnsi="Times New Roman" w:cs="Times New Roman"/>
                <w:sz w:val="16"/>
                <w:szCs w:val="21"/>
              </w:rPr>
            </w:pP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6175A6">
            <w:pPr>
              <w:pStyle w:val="TableParagraph"/>
              <w:rPr>
                <w:rFonts w:ascii="Times New Roman" w:eastAsiaTheme="minorEastAsia" w:hAnsi="Times New Roman" w:cs="Times New Roman"/>
                <w:sz w:val="16"/>
                <w:szCs w:val="21"/>
              </w:rPr>
            </w:pP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7" w:type="dxa"/>
            <w:vAlign w:val="center"/>
          </w:tcPr>
          <w:p w:rsidR="006175A6" w:rsidRDefault="006175A6">
            <w:pPr>
              <w:pStyle w:val="TableParagraph"/>
              <w:rPr>
                <w:rFonts w:ascii="Times New Roman" w:eastAsiaTheme="minorEastAsia" w:hAnsi="Times New Roman" w:cs="Times New Roman"/>
                <w:sz w:val="16"/>
                <w:szCs w:val="21"/>
              </w:rPr>
            </w:pP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6175A6">
            <w:pPr>
              <w:pStyle w:val="TableParagraph"/>
              <w:rPr>
                <w:rFonts w:ascii="Times New Roman" w:eastAsiaTheme="minorEastAsia" w:hAnsi="Times New Roman" w:cs="Times New Roman"/>
                <w:sz w:val="16"/>
                <w:szCs w:val="21"/>
              </w:rPr>
            </w:pP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6005</w:t>
            </w:r>
          </w:p>
        </w:tc>
        <w:tc>
          <w:tcPr>
            <w:tcW w:w="61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临时工程</w:t>
            </w:r>
          </w:p>
        </w:tc>
        <w:tc>
          <w:tcPr>
            <w:tcW w:w="480"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94716</w:t>
            </w: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37378</w:t>
            </w: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泄洪工程</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1029</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3099</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4128.71</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1130</w:t>
            </w:r>
          </w:p>
        </w:tc>
        <w:tc>
          <w:tcPr>
            <w:tcW w:w="389" w:type="dxa"/>
            <w:vAlign w:val="center"/>
          </w:tcPr>
          <w:p w:rsidR="006175A6" w:rsidRDefault="006175A6">
            <w:pPr>
              <w:pStyle w:val="TableParagraph"/>
              <w:rPr>
                <w:rFonts w:ascii="Times New Roman" w:eastAsiaTheme="minorEastAsia" w:hAnsi="Times New Roman" w:cs="Times New Roman"/>
                <w:sz w:val="16"/>
                <w:szCs w:val="21"/>
              </w:rPr>
            </w:pP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1130</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6175A6">
            <w:pPr>
              <w:pStyle w:val="TableParagraph"/>
              <w:rPr>
                <w:rFonts w:ascii="Times New Roman" w:eastAsiaTheme="minorEastAsia" w:hAnsi="Times New Roman" w:cs="Times New Roman"/>
                <w:sz w:val="16"/>
                <w:szCs w:val="21"/>
              </w:rPr>
            </w:pP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7" w:type="dxa"/>
            <w:vAlign w:val="center"/>
          </w:tcPr>
          <w:p w:rsidR="006175A6" w:rsidRDefault="006175A6">
            <w:pPr>
              <w:pStyle w:val="TableParagraph"/>
              <w:rPr>
                <w:rFonts w:ascii="Times New Roman" w:eastAsiaTheme="minorEastAsia" w:hAnsi="Times New Roman" w:cs="Times New Roman"/>
                <w:sz w:val="16"/>
                <w:szCs w:val="21"/>
              </w:rPr>
            </w:pP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6175A6">
            <w:pPr>
              <w:pStyle w:val="TableParagraph"/>
              <w:rPr>
                <w:rFonts w:ascii="Times New Roman" w:eastAsiaTheme="minorEastAsia" w:hAnsi="Times New Roman" w:cs="Times New Roman"/>
                <w:sz w:val="16"/>
                <w:szCs w:val="21"/>
              </w:rPr>
            </w:pP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614" w:type="dxa"/>
            <w:vAlign w:val="center"/>
          </w:tcPr>
          <w:p w:rsidR="006175A6" w:rsidRDefault="006175A6">
            <w:pPr>
              <w:pStyle w:val="TableParagraph"/>
              <w:rPr>
                <w:rFonts w:ascii="Times New Roman" w:eastAsiaTheme="minorEastAsia" w:hAnsi="Times New Roman" w:cs="Times New Roman"/>
                <w:sz w:val="16"/>
                <w:szCs w:val="21"/>
              </w:rPr>
            </w:pPr>
          </w:p>
        </w:tc>
        <w:tc>
          <w:tcPr>
            <w:tcW w:w="480" w:type="dxa"/>
            <w:vAlign w:val="center"/>
          </w:tcPr>
          <w:p w:rsidR="006175A6" w:rsidRDefault="006175A6">
            <w:pPr>
              <w:pStyle w:val="TableParagraph"/>
              <w:rPr>
                <w:rFonts w:ascii="Times New Roman" w:eastAsiaTheme="minorEastAsia" w:hAnsi="Times New Roman" w:cs="Times New Roman"/>
                <w:sz w:val="16"/>
                <w:szCs w:val="21"/>
              </w:rPr>
            </w:pP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2999</w:t>
            </w: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交通工程</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14430</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57720</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72150</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1189</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1189</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6175A6">
            <w:pPr>
              <w:pStyle w:val="TableParagraph"/>
              <w:rPr>
                <w:rFonts w:ascii="Times New Roman" w:eastAsiaTheme="minorEastAsia" w:hAnsi="Times New Roman" w:cs="Times New Roman"/>
                <w:sz w:val="16"/>
                <w:szCs w:val="21"/>
              </w:rPr>
            </w:pP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7" w:type="dxa"/>
            <w:vAlign w:val="center"/>
          </w:tcPr>
          <w:p w:rsidR="006175A6" w:rsidRDefault="006175A6">
            <w:pPr>
              <w:pStyle w:val="TableParagraph"/>
              <w:rPr>
                <w:rFonts w:ascii="Times New Roman" w:eastAsiaTheme="minorEastAsia" w:hAnsi="Times New Roman" w:cs="Times New Roman"/>
                <w:sz w:val="16"/>
                <w:szCs w:val="21"/>
              </w:rPr>
            </w:pP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6175A6">
            <w:pPr>
              <w:pStyle w:val="TableParagraph"/>
              <w:rPr>
                <w:rFonts w:ascii="Times New Roman" w:eastAsiaTheme="minorEastAsia" w:hAnsi="Times New Roman" w:cs="Times New Roman"/>
                <w:sz w:val="16"/>
                <w:szCs w:val="21"/>
              </w:rPr>
            </w:pP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614" w:type="dxa"/>
            <w:vAlign w:val="center"/>
          </w:tcPr>
          <w:p w:rsidR="006175A6" w:rsidRDefault="006175A6">
            <w:pPr>
              <w:pStyle w:val="TableParagraph"/>
              <w:rPr>
                <w:rFonts w:ascii="Times New Roman" w:eastAsiaTheme="minorEastAsia" w:hAnsi="Times New Roman" w:cs="Times New Roman"/>
                <w:sz w:val="16"/>
                <w:szCs w:val="21"/>
              </w:rPr>
            </w:pPr>
          </w:p>
        </w:tc>
        <w:tc>
          <w:tcPr>
            <w:tcW w:w="480" w:type="dxa"/>
            <w:vAlign w:val="center"/>
          </w:tcPr>
          <w:p w:rsidR="006175A6" w:rsidRDefault="006175A6">
            <w:pPr>
              <w:pStyle w:val="TableParagraph"/>
              <w:rPr>
                <w:rFonts w:ascii="Times New Roman" w:eastAsiaTheme="minorEastAsia" w:hAnsi="Times New Roman" w:cs="Times New Roman"/>
                <w:sz w:val="16"/>
                <w:szCs w:val="21"/>
              </w:rPr>
            </w:pP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70961</w:t>
            </w: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输水工程</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3502</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183130</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186632</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2548</w:t>
            </w: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2548</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6175A6">
            <w:pPr>
              <w:pStyle w:val="TableParagraph"/>
              <w:rPr>
                <w:rFonts w:ascii="Times New Roman" w:eastAsiaTheme="minorEastAsia" w:hAnsi="Times New Roman" w:cs="Times New Roman"/>
                <w:sz w:val="16"/>
                <w:szCs w:val="21"/>
              </w:rPr>
            </w:pP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7" w:type="dxa"/>
            <w:vAlign w:val="center"/>
          </w:tcPr>
          <w:p w:rsidR="006175A6" w:rsidRDefault="006175A6">
            <w:pPr>
              <w:pStyle w:val="TableParagraph"/>
              <w:rPr>
                <w:rFonts w:ascii="Times New Roman" w:eastAsiaTheme="minorEastAsia" w:hAnsi="Times New Roman" w:cs="Times New Roman"/>
                <w:sz w:val="16"/>
                <w:szCs w:val="21"/>
              </w:rPr>
            </w:pP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6175A6">
            <w:pPr>
              <w:pStyle w:val="TableParagraph"/>
              <w:rPr>
                <w:rFonts w:ascii="Times New Roman" w:eastAsiaTheme="minorEastAsia" w:hAnsi="Times New Roman" w:cs="Times New Roman"/>
                <w:sz w:val="16"/>
                <w:szCs w:val="21"/>
              </w:rPr>
            </w:pPr>
          </w:p>
        </w:tc>
        <w:tc>
          <w:tcPr>
            <w:tcW w:w="432" w:type="dxa"/>
            <w:vAlign w:val="center"/>
          </w:tcPr>
          <w:p w:rsidR="006175A6" w:rsidRDefault="006175A6">
            <w:pPr>
              <w:pStyle w:val="TableParagraph"/>
              <w:rPr>
                <w:rFonts w:ascii="Times New Roman" w:eastAsiaTheme="minorEastAsia" w:hAnsi="Times New Roman" w:cs="Times New Roman"/>
                <w:sz w:val="16"/>
                <w:szCs w:val="21"/>
              </w:rPr>
            </w:pPr>
          </w:p>
        </w:tc>
        <w:tc>
          <w:tcPr>
            <w:tcW w:w="614" w:type="dxa"/>
            <w:vAlign w:val="center"/>
          </w:tcPr>
          <w:p w:rsidR="006175A6" w:rsidRDefault="006175A6">
            <w:pPr>
              <w:pStyle w:val="TableParagraph"/>
              <w:rPr>
                <w:rFonts w:ascii="Times New Roman" w:eastAsiaTheme="minorEastAsia" w:hAnsi="Times New Roman" w:cs="Times New Roman"/>
                <w:sz w:val="16"/>
                <w:szCs w:val="21"/>
              </w:rPr>
            </w:pPr>
          </w:p>
        </w:tc>
        <w:tc>
          <w:tcPr>
            <w:tcW w:w="480"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24500</w:t>
            </w: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159584</w:t>
            </w: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临时工程</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1133</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5399</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6532</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6005</w:t>
            </w: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6005</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6175A6">
            <w:pPr>
              <w:pStyle w:val="TableParagraph"/>
              <w:rPr>
                <w:rFonts w:ascii="Times New Roman" w:eastAsiaTheme="minorEastAsia" w:hAnsi="Times New Roman" w:cs="Times New Roman"/>
                <w:sz w:val="16"/>
                <w:szCs w:val="21"/>
              </w:rPr>
            </w:pP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6005</w:t>
            </w:r>
          </w:p>
        </w:tc>
        <w:tc>
          <w:tcPr>
            <w:tcW w:w="507"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挡水工程</w:t>
            </w: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6175A6">
            <w:pPr>
              <w:pStyle w:val="TableParagraph"/>
              <w:rPr>
                <w:rFonts w:ascii="Times New Roman" w:eastAsiaTheme="minorEastAsia" w:hAnsi="Times New Roman" w:cs="Times New Roman"/>
                <w:sz w:val="16"/>
                <w:szCs w:val="21"/>
              </w:rPr>
            </w:pP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614" w:type="dxa"/>
            <w:vAlign w:val="center"/>
          </w:tcPr>
          <w:p w:rsidR="006175A6" w:rsidRDefault="006175A6">
            <w:pPr>
              <w:pStyle w:val="TableParagraph"/>
              <w:rPr>
                <w:rFonts w:ascii="Times New Roman" w:eastAsiaTheme="minorEastAsia" w:hAnsi="Times New Roman" w:cs="Times New Roman"/>
                <w:sz w:val="16"/>
                <w:szCs w:val="21"/>
              </w:rPr>
            </w:pPr>
          </w:p>
        </w:tc>
        <w:tc>
          <w:tcPr>
            <w:tcW w:w="480" w:type="dxa"/>
            <w:vAlign w:val="center"/>
          </w:tcPr>
          <w:p w:rsidR="006175A6" w:rsidRDefault="006175A6">
            <w:pPr>
              <w:pStyle w:val="TableParagraph"/>
              <w:rPr>
                <w:rFonts w:ascii="Times New Roman" w:eastAsiaTheme="minorEastAsia" w:hAnsi="Times New Roman" w:cs="Times New Roman"/>
                <w:sz w:val="16"/>
                <w:szCs w:val="21"/>
              </w:rPr>
            </w:pP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527</w:t>
            </w:r>
          </w:p>
        </w:tc>
      </w:tr>
      <w:tr w:rsidR="006175A6">
        <w:trPr>
          <w:trHeight w:val="340"/>
          <w:jc w:val="center"/>
        </w:trPr>
        <w:tc>
          <w:tcPr>
            <w:tcW w:w="72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小计</w:t>
            </w:r>
          </w:p>
        </w:tc>
        <w:tc>
          <w:tcPr>
            <w:tcW w:w="57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26121</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374889</w:t>
            </w:r>
          </w:p>
        </w:tc>
        <w:tc>
          <w:tcPr>
            <w:tcW w:w="6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401009</w:t>
            </w:r>
          </w:p>
        </w:tc>
        <w:tc>
          <w:tcPr>
            <w:tcW w:w="56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2318</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2548</w:t>
            </w:r>
          </w:p>
        </w:tc>
        <w:tc>
          <w:tcPr>
            <w:tcW w:w="561"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4866</w:t>
            </w:r>
          </w:p>
        </w:tc>
        <w:tc>
          <w:tcPr>
            <w:tcW w:w="50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3"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8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507"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429"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31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432"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6005</w:t>
            </w:r>
          </w:p>
        </w:tc>
        <w:tc>
          <w:tcPr>
            <w:tcW w:w="614"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0</w:t>
            </w:r>
          </w:p>
        </w:tc>
        <w:tc>
          <w:tcPr>
            <w:tcW w:w="480" w:type="dxa"/>
            <w:vAlign w:val="center"/>
          </w:tcPr>
          <w:p w:rsidR="006175A6" w:rsidRDefault="006175A6">
            <w:pPr>
              <w:pStyle w:val="TableParagraph"/>
              <w:rPr>
                <w:rFonts w:ascii="Times New Roman" w:eastAsiaTheme="minorEastAsia" w:hAnsi="Times New Roman" w:cs="Times New Roman"/>
                <w:sz w:val="16"/>
                <w:szCs w:val="21"/>
              </w:rPr>
            </w:pPr>
          </w:p>
        </w:tc>
        <w:tc>
          <w:tcPr>
            <w:tcW w:w="646" w:type="dxa"/>
            <w:vAlign w:val="center"/>
          </w:tcPr>
          <w:p w:rsidR="006175A6" w:rsidRDefault="009B4BA7">
            <w:pPr>
              <w:pStyle w:val="TableParagraph"/>
              <w:rPr>
                <w:rFonts w:ascii="Times New Roman" w:eastAsiaTheme="minorEastAsia" w:hAnsi="Times New Roman" w:cs="Times New Roman"/>
                <w:sz w:val="16"/>
                <w:szCs w:val="21"/>
              </w:rPr>
            </w:pPr>
            <w:r>
              <w:rPr>
                <w:rFonts w:ascii="Times New Roman" w:eastAsiaTheme="minorEastAsia" w:hAnsi="Times New Roman" w:cs="Times New Roman"/>
                <w:sz w:val="16"/>
                <w:szCs w:val="21"/>
              </w:rPr>
              <w:t>270922</w:t>
            </w:r>
          </w:p>
        </w:tc>
      </w:tr>
    </w:tbl>
    <w:p w:rsidR="006175A6" w:rsidRDefault="009B4BA7">
      <w:pPr>
        <w:ind w:firstLine="480"/>
      </w:pPr>
      <w:r>
        <w:rPr>
          <w:rFonts w:hint="eastAsia"/>
        </w:rPr>
        <w:t>本项目主体工程共产生永久弃渣</w:t>
      </w:r>
      <w:r>
        <w:rPr>
          <w:rFonts w:hint="eastAsia"/>
        </w:rPr>
        <w:t>27.1</w:t>
      </w:r>
      <w:r>
        <w:rPr>
          <w:rFonts w:hint="eastAsia"/>
        </w:rPr>
        <w:t>万</w:t>
      </w:r>
      <w:r>
        <w:rPr>
          <w:rFonts w:hint="eastAsia"/>
        </w:rPr>
        <w:t>m</w:t>
      </w:r>
      <w:r>
        <w:rPr>
          <w:rFonts w:hint="eastAsia"/>
        </w:rPr>
        <w:t>³，主要为坝肩及输水隧洞工程开挖，支沟弃渣场交通道路利用各支洞口的施工道路，所以不再新增弃渣场的运渣道路，本次共设</w:t>
      </w:r>
      <w:r>
        <w:rPr>
          <w:rFonts w:hint="eastAsia"/>
        </w:rPr>
        <w:t>13</w:t>
      </w:r>
      <w:r>
        <w:rPr>
          <w:rFonts w:hint="eastAsia"/>
        </w:rPr>
        <w:t>个弃渣场。</w:t>
      </w:r>
    </w:p>
    <w:p w:rsidR="006175A6" w:rsidRDefault="009B4BA7">
      <w:pPr>
        <w:ind w:firstLine="480"/>
      </w:pPr>
      <w:r>
        <w:rPr>
          <w:rFonts w:hint="eastAsia"/>
        </w:rPr>
        <w:t>（</w:t>
      </w:r>
      <w:r>
        <w:rPr>
          <w:rFonts w:hint="eastAsia"/>
        </w:rPr>
        <w:t>1</w:t>
      </w:r>
      <w:r>
        <w:rPr>
          <w:rFonts w:hint="eastAsia"/>
        </w:rPr>
        <w:t>）大坝弃渣场</w:t>
      </w:r>
    </w:p>
    <w:p w:rsidR="006175A6" w:rsidRDefault="009B4BA7">
      <w:pPr>
        <w:ind w:firstLine="480"/>
      </w:pPr>
      <w:r>
        <w:rPr>
          <w:rFonts w:hint="eastAsia"/>
        </w:rPr>
        <w:t>大坝弃渣场位于大坝下游左岸</w:t>
      </w:r>
      <w:r>
        <w:rPr>
          <w:rFonts w:hint="eastAsia"/>
        </w:rPr>
        <w:t>750</w:t>
      </w:r>
      <w:r>
        <w:rPr>
          <w:rFonts w:hint="eastAsia"/>
        </w:rPr>
        <w:t>米处公路旁，堆渣高程</w:t>
      </w:r>
      <w:r>
        <w:rPr>
          <w:rFonts w:hint="eastAsia"/>
        </w:rPr>
        <w:t>978</w:t>
      </w:r>
      <w:r>
        <w:rPr>
          <w:rFonts w:hint="eastAsia"/>
        </w:rPr>
        <w:t>～</w:t>
      </w:r>
      <w:r>
        <w:rPr>
          <w:rFonts w:hint="eastAsia"/>
        </w:rPr>
        <w:t>985m</w:t>
      </w:r>
      <w:r>
        <w:rPr>
          <w:rFonts w:hint="eastAsia"/>
        </w:rPr>
        <w:t>，占地</w:t>
      </w:r>
      <w:r>
        <w:rPr>
          <w:rFonts w:hint="eastAsia"/>
        </w:rPr>
        <w:t>2.45hm</w:t>
      </w:r>
      <w:r>
        <w:rPr>
          <w:rFonts w:hint="eastAsia"/>
        </w:rPr>
        <w:t>²，渣料主要来自于大坝开挖，过沟建筑物及</w:t>
      </w:r>
      <w:r>
        <w:rPr>
          <w:rFonts w:hint="eastAsia"/>
        </w:rPr>
        <w:t>1#</w:t>
      </w:r>
      <w:r>
        <w:rPr>
          <w:rFonts w:hint="eastAsia"/>
        </w:rPr>
        <w:t>隧洞加上</w:t>
      </w:r>
      <w:r>
        <w:rPr>
          <w:rFonts w:hint="eastAsia"/>
        </w:rPr>
        <w:t>2#</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4.51</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2</w:t>
      </w:r>
      <w:r>
        <w:rPr>
          <w:rFonts w:hint="eastAsia"/>
        </w:rPr>
        <w:t>）板桥湾弃渣场</w:t>
      </w:r>
    </w:p>
    <w:p w:rsidR="006175A6" w:rsidRDefault="009B4BA7">
      <w:pPr>
        <w:ind w:firstLine="480"/>
      </w:pPr>
      <w:r>
        <w:rPr>
          <w:rFonts w:hint="eastAsia"/>
        </w:rPr>
        <w:t>板桥湾弃渣场位于板桥湾下游约</w:t>
      </w:r>
      <w:r>
        <w:rPr>
          <w:rFonts w:hint="eastAsia"/>
        </w:rPr>
        <w:t>310m</w:t>
      </w:r>
      <w:r>
        <w:rPr>
          <w:rFonts w:hint="eastAsia"/>
        </w:rPr>
        <w:t>处，堆渣高程为</w:t>
      </w:r>
      <w:r>
        <w:rPr>
          <w:rFonts w:hint="eastAsia"/>
        </w:rPr>
        <w:t>963m-970m</w:t>
      </w:r>
      <w:r>
        <w:rPr>
          <w:rFonts w:hint="eastAsia"/>
        </w:rPr>
        <w:t>，占地约</w:t>
      </w:r>
      <w:r>
        <w:rPr>
          <w:rFonts w:hint="eastAsia"/>
        </w:rPr>
        <w:t>0.30hm</w:t>
      </w:r>
      <w:r>
        <w:rPr>
          <w:rFonts w:hint="eastAsia"/>
        </w:rPr>
        <w:t>²弃渣主要来自过沟建筑物及</w:t>
      </w:r>
      <w:r>
        <w:rPr>
          <w:rFonts w:hint="eastAsia"/>
        </w:rPr>
        <w:t>2#</w:t>
      </w:r>
      <w:r>
        <w:rPr>
          <w:rFonts w:hint="eastAsia"/>
        </w:rPr>
        <w:t>隧洞的一半加上。</w:t>
      </w:r>
      <w:r>
        <w:rPr>
          <w:rFonts w:hint="eastAsia"/>
        </w:rPr>
        <w:t>3#</w:t>
      </w:r>
      <w:r>
        <w:rPr>
          <w:rFonts w:hint="eastAsia"/>
        </w:rPr>
        <w:t>隧洞一半的土石方挖，</w:t>
      </w:r>
      <w:r>
        <w:rPr>
          <w:rFonts w:hint="eastAsia"/>
        </w:rPr>
        <w:lastRenderedPageBreak/>
        <w:t>堆渣坡降为</w:t>
      </w:r>
      <w:r>
        <w:rPr>
          <w:rFonts w:hint="eastAsia"/>
        </w:rPr>
        <w:t>1</w:t>
      </w:r>
      <w:r>
        <w:rPr>
          <w:rFonts w:hint="eastAsia"/>
        </w:rPr>
        <w:t>：</w:t>
      </w:r>
      <w:r>
        <w:rPr>
          <w:rFonts w:hint="eastAsia"/>
        </w:rPr>
        <w:t>2</w:t>
      </w:r>
      <w:r>
        <w:rPr>
          <w:rFonts w:hint="eastAsia"/>
        </w:rPr>
        <w:t>，渣场周边排水沟相连，推土机平整并碾压，总弃渣量</w:t>
      </w:r>
      <w:r>
        <w:rPr>
          <w:rFonts w:hint="eastAsia"/>
        </w:rPr>
        <w:t>0.90</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3</w:t>
      </w:r>
      <w:r>
        <w:rPr>
          <w:rFonts w:hint="eastAsia"/>
        </w:rPr>
        <w:t>）小寨沟弃渣场</w:t>
      </w:r>
    </w:p>
    <w:p w:rsidR="006175A6" w:rsidRDefault="009B4BA7">
      <w:pPr>
        <w:ind w:firstLine="480"/>
      </w:pPr>
      <w:r>
        <w:rPr>
          <w:rFonts w:hint="eastAsia"/>
        </w:rPr>
        <w:t>小寨沟弃渣场位于小寨沟上游左岸</w:t>
      </w:r>
      <w:r>
        <w:rPr>
          <w:rFonts w:hint="eastAsia"/>
        </w:rPr>
        <w:t>200m</w:t>
      </w:r>
      <w:r>
        <w:rPr>
          <w:rFonts w:hint="eastAsia"/>
        </w:rPr>
        <w:t>处，堆渣高程</w:t>
      </w:r>
      <w:r>
        <w:rPr>
          <w:rFonts w:hint="eastAsia"/>
        </w:rPr>
        <w:t>975</w:t>
      </w:r>
      <w:r>
        <w:rPr>
          <w:rFonts w:hint="eastAsia"/>
        </w:rPr>
        <w:t>～</w:t>
      </w:r>
      <w:r>
        <w:rPr>
          <w:rFonts w:hint="eastAsia"/>
        </w:rPr>
        <w:t>982m</w:t>
      </w:r>
      <w:r>
        <w:rPr>
          <w:rFonts w:hint="eastAsia"/>
        </w:rPr>
        <w:t>，占地</w:t>
      </w:r>
      <w:r>
        <w:rPr>
          <w:rFonts w:hint="eastAsia"/>
        </w:rPr>
        <w:t>0.34hm</w:t>
      </w:r>
      <w:r>
        <w:rPr>
          <w:rFonts w:hint="eastAsia"/>
        </w:rPr>
        <w:t>²，渣料主要来自过沟建筑物及</w:t>
      </w:r>
      <w:r>
        <w:rPr>
          <w:rFonts w:hint="eastAsia"/>
        </w:rPr>
        <w:t>3#</w:t>
      </w:r>
      <w:r>
        <w:rPr>
          <w:rFonts w:hint="eastAsia"/>
        </w:rPr>
        <w:t>隧洞的一半加上</w:t>
      </w:r>
      <w:r>
        <w:rPr>
          <w:rFonts w:hint="eastAsia"/>
        </w:rPr>
        <w:t>4#</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1.03</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4</w:t>
      </w:r>
      <w:r>
        <w:rPr>
          <w:rFonts w:hint="eastAsia"/>
        </w:rPr>
        <w:t>）黑沟弃渣场</w:t>
      </w:r>
    </w:p>
    <w:p w:rsidR="006175A6" w:rsidRDefault="009B4BA7">
      <w:pPr>
        <w:ind w:firstLine="480"/>
      </w:pPr>
      <w:r>
        <w:rPr>
          <w:rFonts w:hint="eastAsia"/>
        </w:rPr>
        <w:t>黑沟弃渣场位于黑沟上游左岸</w:t>
      </w:r>
      <w:r>
        <w:rPr>
          <w:rFonts w:hint="eastAsia"/>
        </w:rPr>
        <w:t>100m</w:t>
      </w:r>
      <w:r>
        <w:rPr>
          <w:rFonts w:hint="eastAsia"/>
        </w:rPr>
        <w:t>处，堆渣高程</w:t>
      </w:r>
      <w:r>
        <w:rPr>
          <w:rFonts w:hint="eastAsia"/>
        </w:rPr>
        <w:t>980</w:t>
      </w:r>
      <w:r>
        <w:rPr>
          <w:rFonts w:hint="eastAsia"/>
        </w:rPr>
        <w:t>～</w:t>
      </w:r>
      <w:r>
        <w:rPr>
          <w:rFonts w:hint="eastAsia"/>
        </w:rPr>
        <w:t>987m</w:t>
      </w:r>
      <w:r>
        <w:rPr>
          <w:rFonts w:hint="eastAsia"/>
        </w:rPr>
        <w:t>，占地</w:t>
      </w:r>
      <w:r>
        <w:rPr>
          <w:rFonts w:hint="eastAsia"/>
        </w:rPr>
        <w:t>0.42hm</w:t>
      </w:r>
      <w:r>
        <w:rPr>
          <w:rFonts w:hint="eastAsia"/>
        </w:rPr>
        <w:t>²渣料主要来自过沟建筑物及</w:t>
      </w:r>
      <w:r>
        <w:rPr>
          <w:rFonts w:hint="eastAsia"/>
        </w:rPr>
        <w:t>4#</w:t>
      </w:r>
      <w:r>
        <w:rPr>
          <w:rFonts w:hint="eastAsia"/>
        </w:rPr>
        <w:t>隧洞的一半加上</w:t>
      </w:r>
      <w:r>
        <w:rPr>
          <w:rFonts w:hint="eastAsia"/>
        </w:rPr>
        <w:t>5#</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1.27</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5</w:t>
      </w:r>
      <w:r>
        <w:rPr>
          <w:rFonts w:hint="eastAsia"/>
        </w:rPr>
        <w:t>）红山沟弃渣场</w:t>
      </w:r>
    </w:p>
    <w:p w:rsidR="006175A6" w:rsidRDefault="009B4BA7">
      <w:pPr>
        <w:ind w:firstLine="480"/>
      </w:pPr>
      <w:r>
        <w:rPr>
          <w:rFonts w:hint="eastAsia"/>
        </w:rPr>
        <w:t>红山沟弃渣场位于红山沟洞口处，堆渣高程</w:t>
      </w:r>
      <w:r>
        <w:rPr>
          <w:rFonts w:hint="eastAsia"/>
        </w:rPr>
        <w:t>973</w:t>
      </w:r>
      <w:r>
        <w:rPr>
          <w:rFonts w:hint="eastAsia"/>
        </w:rPr>
        <w:t>～</w:t>
      </w:r>
      <w:r>
        <w:rPr>
          <w:rFonts w:hint="eastAsia"/>
        </w:rPr>
        <w:t>980m</w:t>
      </w:r>
      <w:r>
        <w:rPr>
          <w:rFonts w:hint="eastAsia"/>
        </w:rPr>
        <w:t>，占地</w:t>
      </w:r>
      <w:r>
        <w:rPr>
          <w:rFonts w:hint="eastAsia"/>
        </w:rPr>
        <w:t>0.47hm</w:t>
      </w:r>
      <w:r>
        <w:rPr>
          <w:rFonts w:hint="eastAsia"/>
        </w:rPr>
        <w:t>³，渣料主要来自过沟建筑物及</w:t>
      </w:r>
      <w:r>
        <w:rPr>
          <w:rFonts w:hint="eastAsia"/>
        </w:rPr>
        <w:t>5#</w:t>
      </w:r>
      <w:r>
        <w:rPr>
          <w:rFonts w:hint="eastAsia"/>
        </w:rPr>
        <w:t>隧洞的一半加上</w:t>
      </w:r>
      <w:r>
        <w:rPr>
          <w:rFonts w:hint="eastAsia"/>
        </w:rPr>
        <w:t>6#</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1.40</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6</w:t>
      </w:r>
      <w:r>
        <w:rPr>
          <w:rFonts w:hint="eastAsia"/>
        </w:rPr>
        <w:t>）斗子沟弃渣场</w:t>
      </w:r>
    </w:p>
    <w:p w:rsidR="006175A6" w:rsidRDefault="009B4BA7">
      <w:pPr>
        <w:ind w:firstLine="480"/>
      </w:pPr>
      <w:r>
        <w:rPr>
          <w:rFonts w:hint="eastAsia"/>
        </w:rPr>
        <w:t>斗子沟弃渣场位于斗子沟洞口处，堆渣高程</w:t>
      </w:r>
      <w:r>
        <w:rPr>
          <w:rFonts w:hint="eastAsia"/>
        </w:rPr>
        <w:t>970</w:t>
      </w:r>
      <w:r>
        <w:rPr>
          <w:rFonts w:hint="eastAsia"/>
        </w:rPr>
        <w:t>～</w:t>
      </w:r>
      <w:r>
        <w:rPr>
          <w:rFonts w:hint="eastAsia"/>
        </w:rPr>
        <w:t>977m</w:t>
      </w:r>
      <w:r>
        <w:rPr>
          <w:rFonts w:hint="eastAsia"/>
        </w:rPr>
        <w:t>，占地</w:t>
      </w:r>
      <w:r>
        <w:rPr>
          <w:rFonts w:hint="eastAsia"/>
        </w:rPr>
        <w:t>0.40hm</w:t>
      </w:r>
      <w:r>
        <w:rPr>
          <w:rFonts w:hint="eastAsia"/>
        </w:rPr>
        <w:t>²，渣料主要来自过沟建筑物及</w:t>
      </w:r>
      <w:r>
        <w:rPr>
          <w:rFonts w:hint="eastAsia"/>
        </w:rPr>
        <w:t>6#</w:t>
      </w:r>
      <w:r>
        <w:rPr>
          <w:rFonts w:hint="eastAsia"/>
        </w:rPr>
        <w:t>隧洞的一半加上</w:t>
      </w:r>
      <w:r>
        <w:rPr>
          <w:rFonts w:hint="eastAsia"/>
        </w:rPr>
        <w:t>7#</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1.20</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7</w:t>
      </w:r>
      <w:r>
        <w:rPr>
          <w:rFonts w:hint="eastAsia"/>
        </w:rPr>
        <w:t>）钟家沟弃渣场</w:t>
      </w:r>
    </w:p>
    <w:p w:rsidR="006175A6" w:rsidRDefault="009B4BA7">
      <w:pPr>
        <w:ind w:firstLine="480"/>
      </w:pPr>
      <w:r>
        <w:rPr>
          <w:rFonts w:hint="eastAsia"/>
        </w:rPr>
        <w:t>钟家沟弃渣场位于钟家沟洞口处，堆渣高程</w:t>
      </w:r>
      <w:r>
        <w:rPr>
          <w:rFonts w:hint="eastAsia"/>
        </w:rPr>
        <w:t>970</w:t>
      </w:r>
      <w:r>
        <w:rPr>
          <w:rFonts w:hint="eastAsia"/>
        </w:rPr>
        <w:t>～</w:t>
      </w:r>
      <w:r>
        <w:rPr>
          <w:rFonts w:hint="eastAsia"/>
        </w:rPr>
        <w:t>977m</w:t>
      </w:r>
      <w:r>
        <w:rPr>
          <w:rFonts w:hint="eastAsia"/>
        </w:rPr>
        <w:t>，占地</w:t>
      </w:r>
      <w:r>
        <w:rPr>
          <w:rFonts w:hint="eastAsia"/>
        </w:rPr>
        <w:t>0.24hm</w:t>
      </w:r>
      <w:r>
        <w:rPr>
          <w:rFonts w:hint="eastAsia"/>
        </w:rPr>
        <w:t>²，渣料主要来自过沟建筑物及</w:t>
      </w:r>
      <w:r>
        <w:rPr>
          <w:rFonts w:hint="eastAsia"/>
        </w:rPr>
        <w:t>7#</w:t>
      </w:r>
      <w:r>
        <w:rPr>
          <w:rFonts w:hint="eastAsia"/>
        </w:rPr>
        <w:t>隧洞的一半加上</w:t>
      </w:r>
      <w:r>
        <w:rPr>
          <w:rFonts w:hint="eastAsia"/>
        </w:rPr>
        <w:t>8#</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0.72</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8</w:t>
      </w:r>
      <w:r>
        <w:rPr>
          <w:rFonts w:hint="eastAsia"/>
        </w:rPr>
        <w:t>）寨沟弃渣场</w:t>
      </w:r>
    </w:p>
    <w:p w:rsidR="006175A6" w:rsidRDefault="009B4BA7">
      <w:pPr>
        <w:ind w:firstLine="480"/>
      </w:pPr>
      <w:r>
        <w:rPr>
          <w:rFonts w:hint="eastAsia"/>
        </w:rPr>
        <w:t>寨沟弃渣场位于寨沟洞口下游</w:t>
      </w:r>
      <w:r>
        <w:rPr>
          <w:rFonts w:hint="eastAsia"/>
        </w:rPr>
        <w:t>200</w:t>
      </w:r>
      <w:r>
        <w:rPr>
          <w:rFonts w:hint="eastAsia"/>
        </w:rPr>
        <w:t>处，堆渣高程</w:t>
      </w:r>
      <w:r>
        <w:rPr>
          <w:rFonts w:hint="eastAsia"/>
        </w:rPr>
        <w:t>970</w:t>
      </w:r>
      <w:r>
        <w:rPr>
          <w:rFonts w:hint="eastAsia"/>
        </w:rPr>
        <w:t>～</w:t>
      </w:r>
      <w:r>
        <w:rPr>
          <w:rFonts w:hint="eastAsia"/>
        </w:rPr>
        <w:t>977m</w:t>
      </w:r>
      <w:r>
        <w:rPr>
          <w:rFonts w:hint="eastAsia"/>
        </w:rPr>
        <w:t>，占地</w:t>
      </w:r>
      <w:r>
        <w:rPr>
          <w:rFonts w:hint="eastAsia"/>
        </w:rPr>
        <w:t>0.20hm</w:t>
      </w:r>
      <w:r>
        <w:rPr>
          <w:rFonts w:hint="eastAsia"/>
          <w:vertAlign w:val="superscript"/>
        </w:rPr>
        <w:t>2</w:t>
      </w:r>
      <w:r>
        <w:rPr>
          <w:rFonts w:hint="eastAsia"/>
        </w:rPr>
        <w:t>，渣料主要来自过沟建筑物及</w:t>
      </w:r>
      <w:r>
        <w:rPr>
          <w:rFonts w:hint="eastAsia"/>
        </w:rPr>
        <w:t>8#</w:t>
      </w:r>
      <w:r>
        <w:rPr>
          <w:rFonts w:hint="eastAsia"/>
        </w:rPr>
        <w:t>隧洞的一半加上</w:t>
      </w:r>
      <w:r>
        <w:rPr>
          <w:rFonts w:hint="eastAsia"/>
        </w:rPr>
        <w:t>9#</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0.61</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9</w:t>
      </w:r>
      <w:r>
        <w:rPr>
          <w:rFonts w:hint="eastAsia"/>
        </w:rPr>
        <w:t>）渣刺沟弃渣场</w:t>
      </w:r>
    </w:p>
    <w:p w:rsidR="006175A6" w:rsidRDefault="009B4BA7">
      <w:pPr>
        <w:ind w:firstLine="480"/>
      </w:pPr>
      <w:r>
        <w:rPr>
          <w:rFonts w:hint="eastAsia"/>
        </w:rPr>
        <w:t>渣刺沟弃渣场位于渣刺沟洞口处，堆渣高程</w:t>
      </w:r>
      <w:r>
        <w:rPr>
          <w:rFonts w:hint="eastAsia"/>
        </w:rPr>
        <w:t>990</w:t>
      </w:r>
      <w:r>
        <w:rPr>
          <w:rFonts w:hint="eastAsia"/>
        </w:rPr>
        <w:t>～</w:t>
      </w:r>
      <w:r>
        <w:rPr>
          <w:rFonts w:hint="eastAsia"/>
        </w:rPr>
        <w:t>997m</w:t>
      </w:r>
      <w:r>
        <w:rPr>
          <w:rFonts w:hint="eastAsia"/>
        </w:rPr>
        <w:t>，占地</w:t>
      </w:r>
      <w:r>
        <w:rPr>
          <w:rFonts w:hint="eastAsia"/>
        </w:rPr>
        <w:t>0.0.20hm</w:t>
      </w:r>
      <w:r>
        <w:rPr>
          <w:rFonts w:hint="eastAsia"/>
        </w:rPr>
        <w:t>²，渣料主要来自过沟建筑物及</w:t>
      </w:r>
      <w:r>
        <w:rPr>
          <w:rFonts w:hint="eastAsia"/>
        </w:rPr>
        <w:t>9#</w:t>
      </w:r>
      <w:r>
        <w:rPr>
          <w:rFonts w:hint="eastAsia"/>
        </w:rPr>
        <w:t>隧洞的一半加上</w:t>
      </w:r>
      <w:r>
        <w:rPr>
          <w:rFonts w:hint="eastAsia"/>
        </w:rPr>
        <w:t>10#</w:t>
      </w:r>
      <w:r>
        <w:rPr>
          <w:rFonts w:hint="eastAsia"/>
        </w:rPr>
        <w:t>隧洞一半的土石方挖，堆渣坡</w:t>
      </w:r>
      <w:r>
        <w:rPr>
          <w:rFonts w:hint="eastAsia"/>
        </w:rPr>
        <w:lastRenderedPageBreak/>
        <w:t>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0.61</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10</w:t>
      </w:r>
      <w:r>
        <w:rPr>
          <w:rFonts w:hint="eastAsia"/>
        </w:rPr>
        <w:t>）庙沟弃渣场</w:t>
      </w:r>
    </w:p>
    <w:p w:rsidR="006175A6" w:rsidRDefault="009B4BA7">
      <w:pPr>
        <w:ind w:firstLine="480"/>
      </w:pPr>
      <w:r>
        <w:rPr>
          <w:rFonts w:hint="eastAsia"/>
        </w:rPr>
        <w:t>庙沟弃渣场位于庙沟洞口处，堆渣高程</w:t>
      </w:r>
      <w:r>
        <w:rPr>
          <w:rFonts w:hint="eastAsia"/>
        </w:rPr>
        <w:t>970</w:t>
      </w:r>
      <w:r>
        <w:rPr>
          <w:rFonts w:hint="eastAsia"/>
        </w:rPr>
        <w:t>～</w:t>
      </w:r>
      <w:r>
        <w:rPr>
          <w:rFonts w:hint="eastAsia"/>
        </w:rPr>
        <w:t>977m</w:t>
      </w:r>
      <w:r>
        <w:rPr>
          <w:rFonts w:hint="eastAsia"/>
        </w:rPr>
        <w:t>，占地</w:t>
      </w:r>
      <w:r>
        <w:rPr>
          <w:rFonts w:hint="eastAsia"/>
        </w:rPr>
        <w:t>0.27hm</w:t>
      </w:r>
      <w:r>
        <w:rPr>
          <w:rFonts w:hint="eastAsia"/>
        </w:rPr>
        <w:t>²，渣料主要来自过沟建筑物及</w:t>
      </w:r>
      <w:r>
        <w:rPr>
          <w:rFonts w:hint="eastAsia"/>
        </w:rPr>
        <w:t>10#</w:t>
      </w:r>
      <w:r>
        <w:rPr>
          <w:rFonts w:hint="eastAsia"/>
        </w:rPr>
        <w:t>隧洞的一半加上</w:t>
      </w:r>
      <w:r>
        <w:rPr>
          <w:rFonts w:hint="eastAsia"/>
        </w:rPr>
        <w:t>11#</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0.81</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11</w:t>
      </w:r>
      <w:r>
        <w:rPr>
          <w:rFonts w:hint="eastAsia"/>
        </w:rPr>
        <w:t>）青林垭弃渣场</w:t>
      </w:r>
    </w:p>
    <w:p w:rsidR="006175A6" w:rsidRDefault="009B4BA7">
      <w:pPr>
        <w:ind w:firstLine="480"/>
      </w:pPr>
      <w:r>
        <w:rPr>
          <w:rFonts w:hint="eastAsia"/>
        </w:rPr>
        <w:t>青林垭弃渣场位于青林垭洞口处，堆渣高程</w:t>
      </w:r>
      <w:r>
        <w:rPr>
          <w:rFonts w:hint="eastAsia"/>
        </w:rPr>
        <w:t>965</w:t>
      </w:r>
      <w:r>
        <w:rPr>
          <w:rFonts w:hint="eastAsia"/>
        </w:rPr>
        <w:t>～</w:t>
      </w:r>
      <w:r>
        <w:rPr>
          <w:rFonts w:hint="eastAsia"/>
        </w:rPr>
        <w:t>972m</w:t>
      </w:r>
      <w:r>
        <w:rPr>
          <w:rFonts w:hint="eastAsia"/>
        </w:rPr>
        <w:t>，占地</w:t>
      </w:r>
      <w:r>
        <w:rPr>
          <w:rFonts w:hint="eastAsia"/>
        </w:rPr>
        <w:t>0.45hm</w:t>
      </w:r>
      <w:r>
        <w:rPr>
          <w:rFonts w:hint="eastAsia"/>
        </w:rPr>
        <w:t>²，渣料主要来自过沟建筑物及</w:t>
      </w:r>
      <w:r>
        <w:rPr>
          <w:rFonts w:hint="eastAsia"/>
        </w:rPr>
        <w:t>11#</w:t>
      </w:r>
      <w:r>
        <w:rPr>
          <w:rFonts w:hint="eastAsia"/>
        </w:rPr>
        <w:t>隧洞的一半加上</w:t>
      </w:r>
      <w:r>
        <w:rPr>
          <w:rFonts w:hint="eastAsia"/>
        </w:rPr>
        <w:t>12#</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1.34</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12</w:t>
      </w:r>
      <w:r>
        <w:rPr>
          <w:rFonts w:hint="eastAsia"/>
        </w:rPr>
        <w:t>）淹水淌弃渣场</w:t>
      </w:r>
    </w:p>
    <w:p w:rsidR="006175A6" w:rsidRDefault="009B4BA7">
      <w:pPr>
        <w:ind w:firstLine="480"/>
      </w:pPr>
      <w:r>
        <w:rPr>
          <w:rFonts w:hint="eastAsia"/>
        </w:rPr>
        <w:t>淹水淌弃渣场位于淹水埫洞口处，堆渣高程</w:t>
      </w:r>
      <w:r>
        <w:rPr>
          <w:rFonts w:hint="eastAsia"/>
        </w:rPr>
        <w:t>973</w:t>
      </w:r>
      <w:r>
        <w:rPr>
          <w:rFonts w:hint="eastAsia"/>
        </w:rPr>
        <w:t>～</w:t>
      </w:r>
      <w:r>
        <w:rPr>
          <w:rFonts w:hint="eastAsia"/>
        </w:rPr>
        <w:t>980m</w:t>
      </w:r>
      <w:r>
        <w:rPr>
          <w:rFonts w:hint="eastAsia"/>
        </w:rPr>
        <w:t>，占地</w:t>
      </w:r>
      <w:r>
        <w:rPr>
          <w:rFonts w:hint="eastAsia"/>
        </w:rPr>
        <w:t>0.51hm</w:t>
      </w:r>
      <w:r>
        <w:rPr>
          <w:rFonts w:hint="eastAsia"/>
        </w:rPr>
        <w:t>²，渣料主要来自过沟建筑物及</w:t>
      </w:r>
      <w:r>
        <w:rPr>
          <w:rFonts w:hint="eastAsia"/>
        </w:rPr>
        <w:t>12#</w:t>
      </w:r>
      <w:r>
        <w:rPr>
          <w:rFonts w:hint="eastAsia"/>
        </w:rPr>
        <w:t>隧洞的一半加上</w:t>
      </w:r>
      <w:r>
        <w:rPr>
          <w:rFonts w:hint="eastAsia"/>
        </w:rPr>
        <w:t>13#</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1.52</w:t>
      </w:r>
      <w:r>
        <w:rPr>
          <w:rFonts w:hint="eastAsia"/>
        </w:rPr>
        <w:t>万</w:t>
      </w:r>
      <w:r>
        <w:rPr>
          <w:rFonts w:hint="eastAsia"/>
        </w:rPr>
        <w:t>m</w:t>
      </w:r>
      <w:r>
        <w:rPr>
          <w:rFonts w:hint="eastAsia"/>
        </w:rPr>
        <w:t>³。</w:t>
      </w:r>
    </w:p>
    <w:p w:rsidR="006175A6" w:rsidRDefault="009B4BA7">
      <w:pPr>
        <w:ind w:firstLine="480"/>
      </w:pPr>
      <w:r>
        <w:rPr>
          <w:rFonts w:hint="eastAsia"/>
        </w:rPr>
        <w:t>（</w:t>
      </w:r>
      <w:r>
        <w:rPr>
          <w:rFonts w:hint="eastAsia"/>
        </w:rPr>
        <w:t>13</w:t>
      </w:r>
      <w:r>
        <w:rPr>
          <w:rFonts w:hint="eastAsia"/>
        </w:rPr>
        <w:t>）龙洞湾弃渣场</w:t>
      </w:r>
    </w:p>
    <w:p w:rsidR="006175A6" w:rsidRDefault="009B4BA7">
      <w:pPr>
        <w:ind w:firstLine="480"/>
      </w:pPr>
      <w:r>
        <w:rPr>
          <w:rFonts w:hint="eastAsia"/>
        </w:rPr>
        <w:t>龙洞湾弃渣场位于龙洞湾洞口处，堆渣高程</w:t>
      </w:r>
      <w:r>
        <w:rPr>
          <w:rFonts w:hint="eastAsia"/>
        </w:rPr>
        <w:t>960</w:t>
      </w:r>
      <w:r>
        <w:rPr>
          <w:rFonts w:hint="eastAsia"/>
        </w:rPr>
        <w:t>～</w:t>
      </w:r>
      <w:r>
        <w:rPr>
          <w:rFonts w:hint="eastAsia"/>
        </w:rPr>
        <w:t>967m</w:t>
      </w:r>
      <w:r>
        <w:rPr>
          <w:rFonts w:hint="eastAsia"/>
        </w:rPr>
        <w:t>，占地</w:t>
      </w:r>
      <w:r>
        <w:rPr>
          <w:rFonts w:hint="eastAsia"/>
        </w:rPr>
        <w:t>0.23hm</w:t>
      </w:r>
      <w:r>
        <w:rPr>
          <w:rFonts w:hint="eastAsia"/>
        </w:rPr>
        <w:t>²，渣料主要来自</w:t>
      </w:r>
      <w:r>
        <w:rPr>
          <w:rFonts w:hint="eastAsia"/>
        </w:rPr>
        <w:t>13#</w:t>
      </w:r>
      <w:r>
        <w:rPr>
          <w:rFonts w:hint="eastAsia"/>
        </w:rPr>
        <w:t>隧洞一半的土石方挖，堆渣坡降为</w:t>
      </w:r>
      <w:r>
        <w:rPr>
          <w:rFonts w:hint="eastAsia"/>
        </w:rPr>
        <w:t>1</w:t>
      </w:r>
      <w:r>
        <w:rPr>
          <w:rFonts w:hint="eastAsia"/>
        </w:rPr>
        <w:t>：</w:t>
      </w:r>
      <w:r>
        <w:rPr>
          <w:rFonts w:hint="eastAsia"/>
        </w:rPr>
        <w:t>2</w:t>
      </w:r>
      <w:r>
        <w:rPr>
          <w:rFonts w:hint="eastAsia"/>
        </w:rPr>
        <w:t>，渣场周边排水沟相连，推土机平整并碾压，堆渣</w:t>
      </w:r>
      <w:r>
        <w:rPr>
          <w:rFonts w:hint="eastAsia"/>
        </w:rPr>
        <w:t>0.68</w:t>
      </w:r>
      <w:r>
        <w:rPr>
          <w:rFonts w:hint="eastAsia"/>
        </w:rPr>
        <w:t>万</w:t>
      </w:r>
      <w:r>
        <w:rPr>
          <w:rFonts w:hint="eastAsia"/>
        </w:rPr>
        <w:t>m</w:t>
      </w:r>
      <w:r>
        <w:rPr>
          <w:rFonts w:hint="eastAsia"/>
        </w:rPr>
        <w:t>³。</w:t>
      </w:r>
    </w:p>
    <w:p w:rsidR="006175A6" w:rsidRDefault="009B4BA7">
      <w:pPr>
        <w:ind w:firstLine="480"/>
      </w:pPr>
      <w:r>
        <w:rPr>
          <w:rFonts w:hint="eastAsia"/>
        </w:rPr>
        <w:t>弃渣场本着“先拦后弃”的原则，渣料及时运到场地平铺，平整压实，随着渣料的增加，渣顶高程也相应抬高，弃渣边坡侧控制在</w:t>
      </w:r>
      <w:r>
        <w:rPr>
          <w:rFonts w:hint="eastAsia"/>
        </w:rPr>
        <w:t>1</w:t>
      </w:r>
      <w:r>
        <w:rPr>
          <w:rFonts w:hint="eastAsia"/>
        </w:rPr>
        <w:t>：</w:t>
      </w:r>
      <w:r>
        <w:rPr>
          <w:rFonts w:hint="eastAsia"/>
        </w:rPr>
        <w:t>2.0</w:t>
      </w:r>
      <w:r>
        <w:rPr>
          <w:rFonts w:hint="eastAsia"/>
        </w:rPr>
        <w:t>左右，因弃渣场为人工再塑地貌，对渣场采取工程措施的同时再采用植物措施进行防治。拟对渣场坡、顶面进行土地整治后。顶面上覆耕织土，用于土地恢复保持水土，防止水土流失。</w:t>
      </w:r>
    </w:p>
    <w:p w:rsidR="006175A6" w:rsidRDefault="009B4BA7">
      <w:pPr>
        <w:pStyle w:val="3"/>
      </w:pPr>
      <w:r>
        <w:rPr>
          <w:rFonts w:hint="eastAsia"/>
        </w:rPr>
        <w:t>建筑材料及施工设备</w:t>
      </w:r>
    </w:p>
    <w:p w:rsidR="006175A6" w:rsidRDefault="009B4BA7">
      <w:pPr>
        <w:ind w:firstLine="480"/>
      </w:pPr>
      <w:r>
        <w:rPr>
          <w:rFonts w:hint="eastAsia"/>
        </w:rPr>
        <w:t>（</w:t>
      </w:r>
      <w:r>
        <w:rPr>
          <w:rFonts w:hint="eastAsia"/>
        </w:rPr>
        <w:t>1</w:t>
      </w:r>
      <w:r>
        <w:rPr>
          <w:rFonts w:hint="eastAsia"/>
        </w:rPr>
        <w:t>）施工材料</w:t>
      </w:r>
    </w:p>
    <w:p w:rsidR="006175A6" w:rsidRDefault="009B4BA7">
      <w:pPr>
        <w:ind w:firstLine="480"/>
      </w:pPr>
      <w:r>
        <w:rPr>
          <w:rFonts w:hint="eastAsia"/>
        </w:rPr>
        <w:t>工程主要施工材料：块石砌筑</w:t>
      </w:r>
      <w:r>
        <w:rPr>
          <w:rFonts w:hint="eastAsia"/>
        </w:rPr>
        <w:t>1322m</w:t>
      </w:r>
      <w:r>
        <w:rPr>
          <w:rFonts w:hint="eastAsia"/>
        </w:rPr>
        <w:t>³，常态混凝土</w:t>
      </w:r>
      <w:r>
        <w:rPr>
          <w:rFonts w:hint="eastAsia"/>
        </w:rPr>
        <w:t>5.65</w:t>
      </w:r>
      <w:r>
        <w:rPr>
          <w:rFonts w:hint="eastAsia"/>
        </w:rPr>
        <w:t>万</w:t>
      </w:r>
      <w:r>
        <w:rPr>
          <w:rFonts w:hint="eastAsia"/>
        </w:rPr>
        <w:t>m</w:t>
      </w:r>
      <w:r>
        <w:rPr>
          <w:rFonts w:hint="eastAsia"/>
        </w:rPr>
        <w:t>³，碾压混凝土</w:t>
      </w:r>
      <w:r>
        <w:rPr>
          <w:rFonts w:hint="eastAsia"/>
        </w:rPr>
        <w:t>14.32</w:t>
      </w:r>
      <w:r>
        <w:rPr>
          <w:rFonts w:hint="eastAsia"/>
        </w:rPr>
        <w:t>万</w:t>
      </w:r>
      <w:r>
        <w:rPr>
          <w:rFonts w:hint="eastAsia"/>
        </w:rPr>
        <w:t>m</w:t>
      </w:r>
      <w:r>
        <w:rPr>
          <w:rFonts w:hint="eastAsia"/>
        </w:rPr>
        <w:t>³，钢筋</w:t>
      </w:r>
      <w:r>
        <w:rPr>
          <w:rFonts w:hint="eastAsia"/>
        </w:rPr>
        <w:t>2383t</w:t>
      </w:r>
      <w:r>
        <w:rPr>
          <w:rFonts w:hint="eastAsia"/>
        </w:rPr>
        <w:t>，钢材</w:t>
      </w:r>
      <w:r>
        <w:rPr>
          <w:rFonts w:hint="eastAsia"/>
        </w:rPr>
        <w:t>149t</w:t>
      </w:r>
      <w:r>
        <w:rPr>
          <w:rFonts w:hint="eastAsia"/>
        </w:rPr>
        <w:t>，帷幕灌浆</w:t>
      </w:r>
      <w:r>
        <w:rPr>
          <w:rFonts w:hint="eastAsia"/>
        </w:rPr>
        <w:t>4427m</w:t>
      </w:r>
      <w:r>
        <w:rPr>
          <w:rFonts w:hint="eastAsia"/>
        </w:rPr>
        <w:t>，固结灌浆</w:t>
      </w:r>
      <w:r>
        <w:rPr>
          <w:rFonts w:hint="eastAsia"/>
        </w:rPr>
        <w:t>2515m</w:t>
      </w:r>
      <w:r>
        <w:rPr>
          <w:rFonts w:hint="eastAsia"/>
        </w:rPr>
        <w:t>，接缝、接触和回填灌浆</w:t>
      </w:r>
      <w:r>
        <w:rPr>
          <w:rFonts w:hint="eastAsia"/>
        </w:rPr>
        <w:t>11581m</w:t>
      </w:r>
      <w:r>
        <w:rPr>
          <w:rFonts w:hint="eastAsia"/>
        </w:rPr>
        <w:t>²；主要材料消耗量：钢筋</w:t>
      </w:r>
      <w:r>
        <w:rPr>
          <w:rFonts w:hint="eastAsia"/>
        </w:rPr>
        <w:t>2383t</w:t>
      </w:r>
      <w:r>
        <w:rPr>
          <w:rFonts w:hint="eastAsia"/>
        </w:rPr>
        <w:t>，水泥</w:t>
      </w:r>
      <w:r>
        <w:rPr>
          <w:rFonts w:hint="eastAsia"/>
        </w:rPr>
        <w:t>2.55</w:t>
      </w:r>
      <w:r>
        <w:rPr>
          <w:rFonts w:hint="eastAsia"/>
        </w:rPr>
        <w:t>万</w:t>
      </w:r>
      <w:r>
        <w:rPr>
          <w:rFonts w:hint="eastAsia"/>
        </w:rPr>
        <w:t>t</w:t>
      </w:r>
      <w:r>
        <w:rPr>
          <w:rFonts w:hint="eastAsia"/>
        </w:rPr>
        <w:t>，砂</w:t>
      </w:r>
      <w:r>
        <w:rPr>
          <w:rFonts w:hint="eastAsia"/>
        </w:rPr>
        <w:t>13.92</w:t>
      </w:r>
      <w:r>
        <w:rPr>
          <w:rFonts w:hint="eastAsia"/>
        </w:rPr>
        <w:t>万</w:t>
      </w:r>
      <w:r>
        <w:rPr>
          <w:rFonts w:hint="eastAsia"/>
        </w:rPr>
        <w:t>m</w:t>
      </w:r>
      <w:r>
        <w:rPr>
          <w:rFonts w:hint="eastAsia"/>
        </w:rPr>
        <w:t>³，碎石</w:t>
      </w:r>
      <w:r>
        <w:rPr>
          <w:rFonts w:hint="eastAsia"/>
        </w:rPr>
        <w:t>23.42</w:t>
      </w:r>
      <w:r>
        <w:rPr>
          <w:rFonts w:hint="eastAsia"/>
        </w:rPr>
        <w:t>万</w:t>
      </w:r>
      <w:r>
        <w:rPr>
          <w:rFonts w:hint="eastAsia"/>
        </w:rPr>
        <w:t>m</w:t>
      </w:r>
      <w:r>
        <w:rPr>
          <w:rFonts w:hint="eastAsia"/>
        </w:rPr>
        <w:t>³，块石</w:t>
      </w:r>
      <w:r>
        <w:rPr>
          <w:rFonts w:hint="eastAsia"/>
        </w:rPr>
        <w:t>4148m</w:t>
      </w:r>
      <w:r>
        <w:rPr>
          <w:rFonts w:hint="eastAsia"/>
        </w:rPr>
        <w:t>³，板枋材</w:t>
      </w:r>
      <w:r>
        <w:rPr>
          <w:rFonts w:hint="eastAsia"/>
        </w:rPr>
        <w:t>172m</w:t>
      </w:r>
      <w:r>
        <w:rPr>
          <w:rFonts w:hint="eastAsia"/>
        </w:rPr>
        <w:t>³，炸药</w:t>
      </w:r>
      <w:r>
        <w:rPr>
          <w:rFonts w:hint="eastAsia"/>
        </w:rPr>
        <w:t>412t</w:t>
      </w:r>
      <w:r>
        <w:rPr>
          <w:rFonts w:hint="eastAsia"/>
        </w:rPr>
        <w:t>，雷管</w:t>
      </w:r>
      <w:r>
        <w:rPr>
          <w:rFonts w:hint="eastAsia"/>
        </w:rPr>
        <w:t>56</w:t>
      </w:r>
      <w:r>
        <w:rPr>
          <w:rFonts w:hint="eastAsia"/>
        </w:rPr>
        <w:t>万个，导火索</w:t>
      </w:r>
      <w:r>
        <w:rPr>
          <w:rFonts w:hint="eastAsia"/>
        </w:rPr>
        <w:t>104</w:t>
      </w:r>
      <w:r>
        <w:rPr>
          <w:rFonts w:hint="eastAsia"/>
        </w:rPr>
        <w:t>万</w:t>
      </w:r>
      <w:r>
        <w:rPr>
          <w:rFonts w:hint="eastAsia"/>
        </w:rPr>
        <w:t>m</w:t>
      </w:r>
      <w:r>
        <w:rPr>
          <w:rFonts w:hint="eastAsia"/>
        </w:rPr>
        <w:t>。</w:t>
      </w:r>
    </w:p>
    <w:p w:rsidR="006175A6" w:rsidRDefault="009B4BA7">
      <w:pPr>
        <w:ind w:firstLine="480"/>
      </w:pPr>
      <w:r>
        <w:rPr>
          <w:rFonts w:hint="eastAsia"/>
        </w:rPr>
        <w:lastRenderedPageBreak/>
        <w:t>（</w:t>
      </w:r>
      <w:r>
        <w:rPr>
          <w:rFonts w:hint="eastAsia"/>
        </w:rPr>
        <w:t>2</w:t>
      </w:r>
      <w:r>
        <w:rPr>
          <w:rFonts w:hint="eastAsia"/>
        </w:rPr>
        <w:t>）主要机械设备</w:t>
      </w:r>
    </w:p>
    <w:p w:rsidR="006175A6" w:rsidRDefault="009B4BA7">
      <w:pPr>
        <w:ind w:firstLine="480"/>
      </w:pPr>
      <w:r>
        <w:rPr>
          <w:rFonts w:hint="eastAsia"/>
        </w:rPr>
        <w:t>施工所需主要设备和机械，按名称、规格、数量汇总见</w:t>
      </w:r>
      <w:r>
        <w:fldChar w:fldCharType="begin"/>
      </w:r>
      <w:r>
        <w:instrText xml:space="preserve"> </w:instrText>
      </w:r>
      <w:r>
        <w:rPr>
          <w:rFonts w:hint="eastAsia"/>
        </w:rPr>
        <w:instrText>REF _Ref77002631 \h</w:instrText>
      </w:r>
      <w:r>
        <w:instrText xml:space="preserve"> </w:instrText>
      </w:r>
      <w:r>
        <w:fldChar w:fldCharType="separate"/>
      </w:r>
      <w:r w:rsidR="00E97427">
        <w:rPr>
          <w:rFonts w:hint="eastAsia"/>
        </w:rPr>
        <w:t>表</w:t>
      </w:r>
      <w:r w:rsidR="00E97427">
        <w:rPr>
          <w:rFonts w:hint="eastAsia"/>
        </w:rPr>
        <w:t xml:space="preserve"> </w:t>
      </w:r>
      <w:r w:rsidR="00E97427">
        <w:rPr>
          <w:noProof/>
        </w:rPr>
        <w:t>3.5</w:t>
      </w:r>
      <w:r w:rsidR="00E97427">
        <w:noBreakHyphen/>
      </w:r>
      <w:r w:rsidR="00E97427">
        <w:rPr>
          <w:noProof/>
        </w:rPr>
        <w:t>6</w:t>
      </w:r>
      <w:r>
        <w:fldChar w:fldCharType="end"/>
      </w:r>
    </w:p>
    <w:p w:rsidR="006175A6" w:rsidRDefault="009B4BA7">
      <w:pPr>
        <w:pStyle w:val="a3"/>
      </w:pPr>
      <w:bookmarkStart w:id="40" w:name="_Ref77002631"/>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6</w:t>
      </w:r>
      <w:r w:rsidR="00A524F9">
        <w:fldChar w:fldCharType="end"/>
      </w:r>
      <w:bookmarkEnd w:id="40"/>
      <w:r>
        <w:rPr>
          <w:rFonts w:hint="eastAsia"/>
        </w:rPr>
        <w:t xml:space="preserve">  </w:t>
      </w:r>
      <w:r>
        <w:rPr>
          <w:rFonts w:hint="eastAsia"/>
        </w:rPr>
        <w:t>主要施工机械设备汇总表</w:t>
      </w:r>
    </w:p>
    <w:tbl>
      <w:tblPr>
        <w:tblW w:w="5000" w:type="pct"/>
        <w:tblLook w:val="04A0" w:firstRow="1" w:lastRow="0" w:firstColumn="1" w:lastColumn="0" w:noHBand="0" w:noVBand="1"/>
      </w:tblPr>
      <w:tblGrid>
        <w:gridCol w:w="1498"/>
        <w:gridCol w:w="3494"/>
        <w:gridCol w:w="1498"/>
        <w:gridCol w:w="2032"/>
      </w:tblGrid>
      <w:tr w:rsidR="006175A6">
        <w:trPr>
          <w:trHeight w:val="340"/>
        </w:trPr>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类别</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设备名称及规格</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单位</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数量</w:t>
            </w:r>
          </w:p>
        </w:tc>
      </w:tr>
      <w:tr w:rsidR="006175A6">
        <w:trPr>
          <w:trHeight w:val="340"/>
        </w:trPr>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起重类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汽车起重机</w:t>
            </w:r>
            <w:r>
              <w:rPr>
                <w:rFonts w:eastAsiaTheme="minorEastAsia"/>
                <w:color w:val="000000"/>
                <w:kern w:val="0"/>
                <w:sz w:val="21"/>
              </w:rPr>
              <w:t xml:space="preserve"> 25t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装载类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单斗挖掘机，油动</w:t>
            </w:r>
            <w:r>
              <w:rPr>
                <w:rFonts w:eastAsiaTheme="minorEastAsia"/>
                <w:color w:val="000000"/>
                <w:kern w:val="0"/>
                <w:sz w:val="21"/>
              </w:rPr>
              <w:t xml:space="preserve"> 1.0m³</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装载机</w:t>
            </w:r>
            <w:r>
              <w:rPr>
                <w:rFonts w:eastAsiaTheme="minorEastAsia"/>
                <w:color w:val="000000"/>
                <w:kern w:val="0"/>
                <w:sz w:val="21"/>
              </w:rPr>
              <w:t xml:space="preserve"> 1.0m³</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8</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风钻手持式</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10</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风钻气腿式</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32</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凿岩及开采类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潜孔钻</w:t>
            </w:r>
            <w:r>
              <w:rPr>
                <w:rFonts w:eastAsiaTheme="minorEastAsia"/>
                <w:color w:val="000000"/>
                <w:kern w:val="0"/>
                <w:sz w:val="21"/>
              </w:rPr>
              <w:t xml:space="preserve"> 100 </w:t>
            </w:r>
            <w:r>
              <w:rPr>
                <w:rFonts w:eastAsiaTheme="minorEastAsia"/>
                <w:color w:val="000000"/>
                <w:kern w:val="0"/>
                <w:sz w:val="21"/>
              </w:rPr>
              <w:t>型</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10</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潜孔钻</w:t>
            </w:r>
            <w:r>
              <w:rPr>
                <w:rFonts w:eastAsiaTheme="minorEastAsia"/>
                <w:color w:val="000000"/>
                <w:kern w:val="0"/>
                <w:sz w:val="21"/>
              </w:rPr>
              <w:t xml:space="preserve"> 150 </w:t>
            </w:r>
            <w:r>
              <w:rPr>
                <w:rFonts w:eastAsiaTheme="minorEastAsia"/>
                <w:color w:val="000000"/>
                <w:kern w:val="0"/>
                <w:sz w:val="21"/>
              </w:rPr>
              <w:t>型</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修钎设备</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3</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推土机</w:t>
            </w:r>
            <w:r w:rsidR="00E97427">
              <w:rPr>
                <w:rFonts w:eastAsiaTheme="minorEastAsia"/>
                <w:color w:val="000000"/>
                <w:kern w:val="0"/>
                <w:sz w:val="21"/>
              </w:rPr>
              <w:t>（</w:t>
            </w:r>
            <w:r>
              <w:rPr>
                <w:rFonts w:eastAsiaTheme="minorEastAsia"/>
                <w:color w:val="000000"/>
                <w:kern w:val="0"/>
                <w:sz w:val="21"/>
              </w:rPr>
              <w:t>132kW</w:t>
            </w:r>
            <w:r w:rsidR="00E97427">
              <w:rPr>
                <w:rFonts w:eastAsiaTheme="minorEastAsia"/>
                <w:color w:val="000000"/>
                <w:kern w:val="0"/>
                <w:sz w:val="21"/>
              </w:rPr>
              <w: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地质钻机，油压手把式</w:t>
            </w:r>
            <w:r>
              <w:rPr>
                <w:rFonts w:eastAsiaTheme="minorEastAsia"/>
                <w:color w:val="000000"/>
                <w:kern w:val="0"/>
                <w:sz w:val="21"/>
              </w:rPr>
              <w:t xml:space="preserve"> 150 </w:t>
            </w:r>
            <w:r>
              <w:rPr>
                <w:rFonts w:eastAsiaTheme="minorEastAsia"/>
                <w:color w:val="000000"/>
                <w:kern w:val="0"/>
                <w:sz w:val="21"/>
              </w:rPr>
              <w:t>型</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3</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钻灌类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灌浆泵</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灰浆搅拌机</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鄂式破碎机</w:t>
            </w:r>
            <w:r>
              <w:rPr>
                <w:rFonts w:eastAsiaTheme="minorEastAsia"/>
                <w:color w:val="000000"/>
                <w:kern w:val="0"/>
                <w:sz w:val="21"/>
              </w:rPr>
              <w:t xml:space="preserve"> 600×900mm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锥式破碎机底</w:t>
            </w:r>
            <w:r>
              <w:rPr>
                <w:rFonts w:eastAsiaTheme="minorEastAsia"/>
                <w:color w:val="000000"/>
                <w:kern w:val="0"/>
                <w:sz w:val="21"/>
              </w:rPr>
              <w:t xml:space="preserve"> φ1650mm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锥式破碎机底</w:t>
            </w:r>
            <w:r>
              <w:rPr>
                <w:rFonts w:eastAsiaTheme="minorEastAsia"/>
                <w:color w:val="000000"/>
                <w:kern w:val="0"/>
                <w:sz w:val="21"/>
              </w:rPr>
              <w:t xml:space="preserve"> φ1750mm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骨料加工类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球磨机</w:t>
            </w:r>
            <w:r>
              <w:rPr>
                <w:rFonts w:eastAsiaTheme="minorEastAsia"/>
                <w:color w:val="000000"/>
                <w:kern w:val="0"/>
                <w:sz w:val="21"/>
              </w:rPr>
              <w:t xml:space="preserve"> φ2150mm×3600mm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洗砂机单螺旋</w:t>
            </w:r>
            <w:r>
              <w:rPr>
                <w:rFonts w:eastAsiaTheme="minorEastAsia"/>
                <w:color w:val="000000"/>
                <w:kern w:val="0"/>
                <w:sz w:val="21"/>
              </w:rPr>
              <w:t xml:space="preserve"> φ1200mm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螺旋分级机</w:t>
            </w:r>
            <w:r>
              <w:rPr>
                <w:rFonts w:eastAsiaTheme="minorEastAsia"/>
                <w:color w:val="000000"/>
                <w:kern w:val="0"/>
                <w:sz w:val="21"/>
              </w:rPr>
              <w:t xml:space="preserve"> φ1200mm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重型振动筛</w:t>
            </w:r>
            <w:r>
              <w:rPr>
                <w:rFonts w:eastAsiaTheme="minorEastAsia"/>
                <w:color w:val="000000"/>
                <w:kern w:val="0"/>
                <w:sz w:val="21"/>
              </w:rPr>
              <w:t xml:space="preserve"> 1500×3000</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重型振动筛</w:t>
            </w:r>
            <w:r>
              <w:rPr>
                <w:rFonts w:eastAsiaTheme="minorEastAsia"/>
                <w:color w:val="000000"/>
                <w:kern w:val="0"/>
                <w:sz w:val="21"/>
              </w:rPr>
              <w:t xml:space="preserve"> 1750×3500</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给料机圆盘式</w:t>
            </w:r>
            <w:r>
              <w:rPr>
                <w:rFonts w:eastAsiaTheme="minorEastAsia"/>
                <w:color w:val="000000"/>
                <w:kern w:val="0"/>
                <w:sz w:val="21"/>
              </w:rPr>
              <w:t xml:space="preserve"> DB-1600</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给料机槽式</w:t>
            </w:r>
            <w:r>
              <w:rPr>
                <w:rFonts w:eastAsiaTheme="minorEastAsia"/>
                <w:color w:val="000000"/>
                <w:kern w:val="0"/>
                <w:sz w:val="21"/>
              </w:rPr>
              <w:t xml:space="preserve"> K3-500t/h</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给料机电磁式</w:t>
            </w:r>
            <w:r>
              <w:rPr>
                <w:rFonts w:eastAsiaTheme="minorEastAsia"/>
                <w:color w:val="000000"/>
                <w:kern w:val="0"/>
                <w:sz w:val="21"/>
              </w:rPr>
              <w:t xml:space="preserve"> 45DA</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混凝土搅拌机出料</w:t>
            </w:r>
            <w:r>
              <w:rPr>
                <w:rFonts w:eastAsiaTheme="minorEastAsia"/>
                <w:color w:val="000000"/>
                <w:kern w:val="0"/>
                <w:sz w:val="21"/>
              </w:rPr>
              <w:t xml:space="preserve"> 0.8m³</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混凝土施工</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拌和楼</w:t>
            </w:r>
            <w:r>
              <w:rPr>
                <w:rFonts w:eastAsiaTheme="minorEastAsia"/>
                <w:color w:val="000000"/>
                <w:kern w:val="0"/>
                <w:sz w:val="21"/>
              </w:rPr>
              <w:t xml:space="preserve"> 2×2.5m³</w:t>
            </w:r>
          </w:p>
        </w:tc>
        <w:tc>
          <w:tcPr>
            <w:tcW w:w="879" w:type="pct"/>
            <w:tcBorders>
              <w:top w:val="single" w:sz="4" w:space="0" w:color="000000"/>
              <w:left w:val="single" w:sz="4" w:space="0" w:color="000000"/>
              <w:bottom w:val="single" w:sz="4" w:space="0" w:color="000000"/>
              <w:right w:val="single" w:sz="4" w:space="0" w:color="000000"/>
            </w:tcBorders>
            <w:vAlign w:val="center"/>
          </w:tcPr>
          <w:p w:rsidR="006175A6" w:rsidRDefault="009B4BA7">
            <w:pPr>
              <w:spacing w:line="240" w:lineRule="auto"/>
              <w:ind w:firstLineChars="0" w:firstLine="0"/>
              <w:jc w:val="center"/>
              <w:rPr>
                <w:rFonts w:eastAsiaTheme="minorEastAsia"/>
                <w:color w:val="000000"/>
                <w:kern w:val="0"/>
                <w:sz w:val="21"/>
              </w:rPr>
            </w:pPr>
            <w:r>
              <w:rPr>
                <w:rFonts w:eastAsiaTheme="minorEastAsia"/>
                <w:color w:val="000000"/>
                <w:kern w:val="0"/>
                <w:sz w:val="21"/>
              </w:rPr>
              <w:t>座</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拌和机</w:t>
            </w:r>
            <w:r>
              <w:rPr>
                <w:rFonts w:eastAsiaTheme="minorEastAsia"/>
                <w:color w:val="000000"/>
                <w:kern w:val="0"/>
                <w:sz w:val="21"/>
              </w:rPr>
              <w:t xml:space="preserve"> JZ350</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7</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混凝土输送泵</w:t>
            </w:r>
            <w:r>
              <w:rPr>
                <w:rFonts w:eastAsiaTheme="minorEastAsia"/>
                <w:color w:val="000000"/>
                <w:kern w:val="0"/>
                <w:sz w:val="21"/>
              </w:rPr>
              <w:t xml:space="preserve"> 30m³/h</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2</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喷浆机</w:t>
            </w:r>
            <w:r>
              <w:rPr>
                <w:rFonts w:eastAsiaTheme="minorEastAsia"/>
                <w:color w:val="000000"/>
                <w:kern w:val="0"/>
                <w:sz w:val="21"/>
              </w:rPr>
              <w:t xml:space="preserve"> 75L</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振捣器插入式</w:t>
            </w:r>
            <w:r>
              <w:rPr>
                <w:rFonts w:eastAsiaTheme="minorEastAsia"/>
                <w:color w:val="000000"/>
                <w:kern w:val="0"/>
                <w:sz w:val="21"/>
              </w:rPr>
              <w:t xml:space="preserve"> 2.2kw</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风（砂）水枪耗风</w:t>
            </w:r>
            <w:r>
              <w:rPr>
                <w:rFonts w:eastAsiaTheme="minorEastAsia"/>
                <w:color w:val="000000"/>
                <w:kern w:val="0"/>
                <w:sz w:val="21"/>
              </w:rPr>
              <w:t xml:space="preserve"> 2.6m³/min</w:t>
            </w:r>
          </w:p>
        </w:tc>
        <w:tc>
          <w:tcPr>
            <w:tcW w:w="879" w:type="pct"/>
            <w:tcBorders>
              <w:top w:val="single" w:sz="4" w:space="0" w:color="000000"/>
              <w:left w:val="single" w:sz="4" w:space="0" w:color="000000"/>
              <w:bottom w:val="single" w:sz="4" w:space="0" w:color="000000"/>
              <w:right w:val="single" w:sz="4" w:space="0" w:color="000000"/>
            </w:tcBorders>
            <w:vAlign w:val="center"/>
          </w:tcPr>
          <w:p w:rsidR="006175A6" w:rsidRDefault="009B4BA7">
            <w:pPr>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3</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载重汽车汽油型</w:t>
            </w:r>
            <w:r>
              <w:rPr>
                <w:rFonts w:eastAsiaTheme="minorEastAsia"/>
                <w:color w:val="000000"/>
                <w:kern w:val="0"/>
                <w:sz w:val="21"/>
              </w:rPr>
              <w:t xml:space="preserve"> 5t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10</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自卸汽车柴油型</w:t>
            </w:r>
            <w:r>
              <w:rPr>
                <w:rFonts w:eastAsiaTheme="minorEastAsia"/>
                <w:color w:val="000000"/>
                <w:kern w:val="0"/>
                <w:sz w:val="21"/>
              </w:rPr>
              <w:t xml:space="preserve"> 15t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15</w:t>
            </w:r>
          </w:p>
        </w:tc>
      </w:tr>
      <w:tr w:rsidR="006175A6">
        <w:trPr>
          <w:trHeight w:val="340"/>
        </w:trPr>
        <w:tc>
          <w:tcPr>
            <w:tcW w:w="8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运输类</w:t>
            </w: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自卸汽车柴油型</w:t>
            </w:r>
            <w:r>
              <w:rPr>
                <w:rFonts w:eastAsiaTheme="minorEastAsia"/>
                <w:color w:val="000000"/>
                <w:kern w:val="0"/>
                <w:sz w:val="21"/>
              </w:rPr>
              <w:t xml:space="preserve"> 10t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5</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胶轮架子车</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40</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胶带机移动式</w:t>
            </w:r>
            <w:r>
              <w:rPr>
                <w:rFonts w:eastAsiaTheme="minorEastAsia"/>
                <w:color w:val="000000"/>
                <w:kern w:val="0"/>
                <w:sz w:val="21"/>
              </w:rPr>
              <w:t xml:space="preserve"> 500mm</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10</w:t>
            </w:r>
          </w:p>
        </w:tc>
      </w:tr>
      <w:tr w:rsidR="006175A6">
        <w:trPr>
          <w:trHeight w:val="340"/>
        </w:trPr>
        <w:tc>
          <w:tcPr>
            <w:tcW w:w="879"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center"/>
              <w:rPr>
                <w:rFonts w:eastAsiaTheme="minorEastAsia"/>
                <w:color w:val="000000"/>
                <w:kern w:val="0"/>
                <w:sz w:val="21"/>
              </w:rPr>
            </w:pPr>
          </w:p>
        </w:tc>
        <w:tc>
          <w:tcPr>
            <w:tcW w:w="20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机动翻斗车</w:t>
            </w:r>
            <w:r>
              <w:rPr>
                <w:rFonts w:eastAsiaTheme="minorEastAsia"/>
                <w:color w:val="000000"/>
                <w:kern w:val="0"/>
                <w:sz w:val="21"/>
              </w:rPr>
              <w:t xml:space="preserve"> 1t</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台</w:t>
            </w:r>
          </w:p>
        </w:tc>
        <w:tc>
          <w:tcPr>
            <w:tcW w:w="1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eastAsiaTheme="minorEastAsia"/>
                <w:color w:val="000000"/>
                <w:kern w:val="0"/>
                <w:sz w:val="21"/>
              </w:rPr>
            </w:pPr>
            <w:r>
              <w:rPr>
                <w:rFonts w:eastAsiaTheme="minorEastAsia"/>
                <w:color w:val="000000"/>
                <w:kern w:val="0"/>
                <w:sz w:val="21"/>
              </w:rPr>
              <w:t>15</w:t>
            </w:r>
          </w:p>
        </w:tc>
      </w:tr>
    </w:tbl>
    <w:p w:rsidR="006175A6" w:rsidRDefault="009B4BA7">
      <w:pPr>
        <w:pStyle w:val="3"/>
      </w:pPr>
      <w:r>
        <w:rPr>
          <w:rFonts w:hint="eastAsia"/>
        </w:rPr>
        <w:t>施工总进度</w:t>
      </w:r>
    </w:p>
    <w:p w:rsidR="006175A6" w:rsidRDefault="009B4BA7">
      <w:pPr>
        <w:ind w:firstLine="480"/>
      </w:pPr>
      <w:r>
        <w:rPr>
          <w:rFonts w:hint="eastAsia"/>
        </w:rPr>
        <w:t>工程的建设分为工程筹建期、施工准备期、主体工程施工期和工程完建期等四个施工期。</w:t>
      </w:r>
    </w:p>
    <w:p w:rsidR="006175A6" w:rsidRDefault="009B4BA7">
      <w:pPr>
        <w:ind w:firstLine="480"/>
      </w:pPr>
      <w:r>
        <w:rPr>
          <w:rFonts w:hint="eastAsia"/>
        </w:rPr>
        <w:t>一、工程筹建期</w:t>
      </w:r>
    </w:p>
    <w:p w:rsidR="006175A6" w:rsidRDefault="009B4BA7">
      <w:pPr>
        <w:ind w:firstLine="480"/>
      </w:pPr>
      <w:r>
        <w:rPr>
          <w:rFonts w:hint="eastAsia"/>
        </w:rPr>
        <w:t>工程筹建期是工程正式开工前由业主筹划、组织、为承包商进场创造施工条件的时段。工程筹建期业主应进行进场公路改造、施工供电场外输电线路架设、征地和移民、场外通讯线路、招标和评标、与上级主管部门协商及与参与工程各方的协调等工作。</w:t>
      </w:r>
    </w:p>
    <w:p w:rsidR="006175A6" w:rsidRDefault="009B4BA7">
      <w:pPr>
        <w:ind w:firstLine="480"/>
      </w:pPr>
      <w:r>
        <w:rPr>
          <w:rFonts w:hint="eastAsia"/>
        </w:rPr>
        <w:t>施工筹建期的所有工作内容应在第一年</w:t>
      </w:r>
      <w:r>
        <w:rPr>
          <w:rFonts w:hint="eastAsia"/>
        </w:rPr>
        <w:t>5</w:t>
      </w:r>
      <w:r>
        <w:rPr>
          <w:rFonts w:hint="eastAsia"/>
        </w:rPr>
        <w:t>月底之前完成。如果工程筹建期业主完成项目有限，大多留在准备期施工，有可能影响工程后续进度。</w:t>
      </w:r>
    </w:p>
    <w:p w:rsidR="006175A6" w:rsidRDefault="009B4BA7">
      <w:pPr>
        <w:ind w:firstLine="480"/>
      </w:pPr>
      <w:r>
        <w:rPr>
          <w:rFonts w:hint="eastAsia"/>
        </w:rPr>
        <w:t>二、施工准备期</w:t>
      </w:r>
    </w:p>
    <w:p w:rsidR="006175A6" w:rsidRDefault="009B4BA7">
      <w:pPr>
        <w:ind w:firstLine="480"/>
      </w:pPr>
      <w:r>
        <w:rPr>
          <w:rFonts w:hint="eastAsia"/>
        </w:rPr>
        <w:t>本工程施工准备期应完成的主要工作是：</w:t>
      </w:r>
    </w:p>
    <w:p w:rsidR="006175A6" w:rsidRDefault="009B4BA7">
      <w:pPr>
        <w:ind w:firstLine="480"/>
      </w:pPr>
      <w:r>
        <w:rPr>
          <w:rFonts w:hint="eastAsia"/>
        </w:rPr>
        <w:t>1</w:t>
      </w:r>
      <w:r>
        <w:rPr>
          <w:rFonts w:hint="eastAsia"/>
        </w:rPr>
        <w:t>）建立现场测控网；</w:t>
      </w:r>
    </w:p>
    <w:p w:rsidR="006175A6" w:rsidRDefault="009B4BA7">
      <w:pPr>
        <w:ind w:firstLine="480"/>
      </w:pPr>
      <w:r>
        <w:rPr>
          <w:rFonts w:hint="eastAsia"/>
        </w:rPr>
        <w:t>2</w:t>
      </w:r>
      <w:r>
        <w:rPr>
          <w:rFonts w:hint="eastAsia"/>
        </w:rPr>
        <w:t>）施工场地平整及建设场内道路、供水供电系统、通讯系统和部分供气系统；</w:t>
      </w:r>
    </w:p>
    <w:p w:rsidR="006175A6" w:rsidRDefault="009B4BA7">
      <w:pPr>
        <w:ind w:firstLine="480"/>
      </w:pPr>
      <w:r>
        <w:rPr>
          <w:rFonts w:hint="eastAsia"/>
        </w:rPr>
        <w:t>3</w:t>
      </w:r>
      <w:r>
        <w:rPr>
          <w:rFonts w:hint="eastAsia"/>
        </w:rPr>
        <w:t>）建设砂石加工系统、混凝土拌和系统、钢筋加工厂、模板加工保养厂、机修汽修厂等施工辅助设施；</w:t>
      </w:r>
    </w:p>
    <w:p w:rsidR="006175A6" w:rsidRDefault="009B4BA7">
      <w:pPr>
        <w:ind w:firstLine="480"/>
      </w:pPr>
      <w:r>
        <w:rPr>
          <w:rFonts w:hint="eastAsia"/>
        </w:rPr>
        <w:t>4</w:t>
      </w:r>
      <w:r>
        <w:rPr>
          <w:rFonts w:hint="eastAsia"/>
        </w:rPr>
        <w:t>）建设施工人员生活、办公房屋及施工期需要的各类仓库；</w:t>
      </w:r>
    </w:p>
    <w:p w:rsidR="006175A6" w:rsidRDefault="009B4BA7">
      <w:pPr>
        <w:ind w:firstLine="480"/>
      </w:pPr>
      <w:r>
        <w:rPr>
          <w:rFonts w:hint="eastAsia"/>
        </w:rPr>
        <w:t>5</w:t>
      </w:r>
      <w:r>
        <w:rPr>
          <w:rFonts w:hint="eastAsia"/>
        </w:rPr>
        <w:t>）导流洞具备过流条件；</w:t>
      </w:r>
    </w:p>
    <w:p w:rsidR="006175A6" w:rsidRDefault="009B4BA7">
      <w:pPr>
        <w:ind w:firstLine="480"/>
      </w:pPr>
      <w:r>
        <w:rPr>
          <w:rFonts w:hint="eastAsia"/>
        </w:rPr>
        <w:t>6</w:t>
      </w:r>
      <w:r>
        <w:rPr>
          <w:rFonts w:hint="eastAsia"/>
        </w:rPr>
        <w:t>）在截流前应完成坝肩土石方开挖；</w:t>
      </w:r>
    </w:p>
    <w:p w:rsidR="006175A6" w:rsidRDefault="009B4BA7">
      <w:pPr>
        <w:ind w:firstLine="480"/>
      </w:pPr>
      <w:r>
        <w:rPr>
          <w:rFonts w:hint="eastAsia"/>
        </w:rPr>
        <w:t>7</w:t>
      </w:r>
      <w:r>
        <w:rPr>
          <w:rFonts w:hint="eastAsia"/>
        </w:rPr>
        <w:t>）根据具体时期的水文气象条件，同设计、监理方一起，复核截流方案，为截流的正常进行作准备。</w:t>
      </w:r>
    </w:p>
    <w:p w:rsidR="006175A6" w:rsidRDefault="009B4BA7">
      <w:pPr>
        <w:ind w:firstLine="480"/>
      </w:pPr>
      <w:r>
        <w:rPr>
          <w:rFonts w:hint="eastAsia"/>
        </w:rPr>
        <w:t>施工准备共</w:t>
      </w:r>
      <w:r>
        <w:rPr>
          <w:rFonts w:hint="eastAsia"/>
        </w:rPr>
        <w:t>5</w:t>
      </w:r>
      <w:r>
        <w:rPr>
          <w:rFonts w:hint="eastAsia"/>
        </w:rPr>
        <w:t>个月，计划从第一年</w:t>
      </w:r>
      <w:r>
        <w:rPr>
          <w:rFonts w:hint="eastAsia"/>
        </w:rPr>
        <w:t>6</w:t>
      </w:r>
      <w:r>
        <w:rPr>
          <w:rFonts w:hint="eastAsia"/>
        </w:rPr>
        <w:t>月</w:t>
      </w:r>
      <w:r>
        <w:rPr>
          <w:rFonts w:hint="eastAsia"/>
        </w:rPr>
        <w:t>1</w:t>
      </w:r>
      <w:r>
        <w:rPr>
          <w:rFonts w:hint="eastAsia"/>
        </w:rPr>
        <w:t>日开始，至第一年</w:t>
      </w:r>
      <w:r>
        <w:rPr>
          <w:rFonts w:hint="eastAsia"/>
        </w:rPr>
        <w:t>10</w:t>
      </w:r>
      <w:r>
        <w:rPr>
          <w:rFonts w:hint="eastAsia"/>
        </w:rPr>
        <w:t>月</w:t>
      </w:r>
      <w:r>
        <w:rPr>
          <w:rFonts w:hint="eastAsia"/>
        </w:rPr>
        <w:t>31</w:t>
      </w:r>
      <w:r>
        <w:rPr>
          <w:rFonts w:hint="eastAsia"/>
        </w:rPr>
        <w:t>日，除施工辅助工厂外，其余内容应全部完成。第一年</w:t>
      </w:r>
      <w:r>
        <w:rPr>
          <w:rFonts w:hint="eastAsia"/>
        </w:rPr>
        <w:t>6</w:t>
      </w:r>
      <w:r>
        <w:rPr>
          <w:rFonts w:hint="eastAsia"/>
        </w:rPr>
        <w:t>月</w:t>
      </w:r>
      <w:r>
        <w:rPr>
          <w:rFonts w:hint="eastAsia"/>
        </w:rPr>
        <w:t>~10</w:t>
      </w:r>
      <w:r>
        <w:rPr>
          <w:rFonts w:hint="eastAsia"/>
        </w:rPr>
        <w:t>月底主要进行河床高程以上两岸坝肩的开挖，工程总量约为</w:t>
      </w:r>
      <w:r>
        <w:rPr>
          <w:rFonts w:hint="eastAsia"/>
        </w:rPr>
        <w:t>12</w:t>
      </w:r>
      <w:r>
        <w:rPr>
          <w:rFonts w:hint="eastAsia"/>
        </w:rPr>
        <w:t>万</w:t>
      </w:r>
      <w:r>
        <w:rPr>
          <w:rFonts w:hint="eastAsia"/>
        </w:rPr>
        <w:t>m</w:t>
      </w:r>
      <w:r>
        <w:rPr>
          <w:rFonts w:hint="eastAsia"/>
          <w:vertAlign w:val="superscript"/>
        </w:rPr>
        <w:t>3</w:t>
      </w:r>
      <w:r>
        <w:rPr>
          <w:rFonts w:hint="eastAsia"/>
        </w:rPr>
        <w:t>，安排了</w:t>
      </w:r>
      <w:r>
        <w:rPr>
          <w:rFonts w:hint="eastAsia"/>
        </w:rPr>
        <w:t>5</w:t>
      </w:r>
      <w:r>
        <w:rPr>
          <w:rFonts w:hint="eastAsia"/>
        </w:rPr>
        <w:t>个月时间（每月按</w:t>
      </w:r>
      <w:r>
        <w:rPr>
          <w:rFonts w:hint="eastAsia"/>
        </w:rPr>
        <w:t>25</w:t>
      </w:r>
      <w:r>
        <w:rPr>
          <w:rFonts w:hint="eastAsia"/>
        </w:rPr>
        <w:t>天工作日），平均每天完成</w:t>
      </w:r>
      <w:r>
        <w:rPr>
          <w:rFonts w:hint="eastAsia"/>
        </w:rPr>
        <w:t>960m</w:t>
      </w:r>
      <w:r>
        <w:rPr>
          <w:rFonts w:hint="eastAsia"/>
          <w:vertAlign w:val="superscript"/>
        </w:rPr>
        <w:t>3</w:t>
      </w:r>
      <w:r>
        <w:rPr>
          <w:rFonts w:hint="eastAsia"/>
        </w:rPr>
        <w:t>。其中最关键的是导流洞具备过流条件。</w:t>
      </w:r>
    </w:p>
    <w:p w:rsidR="006175A6" w:rsidRDefault="009B4BA7">
      <w:pPr>
        <w:ind w:firstLine="480"/>
      </w:pPr>
      <w:r>
        <w:rPr>
          <w:rFonts w:hint="eastAsia"/>
        </w:rPr>
        <w:t>三、主体工程施工期</w:t>
      </w:r>
    </w:p>
    <w:p w:rsidR="006175A6" w:rsidRDefault="009B4BA7">
      <w:pPr>
        <w:ind w:firstLine="480"/>
      </w:pPr>
      <w:r>
        <w:rPr>
          <w:rFonts w:hint="eastAsia"/>
        </w:rPr>
        <w:lastRenderedPageBreak/>
        <w:t>从河床截流至可以输水的施工期定为主体工程施工期，除施工准备期、工程完建期应完成的工作项目外，其它工作内容均应在本期完成。本期的施工时间为第一年</w:t>
      </w:r>
      <w:r>
        <w:rPr>
          <w:rFonts w:hint="eastAsia"/>
        </w:rPr>
        <w:t>11</w:t>
      </w:r>
      <w:r>
        <w:rPr>
          <w:rFonts w:hint="eastAsia"/>
        </w:rPr>
        <w:t>月始至第三年</w:t>
      </w:r>
      <w:r>
        <w:rPr>
          <w:rFonts w:hint="eastAsia"/>
        </w:rPr>
        <w:t>6</w:t>
      </w:r>
      <w:r>
        <w:rPr>
          <w:rFonts w:hint="eastAsia"/>
        </w:rPr>
        <w:t>月底止，工期</w:t>
      </w:r>
      <w:r>
        <w:rPr>
          <w:rFonts w:hint="eastAsia"/>
        </w:rPr>
        <w:t>20</w:t>
      </w:r>
      <w:r>
        <w:rPr>
          <w:rFonts w:hint="eastAsia"/>
        </w:rPr>
        <w:t>个月。</w:t>
      </w:r>
    </w:p>
    <w:p w:rsidR="006175A6" w:rsidRDefault="009B4BA7">
      <w:pPr>
        <w:ind w:firstLine="480"/>
      </w:pPr>
      <w:r>
        <w:rPr>
          <w:rFonts w:hint="eastAsia"/>
        </w:rPr>
        <w:t>大坝工程施工进度计划：</w:t>
      </w:r>
    </w:p>
    <w:p w:rsidR="006175A6" w:rsidRDefault="009B4BA7">
      <w:pPr>
        <w:ind w:firstLine="480"/>
      </w:pPr>
      <w:r>
        <w:rPr>
          <w:rFonts w:hint="eastAsia"/>
        </w:rPr>
        <w:t>第一年</w:t>
      </w:r>
      <w:r>
        <w:rPr>
          <w:rFonts w:hint="eastAsia"/>
        </w:rPr>
        <w:t>11</w:t>
      </w:r>
      <w:r>
        <w:rPr>
          <w:rFonts w:hint="eastAsia"/>
        </w:rPr>
        <w:t>月初至第二年</w:t>
      </w:r>
      <w:r>
        <w:rPr>
          <w:rFonts w:hint="eastAsia"/>
        </w:rPr>
        <w:t>3</w:t>
      </w:r>
      <w:r>
        <w:rPr>
          <w:rFonts w:hint="eastAsia"/>
        </w:rPr>
        <w:t>月底，</w:t>
      </w:r>
      <w:r>
        <w:rPr>
          <w:rFonts w:hint="eastAsia"/>
        </w:rPr>
        <w:t>11</w:t>
      </w:r>
      <w:r>
        <w:rPr>
          <w:rFonts w:hint="eastAsia"/>
        </w:rPr>
        <w:t>月初河床截流，</w:t>
      </w:r>
      <w:r>
        <w:rPr>
          <w:rFonts w:hint="eastAsia"/>
        </w:rPr>
        <w:t>11</w:t>
      </w:r>
      <w:r>
        <w:rPr>
          <w:rFonts w:hint="eastAsia"/>
        </w:rPr>
        <w:t>月底完成河床基础开挖，</w:t>
      </w:r>
      <w:r>
        <w:rPr>
          <w:rFonts w:hint="eastAsia"/>
        </w:rPr>
        <w:t>12</w:t>
      </w:r>
      <w:r>
        <w:rPr>
          <w:rFonts w:hint="eastAsia"/>
        </w:rPr>
        <w:t>月初至</w:t>
      </w:r>
      <w:r>
        <w:rPr>
          <w:rFonts w:hint="eastAsia"/>
        </w:rPr>
        <w:t>3</w:t>
      </w:r>
      <w:r>
        <w:rPr>
          <w:rFonts w:hint="eastAsia"/>
        </w:rPr>
        <w:t>月底开始浇筑坝体混凝土，</w:t>
      </w:r>
      <w:r w:rsidR="00E97427">
        <w:rPr>
          <w:rFonts w:hint="eastAsia"/>
        </w:rPr>
        <w:t>（</w:t>
      </w:r>
      <w:r>
        <w:rPr>
          <w:rFonts w:hint="eastAsia"/>
        </w:rPr>
        <w:t>强度分析：混凝土约为</w:t>
      </w:r>
      <w:r>
        <w:rPr>
          <w:rFonts w:hint="eastAsia"/>
        </w:rPr>
        <w:t>5.8</w:t>
      </w:r>
      <w:r>
        <w:rPr>
          <w:rFonts w:hint="eastAsia"/>
        </w:rPr>
        <w:t>万方，安排</w:t>
      </w:r>
      <w:r>
        <w:rPr>
          <w:rFonts w:hint="eastAsia"/>
        </w:rPr>
        <w:t>5</w:t>
      </w:r>
      <w:r>
        <w:rPr>
          <w:rFonts w:hint="eastAsia"/>
        </w:rPr>
        <w:t>个月完成（每月按</w:t>
      </w:r>
      <w:r>
        <w:rPr>
          <w:rFonts w:hint="eastAsia"/>
        </w:rPr>
        <w:t>25</w:t>
      </w:r>
      <w:r>
        <w:rPr>
          <w:rFonts w:hint="eastAsia"/>
        </w:rPr>
        <w:t>天工作日），平均每天完成</w:t>
      </w:r>
      <w:r>
        <w:rPr>
          <w:rFonts w:hint="eastAsia"/>
        </w:rPr>
        <w:t>464m3</w:t>
      </w:r>
      <w:r w:rsidR="00E97427">
        <w:rPr>
          <w:rFonts w:hint="eastAsia"/>
        </w:rPr>
        <w:t>）</w:t>
      </w:r>
      <w:r>
        <w:rPr>
          <w:rFonts w:hint="eastAsia"/>
        </w:rPr>
        <w:t>，完成基础处理及混凝土碾压至</w:t>
      </w:r>
      <w:r>
        <w:rPr>
          <w:rFonts w:hint="eastAsia"/>
        </w:rPr>
        <w:t>1024m</w:t>
      </w:r>
      <w:r>
        <w:rPr>
          <w:rFonts w:hint="eastAsia"/>
        </w:rPr>
        <w:t>高程，汛期坝体停止碾压，准备渡汛。</w:t>
      </w:r>
    </w:p>
    <w:p w:rsidR="006175A6" w:rsidRDefault="009B4BA7">
      <w:pPr>
        <w:ind w:firstLine="480"/>
      </w:pPr>
      <w:r>
        <w:rPr>
          <w:rFonts w:hint="eastAsia"/>
        </w:rPr>
        <w:t>第二年</w:t>
      </w:r>
      <w:r>
        <w:rPr>
          <w:rFonts w:hint="eastAsia"/>
        </w:rPr>
        <w:t>10</w:t>
      </w:r>
      <w:r>
        <w:rPr>
          <w:rFonts w:hint="eastAsia"/>
        </w:rPr>
        <w:t>月至第三年</w:t>
      </w:r>
      <w:r>
        <w:rPr>
          <w:rFonts w:hint="eastAsia"/>
        </w:rPr>
        <w:t>3</w:t>
      </w:r>
      <w:r>
        <w:rPr>
          <w:rFonts w:hint="eastAsia"/>
        </w:rPr>
        <w:t>月，共</w:t>
      </w:r>
      <w:r>
        <w:rPr>
          <w:rFonts w:hint="eastAsia"/>
        </w:rPr>
        <w:t>5</w:t>
      </w:r>
      <w:r>
        <w:rPr>
          <w:rFonts w:hint="eastAsia"/>
        </w:rPr>
        <w:t>个月，大坝混凝土浇筑</w:t>
      </w:r>
      <w:r>
        <w:rPr>
          <w:rFonts w:hint="eastAsia"/>
        </w:rPr>
        <w:t>8.2</w:t>
      </w:r>
      <w:r>
        <w:rPr>
          <w:rFonts w:hint="eastAsia"/>
        </w:rPr>
        <w:t>万方，安排</w:t>
      </w:r>
      <w:r>
        <w:rPr>
          <w:rFonts w:hint="eastAsia"/>
        </w:rPr>
        <w:t>6</w:t>
      </w:r>
      <w:r>
        <w:rPr>
          <w:rFonts w:hint="eastAsia"/>
        </w:rPr>
        <w:t>个月的时间完成（每月按</w:t>
      </w:r>
      <w:r>
        <w:rPr>
          <w:rFonts w:hint="eastAsia"/>
        </w:rPr>
        <w:t>25</w:t>
      </w:r>
      <w:r>
        <w:rPr>
          <w:rFonts w:hint="eastAsia"/>
        </w:rPr>
        <w:t>天工作日），平均每天完成</w:t>
      </w:r>
      <w:r>
        <w:rPr>
          <w:rFonts w:hint="eastAsia"/>
        </w:rPr>
        <w:t>546m3</w:t>
      </w:r>
      <w:r>
        <w:rPr>
          <w:rFonts w:hint="eastAsia"/>
        </w:rPr>
        <w:t>。并于第</w:t>
      </w:r>
      <w:r>
        <w:rPr>
          <w:rFonts w:hint="eastAsia"/>
        </w:rPr>
        <w:t>2</w:t>
      </w:r>
      <w:r>
        <w:rPr>
          <w:rFonts w:hint="eastAsia"/>
        </w:rPr>
        <w:t>年</w:t>
      </w:r>
      <w:r>
        <w:rPr>
          <w:rFonts w:hint="eastAsia"/>
        </w:rPr>
        <w:t>8</w:t>
      </w:r>
      <w:r>
        <w:rPr>
          <w:rFonts w:hint="eastAsia"/>
        </w:rPr>
        <w:t>月开始进行大坝坝肩的帷幕灌浆。大坝横缝灌浆放在第</w:t>
      </w:r>
      <w:r>
        <w:rPr>
          <w:rFonts w:hint="eastAsia"/>
        </w:rPr>
        <w:t>3</w:t>
      </w:r>
      <w:r>
        <w:rPr>
          <w:rFonts w:hint="eastAsia"/>
        </w:rPr>
        <w:t>年</w:t>
      </w:r>
      <w:r>
        <w:rPr>
          <w:rFonts w:hint="eastAsia"/>
        </w:rPr>
        <w:t>2</w:t>
      </w:r>
      <w:r>
        <w:rPr>
          <w:rFonts w:hint="eastAsia"/>
        </w:rPr>
        <w:t>月，工程于第</w:t>
      </w:r>
      <w:r>
        <w:rPr>
          <w:rFonts w:hint="eastAsia"/>
        </w:rPr>
        <w:t>3</w:t>
      </w:r>
      <w:r>
        <w:rPr>
          <w:rFonts w:hint="eastAsia"/>
        </w:rPr>
        <w:t>年</w:t>
      </w:r>
      <w:r>
        <w:rPr>
          <w:rFonts w:hint="eastAsia"/>
        </w:rPr>
        <w:t>4</w:t>
      </w:r>
      <w:r>
        <w:rPr>
          <w:rFonts w:hint="eastAsia"/>
        </w:rPr>
        <w:t>月下闸蓄水。</w:t>
      </w:r>
    </w:p>
    <w:p w:rsidR="006175A6" w:rsidRDefault="009B4BA7">
      <w:pPr>
        <w:ind w:firstLine="480"/>
      </w:pPr>
      <w:r>
        <w:rPr>
          <w:rFonts w:hint="eastAsia"/>
        </w:rPr>
        <w:t>第三年</w:t>
      </w:r>
      <w:r>
        <w:rPr>
          <w:rFonts w:hint="eastAsia"/>
        </w:rPr>
        <w:t>4</w:t>
      </w:r>
      <w:r>
        <w:rPr>
          <w:rFonts w:hint="eastAsia"/>
        </w:rPr>
        <w:t>月</w:t>
      </w:r>
      <w:r>
        <w:rPr>
          <w:rFonts w:hint="eastAsia"/>
        </w:rPr>
        <w:t>~5</w:t>
      </w:r>
      <w:r>
        <w:rPr>
          <w:rFonts w:hint="eastAsia"/>
        </w:rPr>
        <w:t>月，进行导流隧洞封堵，回填灌浆等。</w:t>
      </w:r>
    </w:p>
    <w:p w:rsidR="006175A6" w:rsidRDefault="009B4BA7">
      <w:pPr>
        <w:ind w:firstLine="480"/>
      </w:pPr>
      <w:r>
        <w:rPr>
          <w:rFonts w:hint="eastAsia"/>
        </w:rPr>
        <w:t>输水洞施工进度计划：</w:t>
      </w:r>
    </w:p>
    <w:p w:rsidR="006175A6" w:rsidRDefault="009B4BA7">
      <w:pPr>
        <w:ind w:firstLine="480"/>
      </w:pPr>
      <w:r>
        <w:rPr>
          <w:rFonts w:hint="eastAsia"/>
        </w:rPr>
        <w:t>输水线路是整个项目的控制工程，根据工期安排考虑分</w:t>
      </w:r>
      <w:r>
        <w:rPr>
          <w:rFonts w:hint="eastAsia"/>
        </w:rPr>
        <w:t>7</w:t>
      </w:r>
      <w:r>
        <w:rPr>
          <w:rFonts w:hint="eastAsia"/>
        </w:rPr>
        <w:t>个作业面同时进行，其中单洞最长</w:t>
      </w:r>
      <w:r>
        <w:rPr>
          <w:rFonts w:hint="eastAsia"/>
        </w:rPr>
        <w:t>2899m</w:t>
      </w:r>
      <w:r>
        <w:rPr>
          <w:rFonts w:hint="eastAsia"/>
        </w:rPr>
        <w:t>，为输水洞的关键洞段。按每月</w:t>
      </w:r>
      <w:r>
        <w:rPr>
          <w:rFonts w:hint="eastAsia"/>
        </w:rPr>
        <w:t>100m</w:t>
      </w:r>
      <w:r>
        <w:rPr>
          <w:rFonts w:hint="eastAsia"/>
        </w:rPr>
        <w:t>的进尺，进、出口同时作业，隧洞开挖需要</w:t>
      </w:r>
      <w:r>
        <w:rPr>
          <w:rFonts w:hint="eastAsia"/>
        </w:rPr>
        <w:t>15</w:t>
      </w:r>
      <w:r>
        <w:rPr>
          <w:rFonts w:hint="eastAsia"/>
        </w:rPr>
        <w:t>个月，衬砌安排为</w:t>
      </w:r>
      <w:r>
        <w:rPr>
          <w:rFonts w:hint="eastAsia"/>
        </w:rPr>
        <w:t>5</w:t>
      </w:r>
      <w:r>
        <w:rPr>
          <w:rFonts w:hint="eastAsia"/>
        </w:rPr>
        <w:t>个月。</w:t>
      </w:r>
    </w:p>
    <w:p w:rsidR="006175A6" w:rsidRDefault="009B4BA7">
      <w:pPr>
        <w:ind w:firstLine="480"/>
      </w:pPr>
      <w:r>
        <w:rPr>
          <w:rFonts w:hint="eastAsia"/>
        </w:rPr>
        <w:t>第一年</w:t>
      </w:r>
      <w:r>
        <w:rPr>
          <w:rFonts w:hint="eastAsia"/>
        </w:rPr>
        <w:t>11</w:t>
      </w:r>
      <w:r>
        <w:rPr>
          <w:rFonts w:hint="eastAsia"/>
        </w:rPr>
        <w:t>月初</w:t>
      </w:r>
      <w:r>
        <w:rPr>
          <w:rFonts w:hint="eastAsia"/>
        </w:rPr>
        <w:t>~</w:t>
      </w:r>
      <w:r>
        <w:rPr>
          <w:rFonts w:hint="eastAsia"/>
        </w:rPr>
        <w:t>第三年</w:t>
      </w:r>
      <w:r>
        <w:rPr>
          <w:rFonts w:hint="eastAsia"/>
        </w:rPr>
        <w:t>6</w:t>
      </w:r>
      <w:r>
        <w:rPr>
          <w:rFonts w:hint="eastAsia"/>
        </w:rPr>
        <w:t>月底共</w:t>
      </w:r>
      <w:r>
        <w:rPr>
          <w:rFonts w:hint="eastAsia"/>
        </w:rPr>
        <w:t>20</w:t>
      </w:r>
      <w:r>
        <w:rPr>
          <w:rFonts w:hint="eastAsia"/>
        </w:rPr>
        <w:t>个月进行隧洞开挖、衬砌。输水洞工序复杂，多段同期开工，应组织协调好各工序的施工顺序，确保工程如期完成，按时供水。</w:t>
      </w:r>
    </w:p>
    <w:p w:rsidR="006175A6" w:rsidRDefault="009B4BA7">
      <w:pPr>
        <w:ind w:firstLine="480"/>
      </w:pPr>
      <w:r>
        <w:rPr>
          <w:rFonts w:hint="eastAsia"/>
        </w:rPr>
        <w:t>四、工程完建期</w:t>
      </w:r>
    </w:p>
    <w:p w:rsidR="006175A6" w:rsidRDefault="009B4BA7">
      <w:pPr>
        <w:ind w:firstLine="480"/>
      </w:pPr>
      <w:r>
        <w:rPr>
          <w:rFonts w:hint="eastAsia"/>
        </w:rPr>
        <w:t>工程完建期主要有下列工作内容坝区绿化辅助设施施工，水土保持工程基本完工，施工退场等工作。第三年</w:t>
      </w:r>
      <w:r>
        <w:rPr>
          <w:rFonts w:hint="eastAsia"/>
        </w:rPr>
        <w:t>7</w:t>
      </w:r>
      <w:r>
        <w:rPr>
          <w:rFonts w:hint="eastAsia"/>
        </w:rPr>
        <w:t>月至</w:t>
      </w:r>
      <w:r>
        <w:rPr>
          <w:rFonts w:hint="eastAsia"/>
        </w:rPr>
        <w:t>9</w:t>
      </w:r>
      <w:r>
        <w:rPr>
          <w:rFonts w:hint="eastAsia"/>
        </w:rPr>
        <w:t>月底，工期</w:t>
      </w:r>
      <w:r>
        <w:rPr>
          <w:rFonts w:hint="eastAsia"/>
        </w:rPr>
        <w:t>3</w:t>
      </w:r>
      <w:r>
        <w:rPr>
          <w:rFonts w:hint="eastAsia"/>
        </w:rPr>
        <w:t>个月。</w:t>
      </w:r>
    </w:p>
    <w:p w:rsidR="006175A6" w:rsidRDefault="009B4BA7">
      <w:pPr>
        <w:ind w:firstLine="480"/>
      </w:pPr>
      <w:r>
        <w:rPr>
          <w:rFonts w:hint="eastAsia"/>
        </w:rPr>
        <w:t>根据以上分析，工程准备期为</w:t>
      </w:r>
      <w:r>
        <w:rPr>
          <w:rFonts w:hint="eastAsia"/>
        </w:rPr>
        <w:t>5</w:t>
      </w:r>
      <w:r>
        <w:rPr>
          <w:rFonts w:hint="eastAsia"/>
        </w:rPr>
        <w:t>个月，主体工程为</w:t>
      </w:r>
      <w:r>
        <w:rPr>
          <w:rFonts w:hint="eastAsia"/>
        </w:rPr>
        <w:t>20</w:t>
      </w:r>
      <w:r>
        <w:rPr>
          <w:rFonts w:hint="eastAsia"/>
        </w:rPr>
        <w:t>个月，完建期为</w:t>
      </w:r>
      <w:r>
        <w:rPr>
          <w:rFonts w:hint="eastAsia"/>
        </w:rPr>
        <w:t>3</w:t>
      </w:r>
      <w:r>
        <w:rPr>
          <w:rFonts w:hint="eastAsia"/>
        </w:rPr>
        <w:t>个月，总工期为</w:t>
      </w:r>
      <w:r>
        <w:rPr>
          <w:rFonts w:hint="eastAsia"/>
        </w:rPr>
        <w:t>28</w:t>
      </w:r>
      <w:r>
        <w:rPr>
          <w:rFonts w:hint="eastAsia"/>
        </w:rPr>
        <w:t>个月。</w:t>
      </w:r>
    </w:p>
    <w:p w:rsidR="006175A6" w:rsidRDefault="009B4BA7">
      <w:pPr>
        <w:pStyle w:val="3"/>
      </w:pPr>
      <w:r>
        <w:rPr>
          <w:rFonts w:hint="eastAsia"/>
        </w:rPr>
        <w:t>施工人员安排</w:t>
      </w:r>
    </w:p>
    <w:p w:rsidR="006175A6" w:rsidRDefault="009B4BA7">
      <w:pPr>
        <w:ind w:firstLine="480"/>
      </w:pPr>
      <w:r>
        <w:rPr>
          <w:rFonts w:hint="eastAsia"/>
        </w:rPr>
        <w:t>本工程施工高峰期为第一年</w:t>
      </w:r>
      <w:r>
        <w:rPr>
          <w:rFonts w:hint="eastAsia"/>
        </w:rPr>
        <w:t>12</w:t>
      </w:r>
      <w:r>
        <w:rPr>
          <w:rFonts w:hint="eastAsia"/>
        </w:rPr>
        <w:t>月至第二年</w:t>
      </w:r>
      <w:r>
        <w:rPr>
          <w:rFonts w:hint="eastAsia"/>
        </w:rPr>
        <w:t>5</w:t>
      </w:r>
      <w:r>
        <w:rPr>
          <w:rFonts w:hint="eastAsia"/>
        </w:rPr>
        <w:t>月，以及输水隧洞的开挖工作。隧洞衬砌等主体工程施工，估计此时段最高施工总人数达到</w:t>
      </w:r>
      <w:r>
        <w:rPr>
          <w:rFonts w:hint="eastAsia"/>
        </w:rPr>
        <w:t>300</w:t>
      </w:r>
      <w:r>
        <w:rPr>
          <w:rFonts w:hint="eastAsia"/>
        </w:rPr>
        <w:t>人左右。</w:t>
      </w:r>
    </w:p>
    <w:p w:rsidR="006175A6" w:rsidRDefault="006175A6">
      <w:pPr>
        <w:ind w:firstLine="480"/>
      </w:pPr>
    </w:p>
    <w:p w:rsidR="006175A6" w:rsidRDefault="009B4BA7">
      <w:pPr>
        <w:pStyle w:val="2"/>
      </w:pPr>
      <w:bookmarkStart w:id="41" w:name="_Toc80170096"/>
      <w:r>
        <w:rPr>
          <w:rFonts w:hint="eastAsia"/>
        </w:rPr>
        <w:lastRenderedPageBreak/>
        <w:t>淹没、占地与移民安置规划</w:t>
      </w:r>
      <w:bookmarkEnd w:id="41"/>
    </w:p>
    <w:p w:rsidR="006175A6" w:rsidRDefault="009B4BA7">
      <w:pPr>
        <w:pStyle w:val="3"/>
      </w:pPr>
      <w:r>
        <w:rPr>
          <w:rFonts w:hint="eastAsia"/>
        </w:rPr>
        <w:t>工程占地</w:t>
      </w:r>
    </w:p>
    <w:p w:rsidR="006175A6" w:rsidRDefault="009B4BA7">
      <w:pPr>
        <w:ind w:firstLine="480"/>
      </w:pPr>
      <w:r>
        <w:rPr>
          <w:rFonts w:hint="eastAsia"/>
        </w:rPr>
        <w:t>本工程共涉及兴山县榛子乡石柱村、黄粮镇的金家坝村和高华村，计</w:t>
      </w:r>
      <w:r>
        <w:rPr>
          <w:rFonts w:hint="eastAsia"/>
        </w:rPr>
        <w:t>3</w:t>
      </w:r>
      <w:r>
        <w:rPr>
          <w:rFonts w:hint="eastAsia"/>
        </w:rPr>
        <w:t>个镇</w:t>
      </w:r>
      <w:r>
        <w:rPr>
          <w:rFonts w:hint="eastAsia"/>
        </w:rPr>
        <w:t>3</w:t>
      </w:r>
      <w:r>
        <w:rPr>
          <w:rFonts w:hint="eastAsia"/>
        </w:rPr>
        <w:t>个村，两河口水库工程库区和工程建设区建设征地</w:t>
      </w:r>
      <w:r>
        <w:rPr>
          <w:rFonts w:hint="eastAsia"/>
        </w:rPr>
        <w:t>896.2</w:t>
      </w:r>
      <w:r>
        <w:rPr>
          <w:rFonts w:hint="eastAsia"/>
        </w:rPr>
        <w:t>亩，其中：永久占地</w:t>
      </w:r>
      <w:r>
        <w:rPr>
          <w:rFonts w:hint="eastAsia"/>
        </w:rPr>
        <w:t>544.2</w:t>
      </w:r>
      <w:r>
        <w:rPr>
          <w:rFonts w:hint="eastAsia"/>
        </w:rPr>
        <w:t>亩，工程临时用地</w:t>
      </w:r>
      <w:r>
        <w:rPr>
          <w:rFonts w:hint="eastAsia"/>
        </w:rPr>
        <w:t>352.0</w:t>
      </w:r>
      <w:r>
        <w:rPr>
          <w:rFonts w:hint="eastAsia"/>
        </w:rPr>
        <w:t>亩。涉及村级公路</w:t>
      </w:r>
      <w:r>
        <w:rPr>
          <w:rFonts w:hint="eastAsia"/>
        </w:rPr>
        <w:t>2.0km</w:t>
      </w:r>
      <w:r>
        <w:rPr>
          <w:rFonts w:hint="eastAsia"/>
        </w:rPr>
        <w:t>；</w:t>
      </w:r>
      <w:r>
        <w:rPr>
          <w:rFonts w:hint="eastAsia"/>
        </w:rPr>
        <w:t>10kv</w:t>
      </w:r>
      <w:r>
        <w:rPr>
          <w:rFonts w:hint="eastAsia"/>
        </w:rPr>
        <w:t>输电线路</w:t>
      </w:r>
      <w:r>
        <w:rPr>
          <w:rFonts w:hint="eastAsia"/>
        </w:rPr>
        <w:t>2.0</w:t>
      </w:r>
      <w:r>
        <w:rPr>
          <w:rFonts w:hint="eastAsia"/>
        </w:rPr>
        <w:t>公里；青龙口电站（</w:t>
      </w:r>
      <w:r>
        <w:rPr>
          <w:rFonts w:hint="eastAsia"/>
        </w:rPr>
        <w:t>225kw</w:t>
      </w:r>
      <w:r>
        <w:rPr>
          <w:rFonts w:hint="eastAsia"/>
        </w:rPr>
        <w:t>）一座，压覆胡家扁磷矿，无文物古迹。</w:t>
      </w:r>
    </w:p>
    <w:p w:rsidR="006175A6" w:rsidRDefault="009B4BA7">
      <w:pPr>
        <w:ind w:firstLine="480"/>
      </w:pPr>
      <w:r>
        <w:rPr>
          <w:rFonts w:hint="eastAsia"/>
        </w:rPr>
        <w:t>永久占地：库区淹没</w:t>
      </w:r>
      <w:r>
        <w:rPr>
          <w:rFonts w:hint="eastAsia"/>
        </w:rPr>
        <w:t>494.5</w:t>
      </w:r>
      <w:r>
        <w:rPr>
          <w:rFonts w:hint="eastAsia"/>
        </w:rPr>
        <w:t>亩，其中：灌木林地</w:t>
      </w:r>
      <w:r>
        <w:rPr>
          <w:rFonts w:hint="eastAsia"/>
        </w:rPr>
        <w:t>211.1</w:t>
      </w:r>
      <w:r>
        <w:rPr>
          <w:rFonts w:hint="eastAsia"/>
        </w:rPr>
        <w:t>亩，水域面积</w:t>
      </w:r>
      <w:r>
        <w:rPr>
          <w:rFonts w:hint="eastAsia"/>
        </w:rPr>
        <w:t>73.6</w:t>
      </w:r>
      <w:r>
        <w:rPr>
          <w:rFonts w:hint="eastAsia"/>
        </w:rPr>
        <w:t>亩，河滩地</w:t>
      </w:r>
      <w:r>
        <w:rPr>
          <w:rFonts w:hint="eastAsia"/>
        </w:rPr>
        <w:t>160.1</w:t>
      </w:r>
      <w:r>
        <w:rPr>
          <w:rFonts w:hint="eastAsia"/>
        </w:rPr>
        <w:t>亩，农村道路及电站</w:t>
      </w:r>
      <w:r>
        <w:rPr>
          <w:rFonts w:hint="eastAsia"/>
        </w:rPr>
        <w:t>49.7</w:t>
      </w:r>
      <w:r>
        <w:rPr>
          <w:rFonts w:hint="eastAsia"/>
        </w:rPr>
        <w:t>亩。枢纽工程建设区占地</w:t>
      </w:r>
      <w:r>
        <w:rPr>
          <w:rFonts w:hint="eastAsia"/>
        </w:rPr>
        <w:t>39.8</w:t>
      </w:r>
      <w:r>
        <w:rPr>
          <w:rFonts w:hint="eastAsia"/>
        </w:rPr>
        <w:t>亩，其中：耕地</w:t>
      </w:r>
      <w:r>
        <w:rPr>
          <w:rFonts w:hint="eastAsia"/>
        </w:rPr>
        <w:t>4.2</w:t>
      </w:r>
      <w:r>
        <w:rPr>
          <w:rFonts w:hint="eastAsia"/>
        </w:rPr>
        <w:t>亩，灌木林地</w:t>
      </w:r>
      <w:r>
        <w:rPr>
          <w:rFonts w:hint="eastAsia"/>
        </w:rPr>
        <w:t>27.5</w:t>
      </w:r>
      <w:r>
        <w:rPr>
          <w:rFonts w:hint="eastAsia"/>
        </w:rPr>
        <w:t>亩，水域面积</w:t>
      </w:r>
      <w:r>
        <w:rPr>
          <w:rFonts w:hint="eastAsia"/>
        </w:rPr>
        <w:t>2.7</w:t>
      </w:r>
      <w:r>
        <w:rPr>
          <w:rFonts w:hint="eastAsia"/>
        </w:rPr>
        <w:t>亩，河滩地</w:t>
      </w:r>
      <w:r>
        <w:rPr>
          <w:rFonts w:hint="eastAsia"/>
        </w:rPr>
        <w:t>3.4</w:t>
      </w:r>
      <w:r>
        <w:rPr>
          <w:rFonts w:hint="eastAsia"/>
        </w:rPr>
        <w:t>亩。输水工程占地</w:t>
      </w:r>
      <w:r>
        <w:rPr>
          <w:rFonts w:hint="eastAsia"/>
        </w:rPr>
        <w:t>9.9</w:t>
      </w:r>
      <w:r>
        <w:rPr>
          <w:rFonts w:hint="eastAsia"/>
        </w:rPr>
        <w:t>亩，其中：涉及耕地（旱地）</w:t>
      </w:r>
      <w:r>
        <w:rPr>
          <w:rFonts w:hint="eastAsia"/>
        </w:rPr>
        <w:t>2.0</w:t>
      </w:r>
      <w:r>
        <w:rPr>
          <w:rFonts w:hint="eastAsia"/>
        </w:rPr>
        <w:t>亩，有林地</w:t>
      </w:r>
      <w:r>
        <w:rPr>
          <w:rFonts w:hint="eastAsia"/>
        </w:rPr>
        <w:t>2.0</w:t>
      </w:r>
      <w:r>
        <w:rPr>
          <w:rFonts w:hint="eastAsia"/>
        </w:rPr>
        <w:t>亩，灌木林地</w:t>
      </w:r>
      <w:r>
        <w:rPr>
          <w:rFonts w:hint="eastAsia"/>
        </w:rPr>
        <w:t>4.9</w:t>
      </w:r>
      <w:r>
        <w:rPr>
          <w:rFonts w:hint="eastAsia"/>
        </w:rPr>
        <w:t>亩，河滩地</w:t>
      </w:r>
      <w:r>
        <w:rPr>
          <w:rFonts w:hint="eastAsia"/>
        </w:rPr>
        <w:t>1.0</w:t>
      </w:r>
      <w:r>
        <w:rPr>
          <w:rFonts w:hint="eastAsia"/>
        </w:rPr>
        <w:t>亩。</w:t>
      </w:r>
    </w:p>
    <w:p w:rsidR="006175A6" w:rsidRDefault="009B4BA7">
      <w:pPr>
        <w:ind w:firstLine="480"/>
      </w:pPr>
      <w:r>
        <w:rPr>
          <w:rFonts w:hint="eastAsia"/>
        </w:rPr>
        <w:t>临时占地：工程建设区内临时用地主要包括施工场地区占地、施工围堰和导流、施工道路占地、料场占地、临时弃渣场占地。其中：施工场地区占地</w:t>
      </w:r>
      <w:r>
        <w:rPr>
          <w:rFonts w:hint="eastAsia"/>
        </w:rPr>
        <w:t>29.2</w:t>
      </w:r>
      <w:r>
        <w:rPr>
          <w:rFonts w:hint="eastAsia"/>
        </w:rPr>
        <w:t>亩，施工围堰和导流占地</w:t>
      </w:r>
      <w:r>
        <w:rPr>
          <w:rFonts w:hint="eastAsia"/>
        </w:rPr>
        <w:t>2.2</w:t>
      </w:r>
      <w:r>
        <w:rPr>
          <w:rFonts w:hint="eastAsia"/>
        </w:rPr>
        <w:t>亩，施工道路占地</w:t>
      </w:r>
      <w:r>
        <w:rPr>
          <w:rFonts w:hint="eastAsia"/>
        </w:rPr>
        <w:t>200.3</w:t>
      </w:r>
      <w:r>
        <w:rPr>
          <w:rFonts w:hint="eastAsia"/>
        </w:rPr>
        <w:t>亩，料场临时占地</w:t>
      </w:r>
      <w:r>
        <w:rPr>
          <w:rFonts w:hint="eastAsia"/>
        </w:rPr>
        <w:t>17.2</w:t>
      </w:r>
      <w:r>
        <w:rPr>
          <w:rFonts w:hint="eastAsia"/>
        </w:rPr>
        <w:t>亩，弃渣场占地</w:t>
      </w:r>
      <w:r>
        <w:rPr>
          <w:rFonts w:hint="eastAsia"/>
        </w:rPr>
        <w:t>103.1</w:t>
      </w:r>
      <w:r>
        <w:rPr>
          <w:rFonts w:hint="eastAsia"/>
        </w:rPr>
        <w:t>亩。</w:t>
      </w:r>
    </w:p>
    <w:p w:rsidR="006175A6" w:rsidRDefault="009B4BA7">
      <w:pPr>
        <w:ind w:firstLine="480"/>
      </w:pPr>
      <w:r>
        <w:rPr>
          <w:rFonts w:hint="eastAsia"/>
        </w:rPr>
        <w:t>工程建设区征地移民实物指标汇总表见</w:t>
      </w:r>
      <w:r>
        <w:fldChar w:fldCharType="begin"/>
      </w:r>
      <w:r>
        <w:instrText xml:space="preserve"> </w:instrText>
      </w:r>
      <w:r>
        <w:rPr>
          <w:rFonts w:hint="eastAsia"/>
        </w:rPr>
        <w:instrText>REF _Ref77235553 \h</w:instrText>
      </w:r>
      <w:r>
        <w:instrText xml:space="preserve"> </w:instrText>
      </w:r>
      <w:r>
        <w:fldChar w:fldCharType="separate"/>
      </w:r>
      <w:r w:rsidR="00E97427">
        <w:rPr>
          <w:rFonts w:hint="eastAsia"/>
        </w:rPr>
        <w:t>表</w:t>
      </w:r>
      <w:r w:rsidR="00E97427">
        <w:rPr>
          <w:noProof/>
        </w:rPr>
        <w:t>3.6</w:t>
      </w:r>
      <w:r w:rsidR="00E97427">
        <w:noBreakHyphen/>
      </w:r>
      <w:r w:rsidR="00E97427">
        <w:rPr>
          <w:noProof/>
        </w:rPr>
        <w:t>1</w:t>
      </w:r>
      <w:r>
        <w:fldChar w:fldCharType="end"/>
      </w:r>
      <w:r>
        <w:rPr>
          <w:rFonts w:hint="eastAsia"/>
        </w:rPr>
        <w:t>。</w:t>
      </w:r>
    </w:p>
    <w:p w:rsidR="006175A6" w:rsidRDefault="009B4BA7">
      <w:pPr>
        <w:pStyle w:val="a3"/>
      </w:pPr>
      <w:bookmarkStart w:id="42" w:name="_Ref77235553"/>
      <w:r>
        <w:rPr>
          <w:rFonts w:hint="eastAsia"/>
        </w:rPr>
        <w:t>表</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42"/>
      <w:r>
        <w:rPr>
          <w:rFonts w:hint="eastAsia"/>
        </w:rPr>
        <w:t>工程建设区征地移民实物指标汇总表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32"/>
        <w:gridCol w:w="881"/>
        <w:gridCol w:w="1552"/>
        <w:gridCol w:w="975"/>
        <w:gridCol w:w="649"/>
        <w:gridCol w:w="2127"/>
      </w:tblGrid>
      <w:tr w:rsidR="006175A6">
        <w:trPr>
          <w:trHeight w:val="340"/>
          <w:jc w:val="center"/>
        </w:trPr>
        <w:tc>
          <w:tcPr>
            <w:tcW w:w="1282" w:type="pct"/>
            <w:vAlign w:val="center"/>
          </w:tcPr>
          <w:p w:rsidR="006175A6" w:rsidRDefault="009B4BA7">
            <w:pPr>
              <w:pStyle w:val="TableParagraph"/>
              <w:spacing w:before="41"/>
              <w:ind w:left="743" w:right="721"/>
              <w:jc w:val="both"/>
              <w:rPr>
                <w:rFonts w:ascii="Times New Roman" w:eastAsiaTheme="minorEastAsia" w:hAnsi="Times New Roman" w:cs="Times New Roman"/>
                <w:sz w:val="21"/>
                <w:szCs w:val="21"/>
                <w:lang w:eastAsia="zh-CN"/>
              </w:rPr>
            </w:pPr>
            <w:r>
              <w:rPr>
                <w:rFonts w:ascii="Times New Roman" w:eastAsiaTheme="minorEastAsia" w:hAnsi="Times New Roman" w:cs="Times New Roman" w:hint="eastAsia"/>
                <w:sz w:val="21"/>
                <w:szCs w:val="21"/>
                <w:lang w:eastAsia="zh-CN"/>
              </w:rPr>
              <w:t>项目</w:t>
            </w:r>
          </w:p>
        </w:tc>
        <w:tc>
          <w:tcPr>
            <w:tcW w:w="530" w:type="pct"/>
            <w:vAlign w:val="center"/>
          </w:tcPr>
          <w:p w:rsidR="006175A6" w:rsidRDefault="009B4BA7">
            <w:pPr>
              <w:pStyle w:val="TableParagraph"/>
              <w:spacing w:before="41"/>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水库淹没区</w:t>
            </w:r>
          </w:p>
        </w:tc>
        <w:tc>
          <w:tcPr>
            <w:tcW w:w="933" w:type="pct"/>
            <w:vAlign w:val="center"/>
          </w:tcPr>
          <w:p w:rsidR="006175A6" w:rsidRDefault="009B4BA7">
            <w:pPr>
              <w:pStyle w:val="TableParagraph"/>
              <w:spacing w:before="41"/>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枢纽工程建设区</w:t>
            </w:r>
          </w:p>
        </w:tc>
        <w:tc>
          <w:tcPr>
            <w:tcW w:w="586" w:type="pct"/>
            <w:vAlign w:val="center"/>
          </w:tcPr>
          <w:p w:rsidR="006175A6" w:rsidRDefault="009B4BA7">
            <w:pPr>
              <w:pStyle w:val="TableParagraph"/>
              <w:spacing w:before="41"/>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输水工程</w:t>
            </w:r>
          </w:p>
        </w:tc>
        <w:tc>
          <w:tcPr>
            <w:tcW w:w="390" w:type="pct"/>
            <w:vAlign w:val="center"/>
          </w:tcPr>
          <w:p w:rsidR="006175A6" w:rsidRDefault="009B4BA7">
            <w:pPr>
              <w:pStyle w:val="TableParagraph"/>
              <w:spacing w:before="41"/>
              <w:ind w:left="99" w:right="65"/>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1279" w:type="pct"/>
            <w:vAlign w:val="center"/>
          </w:tcPr>
          <w:p w:rsidR="006175A6" w:rsidRDefault="009B4BA7">
            <w:pPr>
              <w:pStyle w:val="TableParagraph"/>
              <w:spacing w:before="41"/>
              <w:ind w:left="376" w:right="332"/>
              <w:rPr>
                <w:rFonts w:ascii="Times New Roman" w:eastAsiaTheme="minorEastAsia" w:hAnsi="Times New Roman" w:cs="Times New Roman"/>
                <w:sz w:val="21"/>
                <w:szCs w:val="21"/>
              </w:rPr>
            </w:pPr>
            <w:r>
              <w:rPr>
                <w:rFonts w:ascii="Times New Roman" w:eastAsiaTheme="minorEastAsia" w:hAnsi="Times New Roman" w:cs="Times New Roman"/>
                <w:sz w:val="21"/>
                <w:szCs w:val="21"/>
              </w:rPr>
              <w:t>备注</w:t>
            </w: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一、涉及行政区</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6175A6">
            <w:pPr>
              <w:pStyle w:val="TableParagraph"/>
              <w:rPr>
                <w:rFonts w:ascii="Times New Roman" w:eastAsiaTheme="minorEastAsia" w:hAnsi="Times New Roman" w:cs="Times New Roman"/>
                <w:sz w:val="21"/>
                <w:szCs w:val="21"/>
              </w:rPr>
            </w:pP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县（市）</w:t>
            </w:r>
          </w:p>
        </w:tc>
        <w:tc>
          <w:tcPr>
            <w:tcW w:w="530" w:type="pct"/>
            <w:vAlign w:val="center"/>
          </w:tcPr>
          <w:p w:rsidR="006175A6" w:rsidRDefault="009B4BA7">
            <w:pPr>
              <w:pStyle w:val="TableParagraph"/>
              <w:spacing w:before="52"/>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933" w:type="pct"/>
            <w:vAlign w:val="center"/>
          </w:tcPr>
          <w:p w:rsidR="006175A6" w:rsidRDefault="009B4BA7">
            <w:pPr>
              <w:pStyle w:val="TableParagraph"/>
              <w:spacing w:before="52"/>
              <w:ind w:left="30"/>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33"/>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乡、镇</w:t>
            </w:r>
          </w:p>
        </w:tc>
        <w:tc>
          <w:tcPr>
            <w:tcW w:w="530" w:type="pct"/>
            <w:vAlign w:val="center"/>
          </w:tcPr>
          <w:p w:rsidR="006175A6" w:rsidRDefault="009B4BA7">
            <w:pPr>
              <w:pStyle w:val="TableParagraph"/>
              <w:spacing w:before="53"/>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933" w:type="pct"/>
            <w:vAlign w:val="center"/>
          </w:tcPr>
          <w:p w:rsidR="006175A6" w:rsidRDefault="009B4BA7">
            <w:pPr>
              <w:pStyle w:val="TableParagraph"/>
              <w:spacing w:before="53"/>
              <w:ind w:left="30"/>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86" w:type="pct"/>
            <w:vAlign w:val="center"/>
          </w:tcPr>
          <w:p w:rsidR="006175A6" w:rsidRDefault="009B4BA7">
            <w:pPr>
              <w:pStyle w:val="TableParagraph"/>
              <w:spacing w:before="53"/>
              <w:ind w:left="31"/>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390" w:type="pct"/>
            <w:vAlign w:val="center"/>
          </w:tcPr>
          <w:p w:rsidR="006175A6" w:rsidRDefault="009B4BA7">
            <w:pPr>
              <w:pStyle w:val="TableParagraph"/>
              <w:spacing w:before="53"/>
              <w:ind w:left="33"/>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村</w:t>
            </w:r>
          </w:p>
        </w:tc>
        <w:tc>
          <w:tcPr>
            <w:tcW w:w="530" w:type="pct"/>
            <w:vAlign w:val="center"/>
          </w:tcPr>
          <w:p w:rsidR="006175A6" w:rsidRDefault="009B4BA7">
            <w:pPr>
              <w:pStyle w:val="TableParagraph"/>
              <w:spacing w:before="52"/>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933" w:type="pct"/>
            <w:vAlign w:val="center"/>
          </w:tcPr>
          <w:p w:rsidR="006175A6" w:rsidRDefault="009B4BA7">
            <w:pPr>
              <w:pStyle w:val="TableParagraph"/>
              <w:spacing w:before="52"/>
              <w:ind w:left="30"/>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586" w:type="pct"/>
            <w:vAlign w:val="center"/>
          </w:tcPr>
          <w:p w:rsidR="006175A6" w:rsidRDefault="009B4BA7">
            <w:pPr>
              <w:pStyle w:val="TableParagraph"/>
              <w:spacing w:before="52"/>
              <w:ind w:left="31"/>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390" w:type="pct"/>
            <w:vAlign w:val="center"/>
          </w:tcPr>
          <w:p w:rsidR="006175A6" w:rsidRDefault="009B4BA7">
            <w:pPr>
              <w:pStyle w:val="TableParagraph"/>
              <w:spacing w:before="52"/>
              <w:ind w:left="33"/>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二、永久占地</w:t>
            </w:r>
          </w:p>
        </w:tc>
        <w:tc>
          <w:tcPr>
            <w:tcW w:w="530" w:type="pct"/>
            <w:vAlign w:val="center"/>
          </w:tcPr>
          <w:p w:rsidR="006175A6" w:rsidRDefault="009B4BA7">
            <w:pPr>
              <w:pStyle w:val="TableParagraph"/>
              <w:spacing w:before="54"/>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494.5</w:t>
            </w:r>
          </w:p>
        </w:tc>
        <w:tc>
          <w:tcPr>
            <w:tcW w:w="933" w:type="pct"/>
            <w:vAlign w:val="center"/>
          </w:tcPr>
          <w:p w:rsidR="006175A6" w:rsidRDefault="009B4BA7">
            <w:pPr>
              <w:pStyle w:val="TableParagraph"/>
              <w:spacing w:before="54"/>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39.8</w:t>
            </w:r>
          </w:p>
        </w:tc>
        <w:tc>
          <w:tcPr>
            <w:tcW w:w="586" w:type="pct"/>
            <w:vAlign w:val="center"/>
          </w:tcPr>
          <w:p w:rsidR="006175A6" w:rsidRDefault="009B4BA7">
            <w:pPr>
              <w:pStyle w:val="TableParagraph"/>
              <w:spacing w:before="54"/>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9.9</w:t>
            </w:r>
          </w:p>
        </w:tc>
        <w:tc>
          <w:tcPr>
            <w:tcW w:w="390" w:type="pct"/>
            <w:vAlign w:val="center"/>
          </w:tcPr>
          <w:p w:rsidR="006175A6" w:rsidRDefault="009B4BA7">
            <w:pPr>
              <w:pStyle w:val="TableParagraph"/>
              <w:spacing w:before="54"/>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544.2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．国有土地</w:t>
            </w:r>
          </w:p>
        </w:tc>
        <w:tc>
          <w:tcPr>
            <w:tcW w:w="530" w:type="pct"/>
            <w:vAlign w:val="center"/>
          </w:tcPr>
          <w:p w:rsidR="006175A6" w:rsidRDefault="009B4BA7">
            <w:pPr>
              <w:pStyle w:val="TableParagraph"/>
              <w:spacing w:before="55"/>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276.0</w:t>
            </w:r>
          </w:p>
        </w:tc>
        <w:tc>
          <w:tcPr>
            <w:tcW w:w="933" w:type="pct"/>
            <w:vAlign w:val="center"/>
          </w:tcPr>
          <w:p w:rsidR="006175A6" w:rsidRDefault="009B4BA7">
            <w:pPr>
              <w:pStyle w:val="TableParagraph"/>
              <w:spacing w:before="55"/>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13.6</w:t>
            </w:r>
          </w:p>
        </w:tc>
        <w:tc>
          <w:tcPr>
            <w:tcW w:w="586" w:type="pct"/>
            <w:vAlign w:val="center"/>
          </w:tcPr>
          <w:p w:rsidR="006175A6" w:rsidRDefault="009B4BA7">
            <w:pPr>
              <w:pStyle w:val="TableParagraph"/>
              <w:spacing w:before="55"/>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390" w:type="pct"/>
            <w:vAlign w:val="center"/>
          </w:tcPr>
          <w:p w:rsidR="006175A6" w:rsidRDefault="009B4BA7">
            <w:pPr>
              <w:pStyle w:val="TableParagraph"/>
              <w:spacing w:before="55"/>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290.5</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1.1</w:t>
            </w:r>
            <w:r>
              <w:rPr>
                <w:rFonts w:ascii="Times New Roman" w:eastAsiaTheme="minorEastAsia" w:hAnsi="Times New Roman" w:cs="Times New Roman"/>
                <w:color w:val="FF0000"/>
                <w:sz w:val="21"/>
                <w:szCs w:val="21"/>
              </w:rPr>
              <w:t>灌木林地</w:t>
            </w:r>
          </w:p>
        </w:tc>
        <w:tc>
          <w:tcPr>
            <w:tcW w:w="530" w:type="pct"/>
            <w:vAlign w:val="center"/>
          </w:tcPr>
          <w:p w:rsidR="006175A6" w:rsidRDefault="009B4BA7">
            <w:pPr>
              <w:pStyle w:val="TableParagraph"/>
              <w:spacing w:before="52"/>
              <w:ind w:left="96"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42.2</w:t>
            </w:r>
          </w:p>
        </w:tc>
        <w:tc>
          <w:tcPr>
            <w:tcW w:w="933" w:type="pct"/>
            <w:vAlign w:val="center"/>
          </w:tcPr>
          <w:p w:rsidR="006175A6" w:rsidRDefault="009B4BA7">
            <w:pPr>
              <w:pStyle w:val="TableParagraph"/>
              <w:spacing w:before="52"/>
              <w:ind w:left="96"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5.5</w:t>
            </w:r>
          </w:p>
        </w:tc>
        <w:tc>
          <w:tcPr>
            <w:tcW w:w="586" w:type="pct"/>
            <w:vAlign w:val="center"/>
          </w:tcPr>
          <w:p w:rsidR="006175A6" w:rsidRDefault="006175A6">
            <w:pPr>
              <w:pStyle w:val="TableParagraph"/>
              <w:rPr>
                <w:rFonts w:ascii="Times New Roman" w:eastAsiaTheme="minorEastAsia" w:hAnsi="Times New Roman" w:cs="Times New Roman"/>
                <w:color w:val="FF0000"/>
                <w:sz w:val="21"/>
                <w:szCs w:val="21"/>
              </w:rPr>
            </w:pP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47.7</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r>
              <w:rPr>
                <w:rFonts w:ascii="Times New Roman" w:eastAsiaTheme="minorEastAsia" w:hAnsi="Times New Roman" w:cs="Times New Roman"/>
                <w:sz w:val="21"/>
                <w:szCs w:val="21"/>
              </w:rPr>
              <w:t>河流水面</w:t>
            </w:r>
          </w:p>
        </w:tc>
        <w:tc>
          <w:tcPr>
            <w:tcW w:w="530" w:type="pct"/>
            <w:vAlign w:val="center"/>
          </w:tcPr>
          <w:p w:rsidR="006175A6" w:rsidRDefault="009B4BA7">
            <w:pPr>
              <w:pStyle w:val="TableParagraph"/>
              <w:spacing w:before="52"/>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73.6</w:t>
            </w:r>
          </w:p>
        </w:tc>
        <w:tc>
          <w:tcPr>
            <w:tcW w:w="933" w:type="pct"/>
            <w:vAlign w:val="center"/>
          </w:tcPr>
          <w:p w:rsidR="006175A6" w:rsidRDefault="009B4BA7">
            <w:pPr>
              <w:pStyle w:val="TableParagraph"/>
              <w:spacing w:before="52"/>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2.7</w:t>
            </w: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0.0</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76.3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1.3</w:t>
            </w:r>
            <w:r>
              <w:rPr>
                <w:rFonts w:ascii="Times New Roman" w:eastAsiaTheme="minorEastAsia" w:hAnsi="Times New Roman" w:cs="Times New Roman"/>
                <w:color w:val="FF0000"/>
                <w:sz w:val="21"/>
                <w:szCs w:val="21"/>
              </w:rPr>
              <w:t>未利用土地</w:t>
            </w:r>
          </w:p>
        </w:tc>
        <w:tc>
          <w:tcPr>
            <w:tcW w:w="530" w:type="pct"/>
            <w:vAlign w:val="center"/>
          </w:tcPr>
          <w:p w:rsidR="006175A6" w:rsidRDefault="009B4BA7">
            <w:pPr>
              <w:pStyle w:val="TableParagraph"/>
              <w:spacing w:before="53"/>
              <w:ind w:left="97"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160.1</w:t>
            </w:r>
          </w:p>
        </w:tc>
        <w:tc>
          <w:tcPr>
            <w:tcW w:w="933" w:type="pct"/>
            <w:vAlign w:val="center"/>
          </w:tcPr>
          <w:p w:rsidR="006175A6" w:rsidRDefault="009B4BA7">
            <w:pPr>
              <w:pStyle w:val="TableParagraph"/>
              <w:spacing w:before="53"/>
              <w:ind w:left="96"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5.4</w:t>
            </w:r>
          </w:p>
        </w:tc>
        <w:tc>
          <w:tcPr>
            <w:tcW w:w="586" w:type="pct"/>
            <w:vAlign w:val="center"/>
          </w:tcPr>
          <w:p w:rsidR="006175A6" w:rsidRDefault="009B4BA7">
            <w:pPr>
              <w:pStyle w:val="TableParagraph"/>
              <w:spacing w:before="53"/>
              <w:ind w:left="96" w:right="66"/>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1.0</w:t>
            </w:r>
          </w:p>
        </w:tc>
        <w:tc>
          <w:tcPr>
            <w:tcW w:w="390" w:type="pct"/>
            <w:vAlign w:val="center"/>
          </w:tcPr>
          <w:p w:rsidR="006175A6" w:rsidRDefault="009B4BA7">
            <w:pPr>
              <w:pStyle w:val="TableParagraph"/>
              <w:spacing w:before="53"/>
              <w:ind w:left="99" w:right="66"/>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166.5</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2</w:t>
            </w:r>
            <w:r>
              <w:rPr>
                <w:rFonts w:ascii="Times New Roman" w:eastAsiaTheme="minorEastAsia" w:hAnsi="Times New Roman" w:cs="Times New Roman"/>
                <w:color w:val="FF0000"/>
                <w:sz w:val="21"/>
                <w:szCs w:val="21"/>
              </w:rPr>
              <w:t>．集体土地</w:t>
            </w:r>
          </w:p>
        </w:tc>
        <w:tc>
          <w:tcPr>
            <w:tcW w:w="530" w:type="pct"/>
            <w:vAlign w:val="center"/>
          </w:tcPr>
          <w:p w:rsidR="006175A6" w:rsidRDefault="009B4BA7">
            <w:pPr>
              <w:pStyle w:val="TableParagraph"/>
              <w:spacing w:before="54"/>
              <w:ind w:left="97"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218.6</w:t>
            </w:r>
          </w:p>
        </w:tc>
        <w:tc>
          <w:tcPr>
            <w:tcW w:w="933" w:type="pct"/>
            <w:vAlign w:val="center"/>
          </w:tcPr>
          <w:p w:rsidR="006175A6" w:rsidRDefault="009B4BA7">
            <w:pPr>
              <w:pStyle w:val="TableParagraph"/>
              <w:spacing w:before="54"/>
              <w:ind w:left="97" w:right="68"/>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26.2</w:t>
            </w:r>
          </w:p>
        </w:tc>
        <w:tc>
          <w:tcPr>
            <w:tcW w:w="586" w:type="pct"/>
            <w:vAlign w:val="center"/>
          </w:tcPr>
          <w:p w:rsidR="006175A6" w:rsidRDefault="009B4BA7">
            <w:pPr>
              <w:pStyle w:val="TableParagraph"/>
              <w:spacing w:before="54"/>
              <w:ind w:left="96" w:right="66"/>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8.9</w:t>
            </w:r>
          </w:p>
        </w:tc>
        <w:tc>
          <w:tcPr>
            <w:tcW w:w="390" w:type="pct"/>
            <w:vAlign w:val="center"/>
          </w:tcPr>
          <w:p w:rsidR="006175A6" w:rsidRDefault="009B4BA7">
            <w:pPr>
              <w:pStyle w:val="TableParagraph"/>
              <w:spacing w:before="54"/>
              <w:ind w:left="99" w:right="66"/>
              <w:rPr>
                <w:rFonts w:ascii="Times New Roman" w:eastAsiaTheme="minorEastAsia" w:hAnsi="Times New Roman" w:cs="Times New Roman"/>
                <w:color w:val="FF0000"/>
                <w:sz w:val="21"/>
                <w:szCs w:val="21"/>
              </w:rPr>
            </w:pPr>
            <w:r>
              <w:rPr>
                <w:rFonts w:ascii="Times New Roman" w:eastAsiaTheme="minorEastAsia" w:hAnsi="Times New Roman" w:cs="Times New Roman"/>
                <w:color w:val="FF0000"/>
                <w:sz w:val="21"/>
                <w:szCs w:val="21"/>
              </w:rPr>
              <w:t>253.7</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2.1</w:t>
            </w:r>
            <w:r>
              <w:rPr>
                <w:rFonts w:ascii="Times New Roman" w:eastAsiaTheme="minorEastAsia" w:hAnsi="Times New Roman" w:cs="Times New Roman"/>
                <w:sz w:val="21"/>
                <w:szCs w:val="21"/>
              </w:rPr>
              <w:t>耕地（旱地）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2"/>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4.2</w:t>
            </w: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6.2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r>
              <w:rPr>
                <w:rFonts w:ascii="Times New Roman" w:eastAsiaTheme="minorEastAsia" w:hAnsi="Times New Roman" w:cs="Times New Roman"/>
                <w:sz w:val="21"/>
                <w:szCs w:val="21"/>
              </w:rPr>
              <w:t>有林地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3"/>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390" w:type="pct"/>
            <w:vAlign w:val="center"/>
          </w:tcPr>
          <w:p w:rsidR="006175A6" w:rsidRDefault="009B4BA7">
            <w:pPr>
              <w:pStyle w:val="TableParagraph"/>
              <w:spacing w:before="53"/>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2.3</w:t>
            </w:r>
            <w:r>
              <w:rPr>
                <w:rFonts w:ascii="Times New Roman" w:eastAsiaTheme="minorEastAsia" w:hAnsi="Times New Roman" w:cs="Times New Roman"/>
                <w:sz w:val="21"/>
                <w:szCs w:val="21"/>
              </w:rPr>
              <w:t>灌木林地</w:t>
            </w:r>
          </w:p>
        </w:tc>
        <w:tc>
          <w:tcPr>
            <w:tcW w:w="530" w:type="pct"/>
            <w:vAlign w:val="center"/>
          </w:tcPr>
          <w:p w:rsidR="006175A6" w:rsidRDefault="009B4BA7">
            <w:pPr>
              <w:pStyle w:val="TableParagraph"/>
              <w:spacing w:before="52"/>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168.9</w:t>
            </w:r>
          </w:p>
        </w:tc>
        <w:tc>
          <w:tcPr>
            <w:tcW w:w="933" w:type="pct"/>
            <w:vAlign w:val="center"/>
          </w:tcPr>
          <w:p w:rsidR="006175A6" w:rsidRDefault="009B4BA7">
            <w:pPr>
              <w:pStyle w:val="TableParagraph"/>
              <w:spacing w:before="52"/>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22.0</w:t>
            </w: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4.9</w:t>
            </w:r>
          </w:p>
        </w:tc>
        <w:tc>
          <w:tcPr>
            <w:tcW w:w="390" w:type="pct"/>
            <w:vAlign w:val="center"/>
          </w:tcPr>
          <w:p w:rsidR="006175A6" w:rsidRDefault="009B4BA7">
            <w:pPr>
              <w:pStyle w:val="TableParagraph"/>
              <w:spacing w:before="52"/>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195.8</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131"/>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2.4</w:t>
            </w:r>
            <w:r>
              <w:rPr>
                <w:rFonts w:ascii="Times New Roman" w:eastAsiaTheme="minorEastAsia" w:hAnsi="Times New Roman" w:cs="Times New Roman"/>
                <w:sz w:val="21"/>
                <w:szCs w:val="21"/>
              </w:rPr>
              <w:t>农村道路及电站</w:t>
            </w:r>
          </w:p>
        </w:tc>
        <w:tc>
          <w:tcPr>
            <w:tcW w:w="530" w:type="pct"/>
            <w:vAlign w:val="center"/>
          </w:tcPr>
          <w:p w:rsidR="006175A6" w:rsidRDefault="009B4BA7">
            <w:pPr>
              <w:pStyle w:val="TableParagraph"/>
              <w:spacing w:before="140"/>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49.7</w:t>
            </w: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140"/>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49.7</w:t>
            </w:r>
          </w:p>
        </w:tc>
        <w:tc>
          <w:tcPr>
            <w:tcW w:w="1279" w:type="pct"/>
            <w:vAlign w:val="center"/>
          </w:tcPr>
          <w:p w:rsidR="006175A6" w:rsidRDefault="009B4BA7">
            <w:pPr>
              <w:pStyle w:val="TableParagraph"/>
              <w:spacing w:before="1"/>
              <w:ind w:left="119"/>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占地补偿不计列，已计入专业设施补偿中</w:t>
            </w: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三、临时用地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5"/>
              <w:ind w:left="97" w:right="67"/>
              <w:rPr>
                <w:rFonts w:ascii="Times New Roman" w:eastAsiaTheme="minorEastAsia" w:hAnsi="Times New Roman" w:cs="Times New Roman"/>
                <w:sz w:val="21"/>
                <w:szCs w:val="21"/>
              </w:rPr>
            </w:pPr>
            <w:r>
              <w:rPr>
                <w:rFonts w:ascii="Times New Roman" w:eastAsiaTheme="minorEastAsia" w:hAnsi="Times New Roman" w:cs="Times New Roman"/>
                <w:sz w:val="21"/>
                <w:szCs w:val="21"/>
              </w:rPr>
              <w:t>116.0</w:t>
            </w:r>
          </w:p>
        </w:tc>
        <w:tc>
          <w:tcPr>
            <w:tcW w:w="586" w:type="pct"/>
            <w:vAlign w:val="center"/>
          </w:tcPr>
          <w:p w:rsidR="006175A6" w:rsidRDefault="009B4BA7">
            <w:pPr>
              <w:pStyle w:val="TableParagraph"/>
              <w:spacing w:before="55"/>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236.0</w:t>
            </w:r>
          </w:p>
        </w:tc>
        <w:tc>
          <w:tcPr>
            <w:tcW w:w="390" w:type="pct"/>
            <w:vAlign w:val="center"/>
          </w:tcPr>
          <w:p w:rsidR="006175A6" w:rsidRDefault="009B4BA7">
            <w:pPr>
              <w:pStyle w:val="TableParagraph"/>
              <w:spacing w:before="53"/>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352.0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．施工场地区</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4"/>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25.1</w:t>
            </w:r>
          </w:p>
        </w:tc>
        <w:tc>
          <w:tcPr>
            <w:tcW w:w="586" w:type="pct"/>
            <w:vAlign w:val="center"/>
          </w:tcPr>
          <w:p w:rsidR="006175A6" w:rsidRDefault="009B4BA7">
            <w:pPr>
              <w:pStyle w:val="TableParagraph"/>
              <w:spacing w:before="54"/>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4.1</w:t>
            </w:r>
          </w:p>
        </w:tc>
        <w:tc>
          <w:tcPr>
            <w:tcW w:w="390" w:type="pct"/>
            <w:vAlign w:val="center"/>
          </w:tcPr>
          <w:p w:rsidR="006175A6" w:rsidRDefault="009B4BA7">
            <w:pPr>
              <w:pStyle w:val="TableParagraph"/>
              <w:spacing w:before="54"/>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29.2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r>
              <w:rPr>
                <w:rFonts w:ascii="Times New Roman" w:eastAsiaTheme="minorEastAsia" w:hAnsi="Times New Roman" w:cs="Times New Roman"/>
                <w:sz w:val="21"/>
                <w:szCs w:val="21"/>
              </w:rPr>
              <w:t>有林地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4.1</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4.1</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r>
              <w:rPr>
                <w:rFonts w:ascii="Times New Roman" w:eastAsiaTheme="minorEastAsia" w:hAnsi="Times New Roman" w:cs="Times New Roman"/>
                <w:sz w:val="21"/>
                <w:szCs w:val="21"/>
              </w:rPr>
              <w:t>灌木林地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3"/>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25.1</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3"/>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25.1</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．施工围堰及导流</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4"/>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4"/>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2.1</w:t>
            </w:r>
            <w:r>
              <w:rPr>
                <w:rFonts w:ascii="Times New Roman" w:eastAsiaTheme="minorEastAsia" w:hAnsi="Times New Roman" w:cs="Times New Roman"/>
                <w:sz w:val="21"/>
                <w:szCs w:val="21"/>
              </w:rPr>
              <w:t>灌木林地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4"/>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4"/>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r>
              <w:rPr>
                <w:rFonts w:ascii="Times New Roman" w:eastAsiaTheme="minorEastAsia" w:hAnsi="Times New Roman" w:cs="Times New Roman"/>
                <w:sz w:val="21"/>
                <w:szCs w:val="21"/>
              </w:rPr>
              <w:t>河流水面</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5"/>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0.4</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5"/>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0.4</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2.3</w:t>
            </w:r>
            <w:r>
              <w:rPr>
                <w:rFonts w:ascii="Times New Roman" w:eastAsiaTheme="minorEastAsia" w:hAnsi="Times New Roman" w:cs="Times New Roman"/>
                <w:sz w:val="21"/>
                <w:szCs w:val="21"/>
              </w:rPr>
              <w:t>未利用土地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2"/>
              <w:ind w:left="96"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．施工道路</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4"/>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33.5</w:t>
            </w:r>
          </w:p>
        </w:tc>
        <w:tc>
          <w:tcPr>
            <w:tcW w:w="586" w:type="pct"/>
            <w:vAlign w:val="center"/>
          </w:tcPr>
          <w:p w:rsidR="006175A6" w:rsidRDefault="009B4BA7">
            <w:pPr>
              <w:pStyle w:val="TableParagraph"/>
              <w:spacing w:before="54"/>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166.8</w:t>
            </w:r>
          </w:p>
        </w:tc>
        <w:tc>
          <w:tcPr>
            <w:tcW w:w="390" w:type="pct"/>
            <w:vAlign w:val="center"/>
          </w:tcPr>
          <w:p w:rsidR="006175A6" w:rsidRDefault="009B4BA7">
            <w:pPr>
              <w:pStyle w:val="TableParagraph"/>
              <w:spacing w:before="54"/>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3.1</w:t>
            </w:r>
            <w:r>
              <w:rPr>
                <w:rFonts w:ascii="Times New Roman" w:eastAsiaTheme="minorEastAsia" w:hAnsi="Times New Roman" w:cs="Times New Roman"/>
                <w:sz w:val="21"/>
                <w:szCs w:val="21"/>
              </w:rPr>
              <w:t>有林地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3"/>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390" w:type="pct"/>
            <w:vAlign w:val="center"/>
          </w:tcPr>
          <w:p w:rsidR="006175A6" w:rsidRDefault="009B4BA7">
            <w:pPr>
              <w:pStyle w:val="TableParagraph"/>
              <w:spacing w:before="53"/>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3.2</w:t>
            </w:r>
            <w:r>
              <w:rPr>
                <w:rFonts w:ascii="Times New Roman" w:eastAsiaTheme="minorEastAsia" w:hAnsi="Times New Roman" w:cs="Times New Roman"/>
                <w:sz w:val="21"/>
                <w:szCs w:val="21"/>
              </w:rPr>
              <w:t>灌木林地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2"/>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33.5</w:t>
            </w:r>
          </w:p>
        </w:tc>
        <w:tc>
          <w:tcPr>
            <w:tcW w:w="586" w:type="pct"/>
            <w:vAlign w:val="center"/>
          </w:tcPr>
          <w:p w:rsidR="006175A6" w:rsidRDefault="009B4BA7">
            <w:pPr>
              <w:pStyle w:val="TableParagraph"/>
              <w:spacing w:before="52"/>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133.8</w:t>
            </w:r>
          </w:p>
        </w:tc>
        <w:tc>
          <w:tcPr>
            <w:tcW w:w="390" w:type="pct"/>
            <w:vAlign w:val="center"/>
          </w:tcPr>
          <w:p w:rsidR="006175A6" w:rsidRDefault="009B4BA7">
            <w:pPr>
              <w:pStyle w:val="TableParagraph"/>
              <w:spacing w:before="52"/>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167.3</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3.3</w:t>
            </w:r>
            <w:r>
              <w:rPr>
                <w:rFonts w:ascii="Times New Roman" w:eastAsiaTheme="minorEastAsia" w:hAnsi="Times New Roman" w:cs="Times New Roman"/>
                <w:sz w:val="21"/>
                <w:szCs w:val="21"/>
              </w:rPr>
              <w:t>河流水面</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5.0</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5.0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3.4</w:t>
            </w:r>
            <w:r>
              <w:rPr>
                <w:rFonts w:ascii="Times New Roman" w:eastAsiaTheme="minorEastAsia" w:hAnsi="Times New Roman" w:cs="Times New Roman"/>
                <w:sz w:val="21"/>
                <w:szCs w:val="21"/>
              </w:rPr>
              <w:t>未利用地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3"/>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18.0</w:t>
            </w:r>
          </w:p>
        </w:tc>
        <w:tc>
          <w:tcPr>
            <w:tcW w:w="390" w:type="pct"/>
            <w:vAlign w:val="center"/>
          </w:tcPr>
          <w:p w:rsidR="006175A6" w:rsidRDefault="009B4BA7">
            <w:pPr>
              <w:pStyle w:val="TableParagraph"/>
              <w:spacing w:before="53"/>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18.0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r>
              <w:rPr>
                <w:rFonts w:ascii="Times New Roman" w:eastAsiaTheme="minorEastAsia" w:hAnsi="Times New Roman" w:cs="Times New Roman"/>
                <w:sz w:val="21"/>
                <w:szCs w:val="21"/>
              </w:rPr>
              <w:t>．料场</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4"/>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17.2</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4"/>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17.2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4.1</w:t>
            </w:r>
            <w:r>
              <w:rPr>
                <w:rFonts w:ascii="Times New Roman" w:eastAsiaTheme="minorEastAsia" w:hAnsi="Times New Roman" w:cs="Times New Roman"/>
                <w:sz w:val="21"/>
                <w:szCs w:val="21"/>
              </w:rPr>
              <w:t>灌木林地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2"/>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17.2</w:t>
            </w: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17.2</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r>
              <w:rPr>
                <w:rFonts w:ascii="Times New Roman" w:eastAsiaTheme="minorEastAsia" w:hAnsi="Times New Roman" w:cs="Times New Roman"/>
                <w:sz w:val="21"/>
                <w:szCs w:val="21"/>
              </w:rPr>
              <w:t>．弃渣场</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5"/>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38.0</w:t>
            </w:r>
          </w:p>
        </w:tc>
        <w:tc>
          <w:tcPr>
            <w:tcW w:w="586" w:type="pct"/>
            <w:vAlign w:val="center"/>
          </w:tcPr>
          <w:p w:rsidR="006175A6" w:rsidRDefault="009B4BA7">
            <w:pPr>
              <w:pStyle w:val="TableParagraph"/>
              <w:spacing w:before="55"/>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65.1</w:t>
            </w:r>
          </w:p>
        </w:tc>
        <w:tc>
          <w:tcPr>
            <w:tcW w:w="390" w:type="pct"/>
            <w:vAlign w:val="center"/>
          </w:tcPr>
          <w:p w:rsidR="006175A6" w:rsidRDefault="009B4BA7">
            <w:pPr>
              <w:pStyle w:val="TableParagraph"/>
              <w:spacing w:before="55"/>
              <w:ind w:left="99"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103.1</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5.1</w:t>
            </w:r>
            <w:r>
              <w:rPr>
                <w:rFonts w:ascii="Times New Roman" w:eastAsiaTheme="minorEastAsia" w:hAnsi="Times New Roman" w:cs="Times New Roman"/>
                <w:sz w:val="21"/>
                <w:szCs w:val="21"/>
              </w:rPr>
              <w:t>有林地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27.1</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27.1</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5.2</w:t>
            </w:r>
            <w:r>
              <w:rPr>
                <w:rFonts w:ascii="Times New Roman" w:eastAsiaTheme="minorEastAsia" w:hAnsi="Times New Roman" w:cs="Times New Roman"/>
                <w:sz w:val="21"/>
                <w:szCs w:val="21"/>
              </w:rPr>
              <w:t>灌木林地</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9B4BA7">
            <w:pPr>
              <w:pStyle w:val="TableParagraph"/>
              <w:spacing w:before="52"/>
              <w:ind w:left="97" w:right="68"/>
              <w:rPr>
                <w:rFonts w:ascii="Times New Roman" w:eastAsiaTheme="minorEastAsia" w:hAnsi="Times New Roman" w:cs="Times New Roman"/>
                <w:sz w:val="21"/>
                <w:szCs w:val="21"/>
              </w:rPr>
            </w:pPr>
            <w:r>
              <w:rPr>
                <w:rFonts w:ascii="Times New Roman" w:eastAsiaTheme="minorEastAsia" w:hAnsi="Times New Roman" w:cs="Times New Roman"/>
                <w:sz w:val="21"/>
                <w:szCs w:val="21"/>
              </w:rPr>
              <w:t>38.0</w:t>
            </w:r>
          </w:p>
        </w:tc>
        <w:tc>
          <w:tcPr>
            <w:tcW w:w="586" w:type="pct"/>
            <w:vAlign w:val="center"/>
          </w:tcPr>
          <w:p w:rsidR="006175A6" w:rsidRDefault="009B4BA7">
            <w:pPr>
              <w:pStyle w:val="TableParagraph"/>
              <w:spacing w:before="52"/>
              <w:ind w:left="96"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38.0</w:t>
            </w:r>
          </w:p>
        </w:tc>
        <w:tc>
          <w:tcPr>
            <w:tcW w:w="390" w:type="pct"/>
            <w:vAlign w:val="center"/>
          </w:tcPr>
          <w:p w:rsidR="006175A6" w:rsidRDefault="009B4BA7">
            <w:pPr>
              <w:pStyle w:val="TableParagraph"/>
              <w:spacing w:before="52"/>
              <w:ind w:left="98"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76.0</w:t>
            </w: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四、专业项目</w:t>
            </w:r>
          </w:p>
        </w:tc>
        <w:tc>
          <w:tcPr>
            <w:tcW w:w="530" w:type="pct"/>
            <w:vAlign w:val="center"/>
          </w:tcPr>
          <w:p w:rsidR="006175A6" w:rsidRDefault="006175A6">
            <w:pPr>
              <w:pStyle w:val="TableParagraph"/>
              <w:rPr>
                <w:rFonts w:ascii="Times New Roman" w:eastAsiaTheme="minorEastAsia" w:hAnsi="Times New Roman" w:cs="Times New Roman"/>
                <w:sz w:val="21"/>
                <w:szCs w:val="21"/>
              </w:rPr>
            </w:pP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6175A6">
            <w:pPr>
              <w:pStyle w:val="TableParagraph"/>
              <w:rPr>
                <w:rFonts w:ascii="Times New Roman" w:eastAsiaTheme="minorEastAsia" w:hAnsi="Times New Roman" w:cs="Times New Roman"/>
                <w:sz w:val="21"/>
                <w:szCs w:val="21"/>
              </w:rPr>
            </w:pPr>
          </w:p>
        </w:tc>
        <w:tc>
          <w:tcPr>
            <w:tcW w:w="1279"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．村级公路</w:t>
            </w:r>
          </w:p>
        </w:tc>
        <w:tc>
          <w:tcPr>
            <w:tcW w:w="530" w:type="pct"/>
            <w:vAlign w:val="center"/>
          </w:tcPr>
          <w:p w:rsidR="006175A6" w:rsidRDefault="009B4BA7">
            <w:pPr>
              <w:pStyle w:val="TableParagraph"/>
              <w:spacing w:before="52"/>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1279" w:type="pct"/>
            <w:vAlign w:val="center"/>
          </w:tcPr>
          <w:p w:rsidR="006175A6" w:rsidRDefault="009B4BA7">
            <w:pPr>
              <w:pStyle w:val="TableParagraph"/>
              <w:spacing w:before="42"/>
              <w:ind w:left="376" w:right="332"/>
              <w:rPr>
                <w:rFonts w:ascii="Times New Roman" w:eastAsiaTheme="minorEastAsia" w:hAnsi="Times New Roman" w:cs="Times New Roman"/>
                <w:sz w:val="21"/>
                <w:szCs w:val="21"/>
              </w:rPr>
            </w:pPr>
            <w:r>
              <w:rPr>
                <w:rFonts w:ascii="Times New Roman" w:eastAsiaTheme="minorEastAsia" w:hAnsi="Times New Roman" w:cs="Times New Roman"/>
                <w:sz w:val="21"/>
                <w:szCs w:val="21"/>
              </w:rPr>
              <w:t>占地</w:t>
            </w:r>
            <w:r>
              <w:rPr>
                <w:rFonts w:ascii="Times New Roman" w:eastAsiaTheme="minorEastAsia" w:hAnsi="Times New Roman" w:cs="Times New Roman"/>
                <w:sz w:val="21"/>
                <w:szCs w:val="21"/>
              </w:rPr>
              <w:t>23.2</w:t>
            </w:r>
            <w:r>
              <w:rPr>
                <w:rFonts w:ascii="Times New Roman" w:eastAsiaTheme="minorEastAsia" w:hAnsi="Times New Roman" w:cs="Times New Roman"/>
                <w:sz w:val="21"/>
                <w:szCs w:val="21"/>
              </w:rPr>
              <w:t>亩</w:t>
            </w: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．输电线路</w:t>
            </w:r>
          </w:p>
        </w:tc>
        <w:tc>
          <w:tcPr>
            <w:tcW w:w="530" w:type="pct"/>
            <w:vAlign w:val="center"/>
          </w:tcPr>
          <w:p w:rsidR="006175A6" w:rsidRDefault="009B4BA7">
            <w:pPr>
              <w:pStyle w:val="TableParagraph"/>
              <w:spacing w:before="52"/>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1279" w:type="pct"/>
            <w:vAlign w:val="center"/>
          </w:tcPr>
          <w:p w:rsidR="006175A6" w:rsidRDefault="009B4BA7">
            <w:pPr>
              <w:pStyle w:val="TableParagraph"/>
              <w:spacing w:before="52"/>
              <w:ind w:left="376" w:right="333"/>
              <w:rPr>
                <w:rFonts w:ascii="Times New Roman" w:eastAsiaTheme="minorEastAsia" w:hAnsi="Times New Roman" w:cs="Times New Roman"/>
                <w:sz w:val="21"/>
                <w:szCs w:val="21"/>
              </w:rPr>
            </w:pPr>
            <w:r>
              <w:rPr>
                <w:rFonts w:ascii="Times New Roman" w:eastAsiaTheme="minorEastAsia" w:hAnsi="Times New Roman" w:cs="Times New Roman"/>
                <w:sz w:val="21"/>
                <w:szCs w:val="21"/>
              </w:rPr>
              <w:t>10kv</w:t>
            </w:r>
          </w:p>
        </w:tc>
      </w:tr>
      <w:tr w:rsidR="006175A6">
        <w:trPr>
          <w:trHeight w:val="340"/>
          <w:jc w:val="center"/>
        </w:trPr>
        <w:tc>
          <w:tcPr>
            <w:tcW w:w="1282" w:type="pct"/>
            <w:vAlign w:val="center"/>
          </w:tcPr>
          <w:p w:rsidR="006175A6" w:rsidRDefault="009B4BA7">
            <w:pPr>
              <w:pStyle w:val="TableParagraph"/>
              <w:spacing w:before="42"/>
              <w:ind w:left="108"/>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．青龙口电站</w:t>
            </w:r>
          </w:p>
        </w:tc>
        <w:tc>
          <w:tcPr>
            <w:tcW w:w="530" w:type="pct"/>
            <w:vAlign w:val="center"/>
          </w:tcPr>
          <w:p w:rsidR="006175A6" w:rsidRDefault="009B4BA7">
            <w:pPr>
              <w:pStyle w:val="TableParagraph"/>
              <w:spacing w:before="52"/>
              <w:ind w:left="29"/>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933" w:type="pct"/>
            <w:vAlign w:val="center"/>
          </w:tcPr>
          <w:p w:rsidR="006175A6" w:rsidRDefault="006175A6">
            <w:pPr>
              <w:pStyle w:val="TableParagraph"/>
              <w:rPr>
                <w:rFonts w:ascii="Times New Roman" w:eastAsiaTheme="minorEastAsia" w:hAnsi="Times New Roman" w:cs="Times New Roman"/>
                <w:sz w:val="21"/>
                <w:szCs w:val="21"/>
              </w:rPr>
            </w:pPr>
          </w:p>
        </w:tc>
        <w:tc>
          <w:tcPr>
            <w:tcW w:w="586" w:type="pct"/>
            <w:vAlign w:val="center"/>
          </w:tcPr>
          <w:p w:rsidR="006175A6" w:rsidRDefault="006175A6">
            <w:pPr>
              <w:pStyle w:val="TableParagraph"/>
              <w:rPr>
                <w:rFonts w:ascii="Times New Roman" w:eastAsiaTheme="minorEastAsia" w:hAnsi="Times New Roman" w:cs="Times New Roman"/>
                <w:sz w:val="21"/>
                <w:szCs w:val="21"/>
              </w:rPr>
            </w:pPr>
          </w:p>
        </w:tc>
        <w:tc>
          <w:tcPr>
            <w:tcW w:w="390" w:type="pct"/>
            <w:vAlign w:val="center"/>
          </w:tcPr>
          <w:p w:rsidR="006175A6" w:rsidRDefault="009B4BA7">
            <w:pPr>
              <w:pStyle w:val="TableParagraph"/>
              <w:spacing w:before="52"/>
              <w:ind w:left="97" w:right="66"/>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1279" w:type="pct"/>
            <w:vAlign w:val="center"/>
          </w:tcPr>
          <w:p w:rsidR="006175A6" w:rsidRDefault="009B4BA7">
            <w:pPr>
              <w:pStyle w:val="TableParagraph"/>
              <w:spacing w:before="52"/>
              <w:ind w:left="376" w:right="333"/>
              <w:rPr>
                <w:rFonts w:ascii="Times New Roman" w:eastAsiaTheme="minorEastAsia" w:hAnsi="Times New Roman" w:cs="Times New Roman"/>
                <w:sz w:val="21"/>
                <w:szCs w:val="21"/>
              </w:rPr>
            </w:pPr>
            <w:r>
              <w:rPr>
                <w:rFonts w:ascii="Times New Roman" w:eastAsiaTheme="minorEastAsia" w:hAnsi="Times New Roman" w:cs="Times New Roman"/>
                <w:sz w:val="21"/>
                <w:szCs w:val="21"/>
              </w:rPr>
              <w:t>装机容</w:t>
            </w:r>
            <w:r>
              <w:rPr>
                <w:rFonts w:ascii="Times New Roman" w:eastAsiaTheme="minorEastAsia" w:hAnsi="Times New Roman" w:cs="Times New Roman"/>
                <w:sz w:val="21"/>
                <w:szCs w:val="21"/>
              </w:rPr>
              <w:t>225kw</w:t>
            </w:r>
          </w:p>
        </w:tc>
      </w:tr>
    </w:tbl>
    <w:p w:rsidR="006175A6" w:rsidRDefault="009B4BA7">
      <w:pPr>
        <w:pStyle w:val="3"/>
      </w:pPr>
      <w:r>
        <w:rPr>
          <w:rFonts w:hint="eastAsia"/>
        </w:rPr>
        <w:t>移民安置</w:t>
      </w:r>
    </w:p>
    <w:p w:rsidR="006175A6" w:rsidRDefault="009B4BA7">
      <w:pPr>
        <w:ind w:firstLine="480"/>
      </w:pPr>
      <w:r>
        <w:rPr>
          <w:rFonts w:hint="eastAsia"/>
        </w:rPr>
        <w:t>本工程移民生产安置总体方案为：种植业安置。通过调查分析并收集乡镇及被征地村民意愿，生产安置方式以调整耕地为主要措施，使移民生活水平达到征地前水平。根据本工程占地情况，到规划水平年需要进行生产安置的人口为</w:t>
      </w:r>
      <w:r>
        <w:rPr>
          <w:rFonts w:hint="eastAsia"/>
        </w:rPr>
        <w:t>3</w:t>
      </w:r>
      <w:r>
        <w:rPr>
          <w:rFonts w:hint="eastAsia"/>
        </w:rPr>
        <w:t>人，根据环境容量分析：（</w:t>
      </w:r>
      <w:r>
        <w:rPr>
          <w:rFonts w:hint="eastAsia"/>
        </w:rPr>
        <w:t>1</w:t>
      </w:r>
      <w:r>
        <w:rPr>
          <w:rFonts w:hint="eastAsia"/>
        </w:rPr>
        <w:t>）石柱村青龙口组生产安置人口</w:t>
      </w:r>
      <w:r>
        <w:rPr>
          <w:rFonts w:hint="eastAsia"/>
        </w:rPr>
        <w:t>1</w:t>
      </w:r>
      <w:r>
        <w:rPr>
          <w:rFonts w:hint="eastAsia"/>
        </w:rPr>
        <w:t>人，本组调地安置</w:t>
      </w:r>
      <w:r>
        <w:rPr>
          <w:rFonts w:hint="eastAsia"/>
        </w:rPr>
        <w:t>1</w:t>
      </w:r>
      <w:r>
        <w:rPr>
          <w:rFonts w:hint="eastAsia"/>
        </w:rPr>
        <w:t>人，调地计</w:t>
      </w:r>
      <w:r>
        <w:rPr>
          <w:rFonts w:hint="eastAsia"/>
        </w:rPr>
        <w:t>2.0</w:t>
      </w:r>
      <w:r>
        <w:rPr>
          <w:rFonts w:hint="eastAsia"/>
        </w:rPr>
        <w:t>亩。（</w:t>
      </w:r>
      <w:r>
        <w:rPr>
          <w:rFonts w:hint="eastAsia"/>
        </w:rPr>
        <w:t>2</w:t>
      </w:r>
      <w:r>
        <w:rPr>
          <w:rFonts w:hint="eastAsia"/>
        </w:rPr>
        <w:t>）石柱村郭家台组生产安置人口</w:t>
      </w:r>
      <w:r>
        <w:rPr>
          <w:rFonts w:hint="eastAsia"/>
        </w:rPr>
        <w:t>2</w:t>
      </w:r>
      <w:r>
        <w:rPr>
          <w:rFonts w:hint="eastAsia"/>
        </w:rPr>
        <w:t>人，本组调地安置</w:t>
      </w:r>
      <w:r>
        <w:rPr>
          <w:rFonts w:hint="eastAsia"/>
        </w:rPr>
        <w:t>2</w:t>
      </w:r>
      <w:r>
        <w:rPr>
          <w:rFonts w:hint="eastAsia"/>
        </w:rPr>
        <w:t>人，调地计</w:t>
      </w:r>
      <w:r>
        <w:rPr>
          <w:rFonts w:hint="eastAsia"/>
        </w:rPr>
        <w:t>4.2</w:t>
      </w:r>
      <w:r>
        <w:rPr>
          <w:rFonts w:hint="eastAsia"/>
        </w:rPr>
        <w:t>亩。</w:t>
      </w:r>
    </w:p>
    <w:p w:rsidR="006175A6" w:rsidRDefault="009B4BA7">
      <w:pPr>
        <w:ind w:firstLine="480"/>
      </w:pPr>
      <w:r>
        <w:rPr>
          <w:rFonts w:hint="eastAsia"/>
        </w:rPr>
        <w:t>本项目未涉及人口、房屋搬迁，同时根据移民安置规划方案，淹没区及工程建设区移民生产安置均为本组调地就近安置，无淹地不淹房需搬迁人口，因此无</w:t>
      </w:r>
      <w:r>
        <w:rPr>
          <w:rFonts w:hint="eastAsia"/>
        </w:rPr>
        <w:lastRenderedPageBreak/>
        <w:t>搬迁安置人口。</w:t>
      </w:r>
    </w:p>
    <w:p w:rsidR="006175A6" w:rsidRDefault="009B4BA7">
      <w:pPr>
        <w:pStyle w:val="2"/>
      </w:pPr>
      <w:bookmarkStart w:id="43" w:name="_Toc80170097"/>
      <w:r>
        <w:rPr>
          <w:rFonts w:hint="eastAsia"/>
        </w:rPr>
        <w:t>工程管理</w:t>
      </w:r>
      <w:bookmarkEnd w:id="43"/>
    </w:p>
    <w:p w:rsidR="006175A6" w:rsidRDefault="009B4BA7">
      <w:pPr>
        <w:ind w:firstLine="480"/>
      </w:pPr>
      <w:r>
        <w:rPr>
          <w:rFonts w:hint="eastAsia"/>
        </w:rPr>
        <w:t>本工程库容</w:t>
      </w:r>
      <w:r>
        <w:rPr>
          <w:rFonts w:hint="eastAsia"/>
        </w:rPr>
        <w:t>1075</w:t>
      </w:r>
      <w:r>
        <w:rPr>
          <w:rFonts w:hint="eastAsia"/>
        </w:rPr>
        <w:t>万</w:t>
      </w:r>
      <w:r>
        <w:rPr>
          <w:rFonts w:hint="eastAsia"/>
        </w:rPr>
        <w:t>m</w:t>
      </w:r>
      <w:r>
        <w:rPr>
          <w:rFonts w:hint="eastAsia"/>
        </w:rPr>
        <w:t>³，相应定员级别为</w:t>
      </w:r>
      <w:r>
        <w:rPr>
          <w:rFonts w:hint="eastAsia"/>
        </w:rPr>
        <w:t>4</w:t>
      </w:r>
      <w:r>
        <w:rPr>
          <w:rFonts w:hint="eastAsia"/>
        </w:rPr>
        <w:t>级，初步拟定两河口水库管理处人员编制</w:t>
      </w:r>
      <w:r>
        <w:rPr>
          <w:rFonts w:hint="eastAsia"/>
        </w:rPr>
        <w:t>22</w:t>
      </w:r>
      <w:r>
        <w:rPr>
          <w:rFonts w:hint="eastAsia"/>
        </w:rPr>
        <w:t>人。其中处长</w:t>
      </w:r>
      <w:r>
        <w:rPr>
          <w:rFonts w:hint="eastAsia"/>
        </w:rPr>
        <w:t>1</w:t>
      </w:r>
      <w:r>
        <w:rPr>
          <w:rFonts w:hint="eastAsia"/>
        </w:rPr>
        <w:t>人、副处长</w:t>
      </w:r>
      <w:r>
        <w:rPr>
          <w:rFonts w:hint="eastAsia"/>
        </w:rPr>
        <w:t>1</w:t>
      </w:r>
      <w:r>
        <w:rPr>
          <w:rFonts w:hint="eastAsia"/>
        </w:rPr>
        <w:t>人，财务供应、行政办公及人事等</w:t>
      </w:r>
      <w:r>
        <w:rPr>
          <w:rFonts w:hint="eastAsia"/>
        </w:rPr>
        <w:t>3</w:t>
      </w:r>
      <w:r>
        <w:rPr>
          <w:rFonts w:hint="eastAsia"/>
        </w:rPr>
        <w:t>人，工程管理</w:t>
      </w:r>
      <w:r>
        <w:rPr>
          <w:rFonts w:hint="eastAsia"/>
        </w:rPr>
        <w:t>7</w:t>
      </w:r>
      <w:r>
        <w:rPr>
          <w:rFonts w:hint="eastAsia"/>
        </w:rPr>
        <w:t>人，生产人员</w:t>
      </w:r>
      <w:r>
        <w:rPr>
          <w:rFonts w:hint="eastAsia"/>
        </w:rPr>
        <w:t>10</w:t>
      </w:r>
      <w:r>
        <w:rPr>
          <w:rFonts w:hint="eastAsia"/>
        </w:rPr>
        <w:t>人。</w:t>
      </w:r>
    </w:p>
    <w:p w:rsidR="006175A6" w:rsidRDefault="009B4BA7">
      <w:pPr>
        <w:pStyle w:val="2"/>
      </w:pPr>
      <w:bookmarkStart w:id="44" w:name="_Toc80170098"/>
      <w:r>
        <w:rPr>
          <w:rFonts w:hint="eastAsia"/>
        </w:rPr>
        <w:t>工程投资估算</w:t>
      </w:r>
      <w:bookmarkEnd w:id="44"/>
    </w:p>
    <w:p w:rsidR="006175A6" w:rsidRDefault="009B4BA7">
      <w:pPr>
        <w:ind w:firstLine="480"/>
      </w:pPr>
      <w:r>
        <w:rPr>
          <w:rFonts w:hint="eastAsia"/>
        </w:rPr>
        <w:t>本项目总投资为</w:t>
      </w:r>
      <w:r>
        <w:t>26882.03</w:t>
      </w:r>
      <w:r>
        <w:rPr>
          <w:rFonts w:hint="eastAsia"/>
        </w:rPr>
        <w:t>万元，其中环保投资总约为</w:t>
      </w:r>
      <w:r>
        <w:rPr>
          <w:rFonts w:hint="eastAsia"/>
        </w:rPr>
        <w:t>1082.54</w:t>
      </w:r>
      <w:r>
        <w:rPr>
          <w:rFonts w:hint="eastAsia"/>
        </w:rPr>
        <w:t>万元，占项目总投资</w:t>
      </w:r>
      <w:r>
        <w:rPr>
          <w:rFonts w:hint="eastAsia"/>
        </w:rPr>
        <w:t>4.03%</w:t>
      </w:r>
      <w:r>
        <w:rPr>
          <w:rFonts w:hint="eastAsia"/>
        </w:rPr>
        <w:t>。</w:t>
      </w:r>
    </w:p>
    <w:p w:rsidR="006175A6" w:rsidRDefault="009B4BA7">
      <w:pPr>
        <w:pStyle w:val="2"/>
      </w:pPr>
      <w:bookmarkStart w:id="45" w:name="_Toc80170099"/>
      <w:r>
        <w:rPr>
          <w:rFonts w:hint="eastAsia"/>
        </w:rPr>
        <w:t>项目的主要技术经济特征</w:t>
      </w:r>
      <w:bookmarkEnd w:id="45"/>
    </w:p>
    <w:p w:rsidR="006175A6" w:rsidRDefault="009B4BA7">
      <w:pPr>
        <w:ind w:firstLine="480"/>
      </w:pPr>
      <w:r>
        <w:rPr>
          <w:rFonts w:hint="eastAsia"/>
        </w:rPr>
        <w:t>本项目主要技术经济特征见</w:t>
      </w:r>
      <w:r>
        <w:fldChar w:fldCharType="begin"/>
      </w:r>
      <w:r>
        <w:instrText xml:space="preserve"> </w:instrText>
      </w:r>
      <w:r>
        <w:rPr>
          <w:rFonts w:hint="eastAsia"/>
        </w:rPr>
        <w:instrText>REF _Ref77235569 \h</w:instrText>
      </w:r>
      <w:r>
        <w:instrText xml:space="preserve"> </w:instrText>
      </w:r>
      <w:r>
        <w:fldChar w:fldCharType="separate"/>
      </w:r>
      <w:r w:rsidR="00E97427">
        <w:rPr>
          <w:rFonts w:hint="eastAsia"/>
        </w:rPr>
        <w:t>表</w:t>
      </w:r>
      <w:r w:rsidR="00E97427">
        <w:rPr>
          <w:noProof/>
        </w:rPr>
        <w:t>3.9</w:t>
      </w:r>
      <w:r w:rsidR="00E97427">
        <w:noBreakHyphen/>
      </w:r>
      <w:r w:rsidR="00E97427">
        <w:rPr>
          <w:noProof/>
        </w:rPr>
        <w:t>1</w:t>
      </w:r>
      <w:r>
        <w:fldChar w:fldCharType="end"/>
      </w:r>
      <w:r>
        <w:rPr>
          <w:rFonts w:hint="eastAsia"/>
        </w:rPr>
        <w:t>。</w:t>
      </w:r>
    </w:p>
    <w:p w:rsidR="006175A6" w:rsidRDefault="009B4BA7">
      <w:pPr>
        <w:pStyle w:val="a3"/>
      </w:pPr>
      <w:bookmarkStart w:id="46" w:name="_Ref77235569"/>
      <w:r>
        <w:rPr>
          <w:rFonts w:hint="eastAsia"/>
        </w:rPr>
        <w:t>表</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3.9</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46"/>
      <w:r>
        <w:rPr>
          <w:rFonts w:hint="eastAsia"/>
        </w:rPr>
        <w:t>工程主要技术经济特征表</w:t>
      </w:r>
    </w:p>
    <w:tbl>
      <w:tblPr>
        <w:tblW w:w="7830" w:type="dxa"/>
        <w:tblInd w:w="93" w:type="dxa"/>
        <w:tblLayout w:type="fixed"/>
        <w:tblLook w:val="04A0" w:firstRow="1" w:lastRow="0" w:firstColumn="1" w:lastColumn="0" w:noHBand="0" w:noVBand="1"/>
      </w:tblPr>
      <w:tblGrid>
        <w:gridCol w:w="3843"/>
        <w:gridCol w:w="958"/>
        <w:gridCol w:w="1032"/>
        <w:gridCol w:w="136"/>
        <w:gridCol w:w="1861"/>
      </w:tblGrid>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名称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单位</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数量</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备注</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一、水文</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流域面积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全流域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km²</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833</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工程坝址</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km²</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85</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利用的水文系列年限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年</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多年平均年径流量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4920</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代表性流量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多年平均流量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1.5</w:t>
            </w:r>
            <w:r>
              <w:rPr>
                <w:rFonts w:hint="eastAsia"/>
                <w:color w:val="000000"/>
                <w:kern w:val="0"/>
                <w:sz w:val="21"/>
              </w:rPr>
              <w:t>6</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正常运用（设计）洪水标准及流量（P=2％）</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816</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非常运用（校核）洪水标准及流量（P=0.2％）</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1386</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施工导流标准及流量（</w:t>
            </w:r>
            <w:r>
              <w:rPr>
                <w:color w:val="000000"/>
                <w:kern w:val="0"/>
                <w:sz w:val="21"/>
              </w:rPr>
              <w:t>P=20</w:t>
            </w:r>
            <w:r>
              <w:rPr>
                <w:rFonts w:ascii="宋体" w:hAnsi="宋体" w:cs="宋体"/>
                <w:color w:val="000000"/>
                <w:kern w:val="0"/>
                <w:sz w:val="21"/>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30</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5.</w:t>
            </w:r>
            <w:r>
              <w:rPr>
                <w:rFonts w:ascii="宋体" w:hAnsi="宋体"/>
                <w:color w:val="000000"/>
                <w:kern w:val="0"/>
                <w:sz w:val="21"/>
              </w:rPr>
              <w:t>洪量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设计洪水洪量（</w:t>
            </w:r>
            <w:r>
              <w:rPr>
                <w:color w:val="000000"/>
                <w:kern w:val="0"/>
                <w:sz w:val="21"/>
              </w:rPr>
              <w:t>1</w:t>
            </w:r>
            <w:r>
              <w:rPr>
                <w:rFonts w:ascii="宋体" w:hAnsi="宋体" w:cs="宋体"/>
                <w:color w:val="000000"/>
                <w:kern w:val="0"/>
                <w:sz w:val="21"/>
              </w:rPr>
              <w:t>天）</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1528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校核洪水洪量（</w:t>
            </w:r>
            <w:r>
              <w:rPr>
                <w:color w:val="000000"/>
                <w:kern w:val="0"/>
                <w:sz w:val="21"/>
              </w:rPr>
              <w:t>1</w:t>
            </w:r>
            <w:r>
              <w:rPr>
                <w:rFonts w:ascii="宋体" w:hAnsi="宋体" w:cs="宋体"/>
                <w:color w:val="000000"/>
                <w:kern w:val="0"/>
                <w:sz w:val="21"/>
              </w:rPr>
              <w:t>天）</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2245</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6.</w:t>
            </w:r>
            <w:r>
              <w:rPr>
                <w:rFonts w:ascii="宋体" w:hAnsi="宋体"/>
                <w:color w:val="000000"/>
                <w:kern w:val="0"/>
                <w:sz w:val="21"/>
              </w:rPr>
              <w:t>泥沙</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多年平均悬移质年输沙量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t</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1.75</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多年平均推移质年输沙量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t</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0.28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二、水库</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lastRenderedPageBreak/>
              <w:t>1.</w:t>
            </w:r>
            <w:r>
              <w:rPr>
                <w:rFonts w:ascii="宋体" w:hAnsi="宋体"/>
                <w:color w:val="000000"/>
                <w:kern w:val="0"/>
                <w:sz w:val="21"/>
              </w:rPr>
              <w:t>水库水位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校核洪水位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1060</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设计洪水位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1058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正常蓄水位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1058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死水位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1013</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正常蓄水位时水库面积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km²</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0.39</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回水长度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水库容积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总库容（校核洪水位以下库容）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1075</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正常蓄水位以下库容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1001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调节库容</w:t>
            </w:r>
            <w:r w:rsidR="00E97427">
              <w:rPr>
                <w:color w:val="000000"/>
                <w:kern w:val="0"/>
                <w:sz w:val="21"/>
              </w:rPr>
              <w:t>（</w:t>
            </w:r>
            <w:r>
              <w:rPr>
                <w:rFonts w:ascii="宋体" w:hAnsi="宋体" w:cs="宋体"/>
                <w:color w:val="000000"/>
                <w:kern w:val="0"/>
                <w:sz w:val="21"/>
              </w:rPr>
              <w:t>正常蓄水位至死水位</w:t>
            </w:r>
            <w:r w:rsidR="00E97427">
              <w:rPr>
                <w:color w:val="000000"/>
                <w:kern w:val="0"/>
                <w:sz w:val="21"/>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910</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死库容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5.</w:t>
            </w:r>
            <w:r>
              <w:rPr>
                <w:rFonts w:ascii="宋体" w:hAnsi="宋体"/>
                <w:color w:val="000000"/>
                <w:kern w:val="0"/>
                <w:sz w:val="21"/>
              </w:rPr>
              <w:t>库容系数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18.4</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6.</w:t>
            </w:r>
            <w:r>
              <w:rPr>
                <w:rFonts w:ascii="宋体" w:hAnsi="宋体"/>
                <w:color w:val="000000"/>
                <w:kern w:val="0"/>
                <w:sz w:val="21"/>
              </w:rPr>
              <w:t>调节特性</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不完全年调节</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7.</w:t>
            </w:r>
            <w:r>
              <w:rPr>
                <w:rFonts w:ascii="宋体" w:hAnsi="宋体"/>
                <w:color w:val="000000"/>
                <w:kern w:val="0"/>
                <w:sz w:val="21"/>
              </w:rPr>
              <w:t>水量利用系数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45.3</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三、下泄流量及相应下游水位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设计洪水位时最大泄量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816</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相应下游水位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991.04</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校核洪水位时最大泄量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1177</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相应下游水位</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992.09</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四、工程效益指标（规划）</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灌溉效益（</w:t>
            </w:r>
            <w:r>
              <w:rPr>
                <w:color w:val="000000"/>
                <w:kern w:val="0"/>
                <w:sz w:val="21"/>
              </w:rPr>
              <w:t>P=75</w:t>
            </w:r>
            <w:r>
              <w:rPr>
                <w:rFonts w:ascii="宋体" w:hAnsi="宋体"/>
                <w:color w:val="000000"/>
                <w:kern w:val="0"/>
                <w:sz w:val="21"/>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灌溉面积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万亩</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2.8</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年灌水总量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1346</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村镇综合供水及工业供水效益（P=95％）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总产值</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亿元</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25.2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总人口</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万人</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年供水总量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821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、年供水总量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2167</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、设计最大引用流量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五、建设征地与移民安置</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淹没耕地（</w:t>
            </w:r>
            <w:r>
              <w:rPr>
                <w:color w:val="000000"/>
                <w:kern w:val="0"/>
                <w:sz w:val="21"/>
              </w:rPr>
              <w:t>P=5</w:t>
            </w:r>
            <w:r>
              <w:rPr>
                <w:rFonts w:ascii="宋体" w:hAnsi="宋体"/>
                <w:color w:val="000000"/>
                <w:kern w:val="0"/>
                <w:sz w:val="21"/>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亩</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6.2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迁移人口（</w:t>
            </w:r>
            <w:r>
              <w:rPr>
                <w:color w:val="000000"/>
                <w:kern w:val="0"/>
                <w:sz w:val="21"/>
              </w:rPr>
              <w:t>P=5</w:t>
            </w:r>
            <w:r>
              <w:rPr>
                <w:rFonts w:ascii="宋体" w:hAnsi="宋体"/>
                <w:color w:val="000000"/>
                <w:kern w:val="0"/>
                <w:sz w:val="21"/>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人</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w:t>
            </w:r>
          </w:p>
        </w:tc>
        <w:tc>
          <w:tcPr>
            <w:tcW w:w="1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淹没区房屋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淹没区工矿企业</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225kw</w:t>
            </w:r>
            <w:r>
              <w:rPr>
                <w:rFonts w:ascii="宋体" w:hAnsi="宋体"/>
                <w:color w:val="000000"/>
                <w:kern w:val="0"/>
                <w:sz w:val="21"/>
              </w:rPr>
              <w:t>电站一座</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5.</w:t>
            </w:r>
            <w:r>
              <w:rPr>
                <w:rFonts w:ascii="宋体" w:hAnsi="宋体"/>
                <w:color w:val="000000"/>
                <w:kern w:val="0"/>
                <w:sz w:val="21"/>
              </w:rPr>
              <w:t>淹没区电信线及输电线长度和改线长度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6</w:t>
            </w:r>
            <w:r>
              <w:rPr>
                <w:rFonts w:ascii="宋体" w:hAnsi="宋体"/>
                <w:color w:val="000000"/>
                <w:kern w:val="0"/>
                <w:sz w:val="21"/>
              </w:rPr>
              <w:t>、淹没村级公路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7.</w:t>
            </w:r>
            <w:r>
              <w:rPr>
                <w:rFonts w:ascii="宋体" w:hAnsi="宋体"/>
                <w:color w:val="000000"/>
                <w:kern w:val="0"/>
                <w:sz w:val="21"/>
              </w:rPr>
              <w:t>工程永久占地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亩</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544.2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lastRenderedPageBreak/>
              <w:t>其中：水库淹没区</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亩</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494.5</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临时占地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亩</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352</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六、主要建筑物及设备</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挡水建筑物型式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碾压混凝土拱坝</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地基特性</w:t>
            </w:r>
          </w:p>
        </w:tc>
        <w:tc>
          <w:tcPr>
            <w:tcW w:w="39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出露地层为震旦系上统灯影组白马沱</w:t>
            </w:r>
            <w:r>
              <w:rPr>
                <w:rFonts w:ascii="宋体" w:hAnsi="宋体" w:cs="宋体"/>
                <w:color w:val="000000"/>
                <w:kern w:val="0"/>
                <w:sz w:val="21"/>
              </w:rPr>
              <w:t>（</w:t>
            </w:r>
            <w:r>
              <w:rPr>
                <w:color w:val="000000"/>
                <w:kern w:val="0"/>
                <w:sz w:val="21"/>
              </w:rPr>
              <w:t>Z</w:t>
            </w:r>
            <w:r>
              <w:rPr>
                <w:color w:val="000000"/>
                <w:kern w:val="0"/>
                <w:sz w:val="21"/>
                <w:vertAlign w:val="subscript"/>
              </w:rPr>
              <w:t>2</w:t>
            </w:r>
            <w:r>
              <w:rPr>
                <w:color w:val="000000"/>
                <w:kern w:val="0"/>
                <w:sz w:val="21"/>
              </w:rPr>
              <w:t>dn</w:t>
            </w:r>
            <w:r>
              <w:rPr>
                <w:color w:val="000000"/>
                <w:kern w:val="0"/>
                <w:sz w:val="21"/>
                <w:vertAlign w:val="superscript"/>
              </w:rPr>
              <w:t>3-1</w:t>
            </w:r>
            <w:r>
              <w:rPr>
                <w:rFonts w:ascii="宋体" w:hAnsi="宋体" w:cs="宋体"/>
                <w:color w:val="000000"/>
                <w:kern w:val="0"/>
                <w:sz w:val="21"/>
              </w:rPr>
              <w:t>）白云岩。</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地震基本烈度／设防烈度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Ⅵ度</w:t>
            </w:r>
            <w:r>
              <w:rPr>
                <w:color w:val="000000"/>
                <w:kern w:val="0"/>
                <w:sz w:val="21"/>
              </w:rPr>
              <w:t>/</w:t>
            </w:r>
            <w:r>
              <w:rPr>
                <w:rFonts w:ascii="宋体" w:hAnsi="宋体" w:cs="宋体"/>
                <w:color w:val="000000"/>
                <w:kern w:val="0"/>
                <w:sz w:val="21"/>
              </w:rPr>
              <w:t>Ⅵ度</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顶部高程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1061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最大坝高</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86</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顶部长度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189.4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泄水建筑物型式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表孔有闸控制泄流</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地基特性</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同大坝</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堰顶高程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1050.5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溢流段长度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单宽流量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58.8</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消能方式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挑流消能</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闸门型式、尺寸、数量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扇</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宽</w:t>
            </w:r>
            <w:r>
              <w:rPr>
                <w:color w:val="000000"/>
                <w:kern w:val="0"/>
                <w:sz w:val="21"/>
              </w:rPr>
              <w:t>×</w:t>
            </w:r>
            <w:r>
              <w:rPr>
                <w:rFonts w:ascii="宋体" w:hAnsi="宋体" w:cs="宋体"/>
                <w:color w:val="000000"/>
                <w:kern w:val="0"/>
                <w:sz w:val="21"/>
              </w:rPr>
              <w:t>高</w:t>
            </w:r>
            <w:r>
              <w:rPr>
                <w:color w:val="000000"/>
                <w:kern w:val="0"/>
                <w:sz w:val="21"/>
              </w:rPr>
              <w:t>=10×8-7.5</w:t>
            </w:r>
            <w:r>
              <w:rPr>
                <w:rFonts w:ascii="宋体" w:hAnsi="宋体" w:cs="宋体"/>
                <w:color w:val="000000"/>
                <w:kern w:val="0"/>
                <w:sz w:val="21"/>
              </w:rPr>
              <w:t>弧形闸门</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启闭机型式、容量、数量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台</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QHLY-2×630kN-4.7</w:t>
            </w:r>
            <w:r>
              <w:rPr>
                <w:rFonts w:ascii="宋体" w:hAnsi="宋体"/>
                <w:color w:val="000000"/>
                <w:kern w:val="0"/>
                <w:sz w:val="21"/>
              </w:rPr>
              <w:t>露顶式弧形门液压启闭机</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设计泄洪流量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816</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校核泄洪流量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1177</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取水建筑物</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设计最大引用流量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进水口型式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岸坡塔式进水口</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地基特性</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同大坝</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底槛高程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1011.4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闸门型式、尺寸及数量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个</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φ1000mm</w:t>
            </w:r>
            <w:r>
              <w:rPr>
                <w:rFonts w:ascii="宋体" w:hAnsi="宋体"/>
                <w:color w:val="000000"/>
                <w:kern w:val="0"/>
                <w:sz w:val="21"/>
              </w:rPr>
              <w:t>手电两用旋球阀。</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流量调节阀</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个</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φ1.0m</w:t>
            </w:r>
            <w:r>
              <w:rPr>
                <w:rFonts w:ascii="宋体" w:hAnsi="宋体"/>
                <w:color w:val="000000"/>
                <w:kern w:val="0"/>
                <w:sz w:val="21"/>
              </w:rPr>
              <w:t>活塞式调节阀</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输水建筑物</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设计最大流量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输水道型式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城门洞型无压输水隧洞和矩形无压输水箱涵</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地基特性</w:t>
            </w:r>
          </w:p>
        </w:tc>
        <w:tc>
          <w:tcPr>
            <w:tcW w:w="39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pStyle w:val="TableParagraph"/>
              <w:spacing w:before="1"/>
              <w:ind w:left="117" w:right="75"/>
              <w:rPr>
                <w:rFonts w:ascii="Times New Roman" w:eastAsiaTheme="minorEastAsia" w:hAnsi="Times New Roman" w:cs="Times New Roman"/>
                <w:sz w:val="21"/>
                <w:szCs w:val="21"/>
                <w:lang w:eastAsia="zh-CN"/>
              </w:rPr>
            </w:pPr>
            <w:r>
              <w:rPr>
                <w:rFonts w:ascii="Times New Roman" w:eastAsiaTheme="minorEastAsia" w:hAnsi="Times New Roman" w:cs="Times New Roman"/>
                <w:spacing w:val="-8"/>
                <w:sz w:val="21"/>
                <w:szCs w:val="21"/>
                <w:lang w:eastAsia="zh-CN"/>
              </w:rPr>
              <w:t>由进口至出口依次出露的地层为：震旦系上统灯影组白</w:t>
            </w:r>
            <w:r>
              <w:rPr>
                <w:rFonts w:ascii="Times New Roman" w:eastAsiaTheme="minorEastAsia" w:hAnsi="Times New Roman" w:cs="Times New Roman"/>
                <w:spacing w:val="-5"/>
                <w:sz w:val="21"/>
                <w:szCs w:val="21"/>
                <w:lang w:eastAsia="zh-CN"/>
              </w:rPr>
              <w:t>马沱</w:t>
            </w:r>
            <w:r>
              <w:rPr>
                <w:rFonts w:ascii="Times New Roman" w:eastAsiaTheme="minorEastAsia" w:hAnsi="Times New Roman" w:cs="Times New Roman"/>
                <w:sz w:val="21"/>
                <w:szCs w:val="21"/>
                <w:lang w:eastAsia="zh-CN"/>
              </w:rPr>
              <w:t>（</w:t>
            </w:r>
            <w:r>
              <w:rPr>
                <w:rFonts w:ascii="Times New Roman" w:eastAsiaTheme="minorEastAsia" w:hAnsi="Times New Roman" w:cs="Times New Roman"/>
                <w:sz w:val="21"/>
                <w:szCs w:val="21"/>
                <w:lang w:eastAsia="zh-CN"/>
              </w:rPr>
              <w:t>Z</w:t>
            </w:r>
            <w:r>
              <w:rPr>
                <w:rFonts w:ascii="Times New Roman" w:eastAsiaTheme="minorEastAsia" w:hAnsi="Times New Roman" w:cs="Times New Roman"/>
                <w:sz w:val="21"/>
                <w:szCs w:val="21"/>
                <w:vertAlign w:val="subscript"/>
                <w:lang w:eastAsia="zh-CN"/>
              </w:rPr>
              <w:t>2</w:t>
            </w:r>
            <w:r>
              <w:rPr>
                <w:rFonts w:ascii="Times New Roman" w:eastAsiaTheme="minorEastAsia" w:hAnsi="Times New Roman" w:cs="Times New Roman"/>
                <w:sz w:val="21"/>
                <w:szCs w:val="21"/>
                <w:lang w:eastAsia="zh-CN"/>
              </w:rPr>
              <w:t>dn</w:t>
            </w:r>
            <w:r>
              <w:rPr>
                <w:rFonts w:ascii="Times New Roman" w:eastAsiaTheme="minorEastAsia" w:hAnsi="Times New Roman" w:cs="Times New Roman"/>
                <w:sz w:val="21"/>
                <w:szCs w:val="21"/>
                <w:vertAlign w:val="superscript"/>
                <w:lang w:eastAsia="zh-CN"/>
              </w:rPr>
              <w:t>3-1</w:t>
            </w:r>
            <w:r>
              <w:rPr>
                <w:rFonts w:ascii="Times New Roman" w:eastAsiaTheme="minorEastAsia" w:hAnsi="Times New Roman" w:cs="Times New Roman"/>
                <w:sz w:val="21"/>
                <w:szCs w:val="21"/>
                <w:lang w:eastAsia="zh-CN"/>
              </w:rPr>
              <w:t>）</w:t>
            </w:r>
            <w:r>
              <w:rPr>
                <w:rFonts w:ascii="Times New Roman" w:eastAsiaTheme="minorEastAsia" w:hAnsi="Times New Roman" w:cs="Times New Roman"/>
                <w:spacing w:val="-7"/>
                <w:sz w:val="21"/>
                <w:szCs w:val="21"/>
                <w:lang w:eastAsia="zh-CN"/>
              </w:rPr>
              <w:t>白云岩、页岩、硅质白云质、结晶白云质，寒武系下统（</w:t>
            </w:r>
            <w:r>
              <w:rPr>
                <w:rFonts w:hint="eastAsia"/>
                <w:spacing w:val="-7"/>
                <w:sz w:val="21"/>
                <w:szCs w:val="21"/>
                <w:lang w:eastAsia="zh-CN"/>
              </w:rPr>
              <w:t>∈</w:t>
            </w:r>
            <w:r>
              <w:rPr>
                <w:rFonts w:ascii="Times New Roman" w:eastAsiaTheme="minorEastAsia" w:hAnsi="Times New Roman" w:cs="Times New Roman"/>
                <w:spacing w:val="-7"/>
                <w:sz w:val="21"/>
                <w:szCs w:val="21"/>
                <w:vertAlign w:val="subscript"/>
                <w:lang w:eastAsia="zh-CN"/>
              </w:rPr>
              <w:t>1</w:t>
            </w:r>
            <w:r>
              <w:rPr>
                <w:rFonts w:ascii="Times New Roman" w:eastAsiaTheme="minorEastAsia" w:hAnsi="Times New Roman" w:cs="Times New Roman"/>
                <w:spacing w:val="-7"/>
                <w:sz w:val="21"/>
                <w:szCs w:val="21"/>
                <w:lang w:eastAsia="zh-CN"/>
              </w:rPr>
              <w:t>）砂质页岩夹灰岩，灰岩、白云质</w:t>
            </w:r>
            <w:r>
              <w:rPr>
                <w:rFonts w:ascii="Times New Roman" w:eastAsiaTheme="minorEastAsia" w:hAnsi="Times New Roman" w:cs="Times New Roman"/>
                <w:spacing w:val="-7"/>
                <w:sz w:val="21"/>
                <w:szCs w:val="21"/>
                <w:lang w:eastAsia="zh-CN"/>
              </w:rPr>
              <w:lastRenderedPageBreak/>
              <w:t>灰岩及灰岩夹鲕状古杯灰岩，寒武系中统（</w:t>
            </w:r>
            <w:r>
              <w:rPr>
                <w:rFonts w:hint="eastAsia"/>
                <w:spacing w:val="-7"/>
                <w:sz w:val="21"/>
                <w:szCs w:val="21"/>
                <w:lang w:eastAsia="zh-CN"/>
              </w:rPr>
              <w:t>∈</w:t>
            </w:r>
            <w:r>
              <w:rPr>
                <w:rFonts w:ascii="Times New Roman" w:eastAsiaTheme="minorEastAsia" w:hAnsi="Times New Roman" w:cs="Times New Roman"/>
                <w:spacing w:val="-7"/>
                <w:sz w:val="21"/>
                <w:szCs w:val="21"/>
                <w:vertAlign w:val="subscript"/>
                <w:lang w:eastAsia="zh-CN"/>
              </w:rPr>
              <w:t>2</w:t>
            </w:r>
            <w:r>
              <w:rPr>
                <w:rFonts w:ascii="Times New Roman" w:eastAsiaTheme="minorEastAsia" w:hAnsi="Times New Roman" w:cs="Times New Roman"/>
                <w:spacing w:val="-7"/>
                <w:sz w:val="21"/>
                <w:szCs w:val="21"/>
                <w:lang w:eastAsia="zh-CN"/>
              </w:rPr>
              <w:t>）</w:t>
            </w:r>
            <w:r>
              <w:rPr>
                <w:rFonts w:ascii="Times New Roman" w:eastAsiaTheme="minorEastAsia" w:hAnsi="Times New Roman" w:cs="Times New Roman"/>
                <w:spacing w:val="-12"/>
                <w:sz w:val="21"/>
                <w:szCs w:val="21"/>
                <w:lang w:eastAsia="zh-CN"/>
              </w:rPr>
              <w:t>中统覃家庙群：灰岩、白云岩夹页岩，寒武系上统</w:t>
            </w:r>
            <w:r>
              <w:rPr>
                <w:rFonts w:ascii="Times New Roman" w:eastAsiaTheme="minorEastAsia" w:hAnsi="Times New Roman" w:cs="Times New Roman"/>
                <w:spacing w:val="-8"/>
                <w:sz w:val="21"/>
                <w:szCs w:val="21"/>
                <w:lang w:eastAsia="zh-CN"/>
              </w:rPr>
              <w:t>（</w:t>
            </w:r>
            <w:r>
              <w:rPr>
                <w:rFonts w:hint="eastAsia"/>
                <w:spacing w:val="-8"/>
                <w:sz w:val="21"/>
                <w:szCs w:val="21"/>
                <w:lang w:eastAsia="zh-CN"/>
              </w:rPr>
              <w:t>∈</w:t>
            </w:r>
            <w:r>
              <w:rPr>
                <w:rFonts w:ascii="Times New Roman" w:eastAsiaTheme="minorEastAsia" w:hAnsi="Times New Roman" w:cs="Times New Roman"/>
                <w:spacing w:val="-1"/>
                <w:position w:val="-2"/>
                <w:sz w:val="21"/>
                <w:szCs w:val="21"/>
                <w:lang w:eastAsia="zh-CN"/>
              </w:rPr>
              <w:t>3</w:t>
            </w:r>
            <w:r>
              <w:rPr>
                <w:rFonts w:ascii="Times New Roman" w:eastAsiaTheme="minorEastAsia" w:hAnsi="Times New Roman" w:cs="Times New Roman"/>
                <w:spacing w:val="-1"/>
                <w:sz w:val="21"/>
                <w:szCs w:val="21"/>
                <w:lang w:eastAsia="zh-CN"/>
              </w:rPr>
              <w:t>）：</w:t>
            </w:r>
            <w:r>
              <w:rPr>
                <w:rFonts w:ascii="Times New Roman" w:eastAsiaTheme="minorEastAsia" w:hAnsi="Times New Roman" w:cs="Times New Roman"/>
                <w:sz w:val="21"/>
                <w:szCs w:val="21"/>
                <w:lang w:eastAsia="zh-CN"/>
              </w:rPr>
              <w:t>上统三游洞群：灰岩、白云质灰岩、白云岩，奥陶系下统</w:t>
            </w:r>
            <w:r>
              <w:rPr>
                <w:rFonts w:ascii="Times New Roman" w:eastAsiaTheme="minorEastAsia" w:hAnsi="Times New Roman" w:cs="Times New Roman"/>
                <w:sz w:val="21"/>
                <w:szCs w:val="21"/>
                <w:lang w:eastAsia="zh-CN"/>
              </w:rPr>
              <w:t>O</w:t>
            </w:r>
            <w:r>
              <w:rPr>
                <w:rFonts w:ascii="Times New Roman" w:eastAsiaTheme="minorEastAsia" w:hAnsi="Times New Roman" w:cs="Times New Roman"/>
                <w:sz w:val="21"/>
                <w:szCs w:val="21"/>
                <w:vertAlign w:val="subscript"/>
                <w:lang w:eastAsia="zh-CN"/>
              </w:rPr>
              <w:t>1</w:t>
            </w:r>
            <w:r>
              <w:rPr>
                <w:rFonts w:ascii="Times New Roman" w:eastAsiaTheme="minorEastAsia" w:hAnsi="Times New Roman" w:cs="Times New Roman"/>
                <w:sz w:val="21"/>
                <w:szCs w:val="21"/>
                <w:lang w:eastAsia="zh-CN"/>
              </w:rPr>
              <w:t>厚层灰岩</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lastRenderedPageBreak/>
              <w:t>长度</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23.7</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七、施工</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主体工程数量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明挖土方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2.93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明挖石方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19.52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洞挖石方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17.4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石方回填</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1.18</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浆砌石方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常态混凝土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5.65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碾压混凝土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14.34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钢筋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2375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钢材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181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帷幕灌浆</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4427</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固结灌浆</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2515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接缝、接触、回填灌浆</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m²</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11669</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主要建筑材料</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板枋材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172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水泥</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2.55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钢筋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2375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含锚杆</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钢材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181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碎石</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23.42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砂</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w:t>
            </w:r>
            <w:r>
              <w:rPr>
                <w:color w:val="000000"/>
                <w:kern w:val="0"/>
                <w:sz w:val="21"/>
              </w:rPr>
              <w:t>m³</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13.92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炸药</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412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所需劳动力</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总工日</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万工日</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52.14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高峰工人数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人</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300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4.</w:t>
            </w:r>
            <w:r>
              <w:rPr>
                <w:rFonts w:ascii="宋体" w:hAnsi="宋体"/>
                <w:color w:val="000000"/>
                <w:kern w:val="0"/>
                <w:sz w:val="21"/>
              </w:rPr>
              <w:t>施工临时房屋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m²</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5675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5.</w:t>
            </w:r>
            <w:r>
              <w:rPr>
                <w:rFonts w:ascii="宋体" w:hAnsi="宋体"/>
                <w:color w:val="000000"/>
                <w:kern w:val="0"/>
                <w:sz w:val="21"/>
              </w:rPr>
              <w:t>施工动力及来源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供电</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kW</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1925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电网供电及柴油发电机供电</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6.</w:t>
            </w:r>
            <w:r>
              <w:rPr>
                <w:rFonts w:ascii="宋体" w:hAnsi="宋体"/>
                <w:color w:val="000000"/>
                <w:kern w:val="0"/>
                <w:sz w:val="21"/>
              </w:rPr>
              <w:t>对外交通</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公路距离</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km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150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从宜昌计算</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7.</w:t>
            </w:r>
            <w:r>
              <w:rPr>
                <w:rFonts w:ascii="宋体" w:hAnsi="宋体"/>
                <w:color w:val="000000"/>
                <w:kern w:val="0"/>
                <w:sz w:val="21"/>
              </w:rPr>
              <w:t>施工导流</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初期导流流量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w:t>
            </w:r>
            <w:r>
              <w:rPr>
                <w:rFonts w:ascii="宋体" w:hAnsi="宋体"/>
                <w:color w:val="000000"/>
                <w:kern w:val="0"/>
                <w:sz w:val="21"/>
              </w:rPr>
              <w:t>年一遇，</w:t>
            </w:r>
            <w:r>
              <w:rPr>
                <w:color w:val="000000"/>
                <w:kern w:val="0"/>
                <w:sz w:val="21"/>
              </w:rPr>
              <w:t>11</w:t>
            </w:r>
            <w:r>
              <w:rPr>
                <w:rFonts w:ascii="宋体" w:hAnsi="宋体"/>
                <w:color w:val="000000"/>
                <w:kern w:val="0"/>
                <w:sz w:val="21"/>
              </w:rPr>
              <w:t>月</w:t>
            </w:r>
            <w:r>
              <w:rPr>
                <w:color w:val="000000"/>
                <w:kern w:val="0"/>
                <w:sz w:val="21"/>
              </w:rPr>
              <w:t>~</w:t>
            </w:r>
            <w:r>
              <w:rPr>
                <w:rFonts w:ascii="宋体" w:hAnsi="宋体"/>
                <w:color w:val="000000"/>
                <w:kern w:val="0"/>
                <w:sz w:val="21"/>
              </w:rPr>
              <w:t>次年</w:t>
            </w:r>
            <w:r>
              <w:rPr>
                <w:color w:val="000000"/>
                <w:kern w:val="0"/>
                <w:sz w:val="21"/>
              </w:rPr>
              <w:t>3</w:t>
            </w:r>
            <w:r>
              <w:rPr>
                <w:rFonts w:ascii="宋体" w:hAnsi="宋体"/>
                <w:color w:val="000000"/>
                <w:kern w:val="0"/>
                <w:sz w:val="21"/>
              </w:rPr>
              <w:t>月</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lastRenderedPageBreak/>
              <w:t>度汛洪水流量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m³/s</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487</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w:t>
            </w:r>
            <w:r>
              <w:rPr>
                <w:rFonts w:ascii="宋体" w:hAnsi="宋体"/>
                <w:color w:val="000000"/>
                <w:kern w:val="0"/>
                <w:sz w:val="21"/>
              </w:rPr>
              <w:t>年一遇，全年</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导流方式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全断面截留、导流洞导流</w:t>
            </w: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8.</w:t>
            </w:r>
            <w:r>
              <w:rPr>
                <w:rFonts w:ascii="宋体" w:hAnsi="宋体"/>
                <w:color w:val="000000"/>
                <w:kern w:val="0"/>
                <w:sz w:val="21"/>
              </w:rPr>
              <w:t>施工占地</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亩</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352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9.</w:t>
            </w:r>
            <w:r>
              <w:rPr>
                <w:rFonts w:ascii="宋体" w:hAnsi="宋体"/>
                <w:color w:val="000000"/>
                <w:kern w:val="0"/>
                <w:sz w:val="21"/>
              </w:rPr>
              <w:t>施工期限</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准备工程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月</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投产工期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月</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完建期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月</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总工期</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月</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28</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b/>
                <w:color w:val="000000"/>
                <w:kern w:val="0"/>
                <w:sz w:val="21"/>
              </w:rPr>
            </w:pPr>
            <w:r>
              <w:rPr>
                <w:rFonts w:ascii="宋体" w:hAnsi="宋体" w:cs="宋体" w:hint="eastAsia"/>
                <w:b/>
                <w:color w:val="000000"/>
                <w:kern w:val="0"/>
                <w:sz w:val="21"/>
              </w:rPr>
              <w:t>八、经济指标</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1.</w:t>
            </w:r>
            <w:r>
              <w:rPr>
                <w:rFonts w:ascii="宋体" w:hAnsi="宋体"/>
                <w:color w:val="000000"/>
                <w:kern w:val="0"/>
                <w:sz w:val="21"/>
              </w:rPr>
              <w:t>静态总投资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26882.03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2.</w:t>
            </w:r>
            <w:r>
              <w:rPr>
                <w:rFonts w:ascii="宋体" w:hAnsi="宋体"/>
                <w:color w:val="000000"/>
                <w:kern w:val="0"/>
                <w:sz w:val="21"/>
              </w:rPr>
              <w:t>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26882.03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6175A6">
            <w:pPr>
              <w:widowControl/>
              <w:spacing w:line="240" w:lineRule="auto"/>
              <w:ind w:firstLineChars="0" w:firstLine="0"/>
              <w:jc w:val="center"/>
              <w:rPr>
                <w:rFonts w:ascii="宋体" w:hAnsi="宋体" w:cs="宋体"/>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w:t>
            </w:r>
            <w:r>
              <w:rPr>
                <w:color w:val="000000"/>
                <w:kern w:val="0"/>
                <w:sz w:val="21"/>
              </w:rPr>
              <w:t>1</w:t>
            </w:r>
            <w:r>
              <w:rPr>
                <w:rFonts w:ascii="宋体" w:hAnsi="宋体" w:cs="宋体"/>
                <w:color w:val="000000"/>
                <w:kern w:val="0"/>
                <w:sz w:val="21"/>
              </w:rPr>
              <w:t>）工程部分</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枢纽工程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11032.91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建筑工程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9528.12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机电设备及安装</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324.04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金属结构设备及安装工程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393.55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施工临时工程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787.2</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输水工程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8287.99</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建筑工程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7376.29</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机电设备及安装</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0</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金属结构设备及安装工程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176.21</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施工临时工程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735.48</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独立费用</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3325.15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工程部分合计</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22646.05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基本预备费</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1132.3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工程部分总投资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23778.36</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w:t>
            </w:r>
            <w:r>
              <w:rPr>
                <w:color w:val="000000"/>
                <w:kern w:val="0"/>
                <w:sz w:val="21"/>
              </w:rPr>
              <w:t>2</w:t>
            </w:r>
            <w:r>
              <w:rPr>
                <w:rFonts w:ascii="宋体" w:hAnsi="宋体" w:cs="宋体"/>
                <w:color w:val="000000"/>
                <w:kern w:val="0"/>
                <w:sz w:val="21"/>
              </w:rPr>
              <w:t>）环境保护及水土保持部分</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移民工程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2021.13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环境保护工程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95.35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水土保持工程</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987.19</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环保总投资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1082.54</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建设征地及环保水保部分</w:t>
            </w:r>
            <w:r>
              <w:rPr>
                <w:rFonts w:ascii="宋体" w:hAnsi="宋体" w:cs="宋体"/>
                <w:color w:val="000000"/>
                <w:kern w:val="0"/>
                <w:sz w:val="21"/>
              </w:rPr>
              <w:t>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3103.67</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工程总投资</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26882.03</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color w:val="000000"/>
                <w:kern w:val="0"/>
                <w:sz w:val="21"/>
              </w:rPr>
            </w:pPr>
            <w:r>
              <w:rPr>
                <w:color w:val="000000"/>
                <w:kern w:val="0"/>
                <w:sz w:val="21"/>
              </w:rPr>
              <w:t>3.</w:t>
            </w:r>
            <w:r>
              <w:rPr>
                <w:rFonts w:ascii="宋体" w:hAnsi="宋体"/>
                <w:color w:val="000000"/>
                <w:kern w:val="0"/>
                <w:sz w:val="21"/>
              </w:rPr>
              <w:t>综合利用经济指标</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经济内部收益率</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8.5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效益费用比</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1.05</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r w:rsidR="006175A6">
        <w:trPr>
          <w:trHeight w:val="340"/>
        </w:trPr>
        <w:tc>
          <w:tcPr>
            <w:tcW w:w="3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rPr>
                <w:rFonts w:ascii="宋体" w:hAnsi="宋体" w:cs="宋体"/>
                <w:color w:val="000000"/>
                <w:kern w:val="0"/>
                <w:sz w:val="21"/>
              </w:rPr>
            </w:pPr>
            <w:r>
              <w:rPr>
                <w:rFonts w:ascii="宋体" w:hAnsi="宋体" w:cs="宋体" w:hint="eastAsia"/>
                <w:color w:val="000000"/>
                <w:kern w:val="0"/>
                <w:sz w:val="21"/>
              </w:rPr>
              <w:t>经济净现值</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rFonts w:ascii="宋体" w:hAnsi="宋体" w:cs="宋体"/>
                <w:color w:val="000000"/>
                <w:kern w:val="0"/>
                <w:sz w:val="21"/>
              </w:rPr>
            </w:pPr>
            <w:r>
              <w:rPr>
                <w:rFonts w:ascii="宋体" w:hAnsi="宋体" w:cs="宋体" w:hint="eastAsia"/>
                <w:color w:val="000000"/>
                <w:kern w:val="0"/>
                <w:sz w:val="21"/>
              </w:rPr>
              <w:t>万元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1326</w:t>
            </w:r>
          </w:p>
        </w:tc>
        <w:tc>
          <w:tcPr>
            <w:tcW w:w="1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6175A6">
            <w:pPr>
              <w:widowControl/>
              <w:spacing w:line="240" w:lineRule="auto"/>
              <w:ind w:firstLineChars="0" w:firstLine="0"/>
              <w:jc w:val="center"/>
              <w:rPr>
                <w:color w:val="000000"/>
                <w:kern w:val="0"/>
                <w:sz w:val="21"/>
              </w:rPr>
            </w:pPr>
          </w:p>
        </w:tc>
      </w:tr>
    </w:tbl>
    <w:p w:rsidR="0060095B" w:rsidRDefault="0060095B">
      <w:pPr>
        <w:ind w:firstLine="480"/>
        <w:sectPr w:rsidR="0060095B">
          <w:pgSz w:w="11906" w:h="16838"/>
          <w:pgMar w:top="1440" w:right="1800" w:bottom="1440" w:left="1800" w:header="851" w:footer="992" w:gutter="0"/>
          <w:cols w:space="425"/>
          <w:docGrid w:type="lines" w:linePitch="312"/>
        </w:sectPr>
      </w:pPr>
    </w:p>
    <w:p w:rsidR="006175A6" w:rsidRDefault="009B4BA7">
      <w:pPr>
        <w:pStyle w:val="1"/>
      </w:pPr>
      <w:bookmarkStart w:id="47" w:name="_Toc80170100"/>
      <w:r>
        <w:rPr>
          <w:rFonts w:hint="eastAsia"/>
        </w:rPr>
        <w:lastRenderedPageBreak/>
        <w:t>工程分析</w:t>
      </w:r>
      <w:bookmarkEnd w:id="47"/>
    </w:p>
    <w:p w:rsidR="006175A6" w:rsidRDefault="009B4BA7">
      <w:pPr>
        <w:pStyle w:val="2"/>
      </w:pPr>
      <w:bookmarkStart w:id="48" w:name="_Toc80170101"/>
      <w:r>
        <w:rPr>
          <w:rFonts w:hint="eastAsia"/>
        </w:rPr>
        <w:t>工程与规划相符性分析</w:t>
      </w:r>
      <w:bookmarkEnd w:id="48"/>
    </w:p>
    <w:p w:rsidR="006175A6" w:rsidRDefault="009B4BA7">
      <w:pPr>
        <w:pStyle w:val="3"/>
      </w:pPr>
      <w:r>
        <w:rPr>
          <w:rFonts w:hint="eastAsia"/>
        </w:rPr>
        <w:t>产业政策符合性分析</w:t>
      </w:r>
    </w:p>
    <w:p w:rsidR="006175A6" w:rsidRDefault="009B4BA7">
      <w:pPr>
        <w:ind w:firstLine="480"/>
      </w:pPr>
      <w:r>
        <w:rPr>
          <w:rFonts w:hint="eastAsia"/>
        </w:rPr>
        <w:t>本项目属于《国民经济行业分类》（</w:t>
      </w:r>
      <w:r>
        <w:rPr>
          <w:rFonts w:hint="eastAsia"/>
        </w:rPr>
        <w:t>GB/T4754-2017</w:t>
      </w:r>
      <w:r>
        <w:rPr>
          <w:rFonts w:hint="eastAsia"/>
        </w:rPr>
        <w:t>）中的“</w:t>
      </w:r>
      <w:r>
        <w:rPr>
          <w:rFonts w:hint="eastAsia"/>
        </w:rPr>
        <w:t>N7630</w:t>
      </w:r>
      <w:r>
        <w:rPr>
          <w:rFonts w:hint="eastAsia"/>
        </w:rPr>
        <w:t>危天然水收集与分配”行业；</w:t>
      </w:r>
      <w:r>
        <w:t>根据《产业结构调整指导目录》（</w:t>
      </w:r>
      <w:r>
        <w:t>2019</w:t>
      </w:r>
      <w:r>
        <w:t>年本），本项目属于</w:t>
      </w:r>
      <w:r>
        <w:t>“</w:t>
      </w:r>
      <w:r>
        <w:rPr>
          <w:rFonts w:hint="eastAsia"/>
        </w:rPr>
        <w:t>二</w:t>
      </w:r>
      <w:r>
        <w:t>、</w:t>
      </w:r>
      <w:r>
        <w:rPr>
          <w:rFonts w:hint="eastAsia"/>
        </w:rPr>
        <w:t>水利</w:t>
      </w:r>
      <w:r>
        <w:t>”</w:t>
      </w:r>
      <w:r>
        <w:t>类别中</w:t>
      </w:r>
      <w:r>
        <w:t>“</w:t>
      </w:r>
      <w:r>
        <w:rPr>
          <w:rFonts w:hint="eastAsia"/>
        </w:rPr>
        <w:t>、城乡供水水源工程</w:t>
      </w:r>
      <w:r>
        <w:t>”</w:t>
      </w:r>
      <w:r>
        <w:t>类别，属于鼓励类建设项目，项目建设符合国家产业政策。</w:t>
      </w:r>
    </w:p>
    <w:p w:rsidR="006175A6" w:rsidRDefault="009B4BA7">
      <w:pPr>
        <w:pStyle w:val="2"/>
      </w:pPr>
      <w:bookmarkStart w:id="49" w:name="_Toc80170102"/>
      <w:r>
        <w:rPr>
          <w:rFonts w:hint="eastAsia"/>
        </w:rPr>
        <w:t>工程影响因素分析</w:t>
      </w:r>
      <w:bookmarkEnd w:id="49"/>
    </w:p>
    <w:p w:rsidR="006175A6" w:rsidRDefault="009B4BA7">
      <w:pPr>
        <w:pStyle w:val="3"/>
      </w:pPr>
      <w:r>
        <w:rPr>
          <w:rFonts w:hint="eastAsia"/>
        </w:rPr>
        <w:t>工程施工</w:t>
      </w:r>
    </w:p>
    <w:p w:rsidR="006175A6" w:rsidRDefault="009B4BA7">
      <w:pPr>
        <w:pStyle w:val="4"/>
      </w:pPr>
      <w:r>
        <w:rPr>
          <w:rFonts w:hint="eastAsia"/>
        </w:rPr>
        <w:t>工程占地</w:t>
      </w:r>
    </w:p>
    <w:p w:rsidR="006175A6" w:rsidRDefault="009B4BA7">
      <w:pPr>
        <w:ind w:firstLine="480"/>
      </w:pPr>
      <w:r>
        <w:rPr>
          <w:rFonts w:hint="eastAsia"/>
        </w:rPr>
        <w:t>工程永久占地共计</w:t>
      </w:r>
      <w:r>
        <w:rPr>
          <w:rFonts w:hint="eastAsia"/>
        </w:rPr>
        <w:t>544.2</w:t>
      </w:r>
      <w:r>
        <w:rPr>
          <w:rFonts w:hint="eastAsia"/>
        </w:rPr>
        <w:t>亩，包括库区淹没</w:t>
      </w:r>
      <w:r>
        <w:rPr>
          <w:rFonts w:hint="eastAsia"/>
        </w:rPr>
        <w:t>494.5</w:t>
      </w:r>
      <w:r>
        <w:rPr>
          <w:rFonts w:hint="eastAsia"/>
        </w:rPr>
        <w:t>亩，其中：灌木林地</w:t>
      </w:r>
      <w:r>
        <w:rPr>
          <w:rFonts w:hint="eastAsia"/>
        </w:rPr>
        <w:t>211.1</w:t>
      </w:r>
      <w:r>
        <w:rPr>
          <w:rFonts w:hint="eastAsia"/>
        </w:rPr>
        <w:t>亩，水域面积</w:t>
      </w:r>
      <w:r>
        <w:rPr>
          <w:rFonts w:hint="eastAsia"/>
        </w:rPr>
        <w:t>73.6</w:t>
      </w:r>
      <w:r>
        <w:rPr>
          <w:rFonts w:hint="eastAsia"/>
        </w:rPr>
        <w:t>：亩，河滩地</w:t>
      </w:r>
      <w:r>
        <w:rPr>
          <w:rFonts w:hint="eastAsia"/>
        </w:rPr>
        <w:t>160.1</w:t>
      </w:r>
      <w:r>
        <w:rPr>
          <w:rFonts w:hint="eastAsia"/>
        </w:rPr>
        <w:t>亩，农村道路及电站</w:t>
      </w:r>
      <w:r>
        <w:rPr>
          <w:rFonts w:hint="eastAsia"/>
        </w:rPr>
        <w:t>49.7</w:t>
      </w:r>
      <w:r>
        <w:rPr>
          <w:rFonts w:hint="eastAsia"/>
        </w:rPr>
        <w:t>亩。枢纽工程建设区占地</w:t>
      </w:r>
      <w:r>
        <w:rPr>
          <w:rFonts w:hint="eastAsia"/>
        </w:rPr>
        <w:t>39.8</w:t>
      </w:r>
      <w:r>
        <w:rPr>
          <w:rFonts w:hint="eastAsia"/>
        </w:rPr>
        <w:t>亩，其中：耕地</w:t>
      </w:r>
      <w:r>
        <w:rPr>
          <w:rFonts w:hint="eastAsia"/>
        </w:rPr>
        <w:t>4.2</w:t>
      </w:r>
      <w:r>
        <w:rPr>
          <w:rFonts w:hint="eastAsia"/>
        </w:rPr>
        <w:t>亩，灌木林地</w:t>
      </w:r>
      <w:r>
        <w:rPr>
          <w:rFonts w:hint="eastAsia"/>
        </w:rPr>
        <w:t>27.5</w:t>
      </w:r>
      <w:r>
        <w:rPr>
          <w:rFonts w:hint="eastAsia"/>
        </w:rPr>
        <w:t>亩，水域面积</w:t>
      </w:r>
      <w:r>
        <w:rPr>
          <w:rFonts w:hint="eastAsia"/>
        </w:rPr>
        <w:t>2.7</w:t>
      </w:r>
      <w:r>
        <w:rPr>
          <w:rFonts w:hint="eastAsia"/>
        </w:rPr>
        <w:t>亩，河滩地</w:t>
      </w:r>
      <w:r>
        <w:rPr>
          <w:rFonts w:hint="eastAsia"/>
        </w:rPr>
        <w:t>3.4</w:t>
      </w:r>
      <w:r>
        <w:rPr>
          <w:rFonts w:hint="eastAsia"/>
        </w:rPr>
        <w:t>亩。输水工程占地</w:t>
      </w:r>
      <w:r>
        <w:rPr>
          <w:rFonts w:hint="eastAsia"/>
        </w:rPr>
        <w:t>9.9</w:t>
      </w:r>
      <w:r>
        <w:rPr>
          <w:rFonts w:hint="eastAsia"/>
        </w:rPr>
        <w:t>亩，其中：涉及耕地（旱地）</w:t>
      </w:r>
      <w:r>
        <w:rPr>
          <w:rFonts w:hint="eastAsia"/>
        </w:rPr>
        <w:t>2.0</w:t>
      </w:r>
      <w:r>
        <w:rPr>
          <w:rFonts w:hint="eastAsia"/>
        </w:rPr>
        <w:t>亩，有林地</w:t>
      </w:r>
      <w:r>
        <w:rPr>
          <w:rFonts w:hint="eastAsia"/>
        </w:rPr>
        <w:t>2.0</w:t>
      </w:r>
      <w:r>
        <w:rPr>
          <w:rFonts w:hint="eastAsia"/>
        </w:rPr>
        <w:t>亩，灌木林地</w:t>
      </w:r>
      <w:r>
        <w:rPr>
          <w:rFonts w:hint="eastAsia"/>
        </w:rPr>
        <w:t>4.9</w:t>
      </w:r>
      <w:r>
        <w:rPr>
          <w:rFonts w:hint="eastAsia"/>
        </w:rPr>
        <w:t>亩，河滩地</w:t>
      </w:r>
      <w:r>
        <w:rPr>
          <w:rFonts w:hint="eastAsia"/>
        </w:rPr>
        <w:t>1.0</w:t>
      </w:r>
      <w:r>
        <w:rPr>
          <w:rFonts w:hint="eastAsia"/>
        </w:rPr>
        <w:t>亩。永久占地将损失两河口区域的土地资源，对当地的土地利用结构产生影响，永久占地会对当地植被造成直接破坏。</w:t>
      </w:r>
    </w:p>
    <w:p w:rsidR="006175A6" w:rsidRDefault="009B4BA7">
      <w:pPr>
        <w:ind w:firstLine="480"/>
      </w:pPr>
      <w:r>
        <w:rPr>
          <w:rFonts w:hint="eastAsia"/>
        </w:rPr>
        <w:t>工程临时用地</w:t>
      </w:r>
      <w:r>
        <w:rPr>
          <w:rFonts w:hint="eastAsia"/>
        </w:rPr>
        <w:t>352.0</w:t>
      </w:r>
      <w:r>
        <w:rPr>
          <w:rFonts w:hint="eastAsia"/>
        </w:rPr>
        <w:t>亩，主要包括施工场地区占地、施工围堰和导流、施工道路占地、料场占地、临时弃渣场占地。其中：施工场地区占地</w:t>
      </w:r>
      <w:r>
        <w:rPr>
          <w:rFonts w:hint="eastAsia"/>
        </w:rPr>
        <w:t>29.2</w:t>
      </w:r>
      <w:r>
        <w:rPr>
          <w:rFonts w:hint="eastAsia"/>
        </w:rPr>
        <w:t>亩，施工围堰和导流占地</w:t>
      </w:r>
      <w:r>
        <w:rPr>
          <w:rFonts w:hint="eastAsia"/>
        </w:rPr>
        <w:t>2.2</w:t>
      </w:r>
      <w:r>
        <w:rPr>
          <w:rFonts w:hint="eastAsia"/>
        </w:rPr>
        <w:t>亩，施工道路占地</w:t>
      </w:r>
      <w:r>
        <w:rPr>
          <w:rFonts w:hint="eastAsia"/>
        </w:rPr>
        <w:t>200.3</w:t>
      </w:r>
      <w:r>
        <w:rPr>
          <w:rFonts w:hint="eastAsia"/>
        </w:rPr>
        <w:t>亩，料场临时占地</w:t>
      </w:r>
      <w:r>
        <w:rPr>
          <w:rFonts w:hint="eastAsia"/>
        </w:rPr>
        <w:t>17.2</w:t>
      </w:r>
      <w:r>
        <w:rPr>
          <w:rFonts w:hint="eastAsia"/>
        </w:rPr>
        <w:t>亩，弃渣场占地</w:t>
      </w:r>
      <w:r>
        <w:rPr>
          <w:rFonts w:hint="eastAsia"/>
        </w:rPr>
        <w:t>103.1</w:t>
      </w:r>
      <w:r>
        <w:rPr>
          <w:rFonts w:hint="eastAsia"/>
        </w:rPr>
        <w:t>亩。临时占地在工程建设期对区域植被产生一定干扰与破坏，采取植被恢复措施，其影响为可逆。</w:t>
      </w:r>
    </w:p>
    <w:p w:rsidR="006175A6" w:rsidRDefault="009B4BA7">
      <w:pPr>
        <w:pStyle w:val="4"/>
      </w:pPr>
      <w:r>
        <w:rPr>
          <w:rFonts w:hint="eastAsia"/>
        </w:rPr>
        <w:t>施工导流</w:t>
      </w:r>
    </w:p>
    <w:p w:rsidR="006175A6" w:rsidRDefault="009B4BA7">
      <w:pPr>
        <w:ind w:firstLine="480"/>
      </w:pPr>
      <w:r>
        <w:rPr>
          <w:rFonts w:hint="eastAsia"/>
        </w:rPr>
        <w:t>施工导流建筑物主要包括围堰以及导流洞。</w:t>
      </w:r>
    </w:p>
    <w:p w:rsidR="006175A6" w:rsidRDefault="009B4BA7">
      <w:pPr>
        <w:ind w:firstLine="480"/>
      </w:pPr>
      <w:r>
        <w:rPr>
          <w:rFonts w:hint="eastAsia"/>
        </w:rPr>
        <w:t>土石围堰填筑自左侧向右进占，先分层开挖河床以下粘土心墙基槽，开挖深度为</w:t>
      </w:r>
      <w:r>
        <w:rPr>
          <w:rFonts w:hint="eastAsia"/>
        </w:rPr>
        <w:t>4m</w:t>
      </w:r>
      <w:r>
        <w:rPr>
          <w:rFonts w:hint="eastAsia"/>
        </w:rPr>
        <w:t>，根据施工要求第一层按设计坡度开挖深度为</w:t>
      </w:r>
      <w:r>
        <w:rPr>
          <w:rFonts w:hint="eastAsia"/>
        </w:rPr>
        <w:t>2</w:t>
      </w:r>
      <w:r>
        <w:rPr>
          <w:rFonts w:hint="eastAsia"/>
        </w:rPr>
        <w:t>米，设置施工平台。第二层至槽底。挖出的土放置距基坑</w:t>
      </w:r>
      <w:r>
        <w:rPr>
          <w:rFonts w:hint="eastAsia"/>
        </w:rPr>
        <w:t>1m</w:t>
      </w:r>
      <w:r>
        <w:rPr>
          <w:rFonts w:hint="eastAsia"/>
        </w:rPr>
        <w:t>以外，堆土高度不超过</w:t>
      </w:r>
      <w:r>
        <w:rPr>
          <w:rFonts w:hint="eastAsia"/>
        </w:rPr>
        <w:t>2m</w:t>
      </w:r>
      <w:r>
        <w:rPr>
          <w:rFonts w:hint="eastAsia"/>
        </w:rPr>
        <w:t>。开挖以机械</w:t>
      </w:r>
      <w:r>
        <w:rPr>
          <w:rFonts w:hint="eastAsia"/>
        </w:rPr>
        <w:lastRenderedPageBreak/>
        <w:t>为主，人工为辅。基槽完成后进行河床以下粘土心墙料填筑，粘土每层铺土层厚不得大于</w:t>
      </w:r>
      <w:r>
        <w:rPr>
          <w:rFonts w:hint="eastAsia"/>
        </w:rPr>
        <w:t>40cm</w:t>
      </w:r>
      <w:r>
        <w:rPr>
          <w:rFonts w:hint="eastAsia"/>
        </w:rPr>
        <w:t>，碾压变速为静碾</w:t>
      </w:r>
      <w:r>
        <w:rPr>
          <w:rFonts w:hint="eastAsia"/>
        </w:rPr>
        <w:t>2</w:t>
      </w:r>
      <w:r>
        <w:rPr>
          <w:rFonts w:hint="eastAsia"/>
        </w:rPr>
        <w:t>遍，动碾</w:t>
      </w:r>
      <w:r>
        <w:rPr>
          <w:rFonts w:hint="eastAsia"/>
        </w:rPr>
        <w:t>8</w:t>
      </w:r>
      <w:r>
        <w:rPr>
          <w:rFonts w:hint="eastAsia"/>
        </w:rPr>
        <w:t>遍，行走速度为</w:t>
      </w:r>
      <w:r>
        <w:rPr>
          <w:rFonts w:hint="eastAsia"/>
        </w:rPr>
        <w:t>1</w:t>
      </w:r>
      <w:r>
        <w:rPr>
          <w:rFonts w:hint="eastAsia"/>
        </w:rPr>
        <w:t>～</w:t>
      </w:r>
      <w:r>
        <w:rPr>
          <w:rFonts w:hint="eastAsia"/>
        </w:rPr>
        <w:t>3km/h</w:t>
      </w:r>
      <w:r>
        <w:rPr>
          <w:rFonts w:hint="eastAsia"/>
        </w:rPr>
        <w:t>。应沿坝轴线方向碾压，压实厚度为</w:t>
      </w:r>
      <w:r>
        <w:rPr>
          <w:rFonts w:hint="eastAsia"/>
        </w:rPr>
        <w:t>30cm</w:t>
      </w:r>
      <w:r>
        <w:rPr>
          <w:rFonts w:hint="eastAsia"/>
        </w:rPr>
        <w:t>。</w:t>
      </w:r>
    </w:p>
    <w:p w:rsidR="006175A6" w:rsidRDefault="009B4BA7">
      <w:pPr>
        <w:ind w:firstLine="480"/>
      </w:pPr>
      <w:r>
        <w:rPr>
          <w:rFonts w:hint="eastAsia"/>
        </w:rPr>
        <w:t>导流洞岩石类别为Ⅱ类，加上洞身断面较小，采用全断面施工，手风钻钻孔，周边孔光面爆破开挖，采用小型装载机配</w:t>
      </w:r>
      <w:r>
        <w:rPr>
          <w:rFonts w:hint="eastAsia"/>
        </w:rPr>
        <w:t>5T</w:t>
      </w:r>
      <w:r>
        <w:rPr>
          <w:rFonts w:hint="eastAsia"/>
        </w:rPr>
        <w:t>自卸汽车运输。开挖料中用于围堰填筑部分就近堆放，其余运至弃渣场。</w:t>
      </w:r>
    </w:p>
    <w:p w:rsidR="006175A6" w:rsidRDefault="009B4BA7">
      <w:pPr>
        <w:ind w:firstLine="480"/>
      </w:pPr>
      <w:r>
        <w:rPr>
          <w:rFonts w:hint="eastAsia"/>
        </w:rPr>
        <w:t>工程导流施工可能对水环境、陆生生态、声环境、大气环境产生一定的影响，并可能新增水土流失。</w:t>
      </w:r>
    </w:p>
    <w:p w:rsidR="006175A6" w:rsidRDefault="009B4BA7">
      <w:pPr>
        <w:ind w:firstLine="480"/>
      </w:pPr>
      <w:r>
        <w:rPr>
          <w:rFonts w:hint="eastAsia"/>
        </w:rPr>
        <w:t>①大气环境：土石方开挖及围堰土石方填筑可能产生粉尘、扬尘，对施工区空气产生一定不利影响。</w:t>
      </w:r>
    </w:p>
    <w:p w:rsidR="006175A6" w:rsidRDefault="009B4BA7">
      <w:pPr>
        <w:ind w:firstLine="480"/>
      </w:pPr>
      <w:r>
        <w:rPr>
          <w:rFonts w:hint="eastAsia"/>
        </w:rPr>
        <w:t>②水环境：施工期改变了北河水流方向、流速等水文条件，同时上下游围堰形成后，基坑排水中</w:t>
      </w:r>
      <w:r>
        <w:rPr>
          <w:rFonts w:hint="eastAsia"/>
        </w:rPr>
        <w:t>SS</w:t>
      </w:r>
      <w:r>
        <w:rPr>
          <w:rFonts w:hint="eastAsia"/>
        </w:rPr>
        <w:t>含量高对水质可能产生一定影响。</w:t>
      </w:r>
    </w:p>
    <w:p w:rsidR="006175A6" w:rsidRDefault="009B4BA7">
      <w:pPr>
        <w:ind w:firstLine="480"/>
      </w:pPr>
      <w:r>
        <w:rPr>
          <w:rFonts w:hint="eastAsia"/>
        </w:rPr>
        <w:t>③声环境：施工机械运行产生噪声，可能对施工人员产生不利影响。</w:t>
      </w:r>
    </w:p>
    <w:p w:rsidR="006175A6" w:rsidRDefault="009B4BA7">
      <w:pPr>
        <w:ind w:firstLine="480"/>
      </w:pPr>
      <w:r>
        <w:rPr>
          <w:rFonts w:hint="eastAsia"/>
        </w:rPr>
        <w:t>④陆生生态：导流围堰拆除将产生固体废弃物，土石方堆放、弃渣场都将破坏现有的陆生植被，可能新增水土流失。</w:t>
      </w:r>
    </w:p>
    <w:p w:rsidR="006175A6" w:rsidRDefault="009B4BA7">
      <w:pPr>
        <w:pStyle w:val="4"/>
      </w:pPr>
      <w:r>
        <w:rPr>
          <w:rFonts w:hint="eastAsia"/>
        </w:rPr>
        <w:t>料场开采</w:t>
      </w:r>
    </w:p>
    <w:p w:rsidR="006175A6" w:rsidRDefault="009B4BA7">
      <w:pPr>
        <w:ind w:firstLine="480"/>
      </w:pPr>
      <w:r>
        <w:rPr>
          <w:rFonts w:hint="eastAsia"/>
        </w:rPr>
        <w:t>工程共涉及</w:t>
      </w:r>
      <w:r>
        <w:rPr>
          <w:rFonts w:hint="eastAsia"/>
        </w:rPr>
        <w:t>3</w:t>
      </w:r>
      <w:r>
        <w:rPr>
          <w:rFonts w:hint="eastAsia"/>
        </w:rPr>
        <w:t>处石料场。①大坝上游石料场（</w:t>
      </w:r>
      <w:r>
        <w:rPr>
          <w:rFonts w:hint="eastAsia"/>
        </w:rPr>
        <w:t>SL1</w:t>
      </w:r>
      <w:r>
        <w:rPr>
          <w:rFonts w:hint="eastAsia"/>
        </w:rPr>
        <w:t>）：大坝上游石料场位于坝区上游</w:t>
      </w:r>
      <w:r>
        <w:rPr>
          <w:rFonts w:hint="eastAsia"/>
        </w:rPr>
        <w:t>1km</w:t>
      </w:r>
      <w:r>
        <w:rPr>
          <w:rFonts w:hint="eastAsia"/>
        </w:rPr>
        <w:t>处，出露地层为震旦系上统厚层硅质白云岩。该处为一陡岩，开采条件较差，作为备用料场。②大坝下游石料场（</w:t>
      </w:r>
      <w:r>
        <w:rPr>
          <w:rFonts w:hint="eastAsia"/>
        </w:rPr>
        <w:t>SL2</w:t>
      </w:r>
      <w:r>
        <w:rPr>
          <w:rFonts w:hint="eastAsia"/>
        </w:rPr>
        <w:t>）：位于坝区下游</w:t>
      </w:r>
      <w:r>
        <w:rPr>
          <w:rFonts w:hint="eastAsia"/>
        </w:rPr>
        <w:t>380m</w:t>
      </w:r>
      <w:r>
        <w:rPr>
          <w:rFonts w:hint="eastAsia"/>
        </w:rPr>
        <w:t>，右岸山坡。地势略缓，平均坡度</w:t>
      </w:r>
      <w:r>
        <w:rPr>
          <w:rFonts w:hint="eastAsia"/>
        </w:rPr>
        <w:t>28</w:t>
      </w:r>
      <w:r>
        <w:rPr>
          <w:rFonts w:hint="eastAsia"/>
        </w:rPr>
        <w:t>°。出露地层为震旦系上统灯影组第二、第三层厚层粗晶白云岩，薄层硅质白云岩。③黄家湾石料场（</w:t>
      </w:r>
      <w:r>
        <w:rPr>
          <w:rFonts w:hint="eastAsia"/>
        </w:rPr>
        <w:t>SL3</w:t>
      </w:r>
      <w:r>
        <w:rPr>
          <w:rFonts w:hint="eastAsia"/>
        </w:rPr>
        <w:t>）：该料场位于引水隧洞出口，出露地层为奥陶系下统灰白色厚层灰岩，地形平坦开阔，开采条件好，作为明渠或隧洞衬砌块石或碎石料场。</w:t>
      </w:r>
    </w:p>
    <w:p w:rsidR="006175A6" w:rsidRDefault="009B4BA7">
      <w:pPr>
        <w:ind w:firstLine="480"/>
      </w:pPr>
      <w:r>
        <w:rPr>
          <w:rFonts w:hint="eastAsia"/>
        </w:rPr>
        <w:t>工程在坝区上游左岸以及坝区下游左岸设置</w:t>
      </w:r>
      <w:r>
        <w:rPr>
          <w:rFonts w:hint="eastAsia"/>
        </w:rPr>
        <w:t>2</w:t>
      </w:r>
      <w:r>
        <w:rPr>
          <w:rFonts w:hint="eastAsia"/>
        </w:rPr>
        <w:t>处主料场。土料拟用于上、下游围堰部位，工程区较好的粘性土料缺乏，均为第四系残坡积堆积土体。</w:t>
      </w:r>
    </w:p>
    <w:p w:rsidR="006175A6" w:rsidRDefault="009B4BA7">
      <w:pPr>
        <w:ind w:firstLine="480"/>
      </w:pPr>
      <w:r>
        <w:rPr>
          <w:rFonts w:hint="eastAsia"/>
        </w:rPr>
        <w:t>石料场开采按“分区、分块，自上而下”的原则开采，每个台阶规划前、后</w:t>
      </w:r>
      <w:r>
        <w:rPr>
          <w:rFonts w:hint="eastAsia"/>
        </w:rPr>
        <w:t>2</w:t>
      </w:r>
      <w:r>
        <w:rPr>
          <w:rFonts w:hint="eastAsia"/>
        </w:rPr>
        <w:t>个作业面，每个工作面按</w:t>
      </w:r>
      <w:r>
        <w:rPr>
          <w:rFonts w:hint="eastAsia"/>
        </w:rPr>
        <w:t>50.0m</w:t>
      </w:r>
      <w:r>
        <w:rPr>
          <w:rFonts w:hint="eastAsia"/>
        </w:rPr>
        <w:t>×</w:t>
      </w:r>
      <w:r>
        <w:rPr>
          <w:rFonts w:hint="eastAsia"/>
        </w:rPr>
        <w:t>10.0</w:t>
      </w:r>
      <w:r>
        <w:rPr>
          <w:rFonts w:hint="eastAsia"/>
        </w:rPr>
        <w:t>～</w:t>
      </w:r>
      <w:r>
        <w:rPr>
          <w:rFonts w:hint="eastAsia"/>
        </w:rPr>
        <w:t>14.0m</w:t>
      </w:r>
      <w:r>
        <w:rPr>
          <w:rFonts w:hint="eastAsia"/>
        </w:rPr>
        <w:t>（长×宽）。采场分区同步下降。台阶高度按</w:t>
      </w:r>
      <w:r>
        <w:rPr>
          <w:rFonts w:hint="eastAsia"/>
        </w:rPr>
        <w:t>10m-15m</w:t>
      </w:r>
      <w:r>
        <w:rPr>
          <w:rFonts w:hint="eastAsia"/>
        </w:rPr>
        <w:t>控制（局部岩层较薄部位视岩层厚度适当调整）。工作面爆破梯段台阶与场内临时道路相结合。石料钻爆开采施工程序为：施工准备→修筑</w:t>
      </w:r>
      <w:r>
        <w:rPr>
          <w:rFonts w:hint="eastAsia"/>
        </w:rPr>
        <w:lastRenderedPageBreak/>
        <w:t>施工便道→基础设施安装→覆盖层剥离（挖运、弃渣）→工作面清理→台阶钻爆→石料挖运。</w:t>
      </w:r>
    </w:p>
    <w:p w:rsidR="006175A6" w:rsidRDefault="009B4BA7">
      <w:pPr>
        <w:ind w:firstLine="480"/>
      </w:pPr>
      <w:r>
        <w:rPr>
          <w:rFonts w:hint="eastAsia"/>
        </w:rPr>
        <w:t>料场开采施工对环境影响主要表现为对大气环境、声环境、水土流失、生态环境、水环境等环境因子的影响。其主要表现为：</w:t>
      </w:r>
    </w:p>
    <w:p w:rsidR="006175A6" w:rsidRDefault="009B4BA7">
      <w:pPr>
        <w:ind w:firstLine="480"/>
      </w:pPr>
      <w:r>
        <w:rPr>
          <w:rFonts w:hint="eastAsia"/>
        </w:rPr>
        <w:t>①大气环境：料场开采、车辆运输等施工过程中产生粉尘、扬尘、车辆尾气等，对施工区大气环境和现场施工人员可能带来一定影响。</w:t>
      </w:r>
    </w:p>
    <w:p w:rsidR="006175A6" w:rsidRDefault="009B4BA7">
      <w:pPr>
        <w:ind w:firstLine="480"/>
      </w:pPr>
      <w:r>
        <w:rPr>
          <w:rFonts w:hint="eastAsia"/>
        </w:rPr>
        <w:t>②水环境：水下开采和岸边开采不可避免地产生悬浮物，增加开采河段水域</w:t>
      </w:r>
      <w:r>
        <w:rPr>
          <w:rFonts w:hint="eastAsia"/>
        </w:rPr>
        <w:t>SS</w:t>
      </w:r>
      <w:r>
        <w:rPr>
          <w:rFonts w:hint="eastAsia"/>
        </w:rPr>
        <w:t>浓度。对上述各环境因子的影响范围为开采区范围、料源运输沿线公路。影响时间为施工开采期。</w:t>
      </w:r>
    </w:p>
    <w:p w:rsidR="006175A6" w:rsidRDefault="009B4BA7">
      <w:pPr>
        <w:ind w:firstLine="480"/>
      </w:pPr>
      <w:r>
        <w:rPr>
          <w:rFonts w:hint="eastAsia"/>
        </w:rPr>
        <w:t>③声环境：石料开采与运输使用的大型索铲、反铲、自卸汽车等施工机械相对较多、集中，将对施工区声环境和现场施工人员可能带来一定影响。</w:t>
      </w:r>
    </w:p>
    <w:p w:rsidR="006175A6" w:rsidRDefault="009B4BA7">
      <w:pPr>
        <w:ind w:firstLine="480"/>
      </w:pPr>
      <w:r>
        <w:rPr>
          <w:rFonts w:hint="eastAsia"/>
        </w:rPr>
        <w:t>④生态环境：由于石料场主要用地类型为林地，开采施工将造成开采区范围内的地表植被破坏，产生弃渣，易造成水土流失现象。</w:t>
      </w:r>
    </w:p>
    <w:p w:rsidR="006175A6" w:rsidRDefault="009B4BA7">
      <w:pPr>
        <w:pStyle w:val="4"/>
      </w:pPr>
      <w:r>
        <w:rPr>
          <w:rFonts w:hint="eastAsia"/>
        </w:rPr>
        <w:t>大坝施工</w:t>
      </w:r>
    </w:p>
    <w:p w:rsidR="006175A6" w:rsidRDefault="009B4BA7">
      <w:pPr>
        <w:ind w:firstLine="480"/>
      </w:pPr>
      <w:r>
        <w:rPr>
          <w:rFonts w:hint="eastAsia"/>
        </w:rPr>
        <w:t>（</w:t>
      </w:r>
      <w:r>
        <w:rPr>
          <w:rFonts w:hint="eastAsia"/>
        </w:rPr>
        <w:t>1</w:t>
      </w:r>
      <w:r>
        <w:rPr>
          <w:rFonts w:hint="eastAsia"/>
        </w:rPr>
        <w:t>）施工道路布置</w:t>
      </w:r>
    </w:p>
    <w:p w:rsidR="006175A6" w:rsidRDefault="009B4BA7">
      <w:pPr>
        <w:ind w:firstLine="480"/>
      </w:pPr>
      <w:r>
        <w:rPr>
          <w:rFonts w:hint="eastAsia"/>
        </w:rPr>
        <w:t>根据料场分布、坝区地形和枢纽建筑物的布置，坝区施工临时道路共计</w:t>
      </w:r>
      <w:r>
        <w:rPr>
          <w:rFonts w:hint="eastAsia"/>
        </w:rPr>
        <w:t>2</w:t>
      </w:r>
      <w:r>
        <w:rPr>
          <w:rFonts w:hint="eastAsia"/>
        </w:rPr>
        <w:t>条：①下游沿河床修建一条临时施工道路主要承担出渣、完成河床段及进水口施工和河床高程附近坝体填筑交通任务②大坝左岸在</w:t>
      </w:r>
      <w:r>
        <w:rPr>
          <w:rFonts w:hint="eastAsia"/>
        </w:rPr>
        <w:t>990~1017m</w:t>
      </w:r>
      <w:r>
        <w:rPr>
          <w:rFonts w:hint="eastAsia"/>
        </w:rPr>
        <w:t>高程布置一条施工道路，此道路可满足</w:t>
      </w:r>
      <w:r>
        <w:rPr>
          <w:rFonts w:hint="eastAsia"/>
        </w:rPr>
        <w:t>1017.0m</w:t>
      </w:r>
      <w:r>
        <w:rPr>
          <w:rFonts w:hint="eastAsia"/>
        </w:rPr>
        <w:t>高程以下混凝土入仓，入仓方式主要以自卸汽车入仓为主；</w:t>
      </w:r>
      <w:r>
        <w:rPr>
          <w:rFonts w:hint="eastAsia"/>
        </w:rPr>
        <w:t>1017.00</w:t>
      </w:r>
      <w:r>
        <w:rPr>
          <w:rFonts w:hint="eastAsia"/>
        </w:rPr>
        <w:t>高程以上坝体混凝土采用负压溜槽入仓。采用塔吊将各种建筑材料转运至仓面。</w:t>
      </w:r>
    </w:p>
    <w:p w:rsidR="006175A6" w:rsidRDefault="009B4BA7">
      <w:pPr>
        <w:ind w:firstLine="480"/>
      </w:pPr>
      <w:r>
        <w:rPr>
          <w:rFonts w:hint="eastAsia"/>
        </w:rPr>
        <w:t>（</w:t>
      </w:r>
      <w:r>
        <w:rPr>
          <w:rFonts w:hint="eastAsia"/>
        </w:rPr>
        <w:t>2</w:t>
      </w:r>
      <w:r>
        <w:rPr>
          <w:rFonts w:hint="eastAsia"/>
        </w:rPr>
        <w:t>）大坝基础开挖</w:t>
      </w:r>
    </w:p>
    <w:p w:rsidR="006175A6" w:rsidRDefault="009B4BA7">
      <w:pPr>
        <w:ind w:firstLine="480"/>
      </w:pPr>
      <w:r>
        <w:rPr>
          <w:rFonts w:hint="eastAsia"/>
        </w:rPr>
        <w:t>大坝基坑开挖主要包括表层覆盖层开挖、基础石方开挖。坝基开挖分两期进行，工程截流之前完成两岸坝肩岸坡开挖，截流之后进行河床坝基开挖。</w:t>
      </w:r>
    </w:p>
    <w:p w:rsidR="006175A6" w:rsidRDefault="009B4BA7">
      <w:pPr>
        <w:ind w:firstLine="480"/>
      </w:pPr>
      <w:r>
        <w:rPr>
          <w:rFonts w:hint="eastAsia"/>
        </w:rPr>
        <w:t>两坝肩边坡开挖采用</w:t>
      </w:r>
      <w:r>
        <w:rPr>
          <w:rFonts w:hint="eastAsia"/>
        </w:rPr>
        <w:t>YQ-100</w:t>
      </w:r>
      <w:r>
        <w:rPr>
          <w:rFonts w:hint="eastAsia"/>
        </w:rPr>
        <w:t>型潜孔钻钻孔，对少量欠挖部位采用风镐或人工撬挖，保证基岩不受破坏。开挖的石渣由</w:t>
      </w:r>
      <w:r>
        <w:rPr>
          <w:rFonts w:hint="eastAsia"/>
        </w:rPr>
        <w:t>1</w:t>
      </w:r>
      <w:r>
        <w:rPr>
          <w:rFonts w:hint="eastAsia"/>
        </w:rPr>
        <w:t>㎡反铲挖掘机配</w:t>
      </w:r>
      <w:r>
        <w:rPr>
          <w:rFonts w:hint="eastAsia"/>
        </w:rPr>
        <w:t>15-25t</w:t>
      </w:r>
      <w:r>
        <w:rPr>
          <w:rFonts w:hint="eastAsia"/>
        </w:rPr>
        <w:t>的自卸车出碴。开挖后支护一般采用系统锚杆挂网喷</w:t>
      </w:r>
      <w:r>
        <w:rPr>
          <w:rFonts w:hint="eastAsia"/>
        </w:rPr>
        <w:t>10cm</w:t>
      </w:r>
      <w:r>
        <w:rPr>
          <w:rFonts w:hint="eastAsia"/>
        </w:rPr>
        <w:t>厚混凝土支护，局部危岩体采用预应力锚索锚固。</w:t>
      </w:r>
    </w:p>
    <w:p w:rsidR="006175A6" w:rsidRDefault="009B4BA7">
      <w:pPr>
        <w:ind w:firstLine="480"/>
      </w:pPr>
      <w:r>
        <w:rPr>
          <w:rFonts w:hint="eastAsia"/>
        </w:rPr>
        <w:t>河床覆盖层部分采用</w:t>
      </w:r>
      <w:r>
        <w:rPr>
          <w:rFonts w:hint="eastAsia"/>
        </w:rPr>
        <w:t>2m</w:t>
      </w:r>
      <w:r>
        <w:rPr>
          <w:rFonts w:hint="eastAsia"/>
        </w:rPr>
        <w:t>³装载机先运于临时堆料场，截流后进行基坑石方开</w:t>
      </w:r>
      <w:r>
        <w:rPr>
          <w:rFonts w:hint="eastAsia"/>
        </w:rPr>
        <w:lastRenderedPageBreak/>
        <w:t>挖，上部开挖采用</w:t>
      </w:r>
      <w:r>
        <w:rPr>
          <w:rFonts w:hint="eastAsia"/>
        </w:rPr>
        <w:t>YQ-80</w:t>
      </w:r>
      <w:r>
        <w:rPr>
          <w:rFonts w:hint="eastAsia"/>
        </w:rPr>
        <w:t>型潜孔钻孔，局部配手风钻，自上而下分层钻爆开挖，钻孔爆破前作好开挖边线以外的危石清除及截水沟的开挖，并形成钻爆平台。</w:t>
      </w:r>
    </w:p>
    <w:p w:rsidR="006175A6" w:rsidRDefault="009B4BA7">
      <w:pPr>
        <w:ind w:firstLine="480"/>
      </w:pPr>
      <w:r>
        <w:rPr>
          <w:rFonts w:hint="eastAsia"/>
        </w:rPr>
        <w:t>（</w:t>
      </w:r>
      <w:r>
        <w:rPr>
          <w:rFonts w:hint="eastAsia"/>
        </w:rPr>
        <w:t>3</w:t>
      </w:r>
      <w:r>
        <w:rPr>
          <w:rFonts w:hint="eastAsia"/>
        </w:rPr>
        <w:t>）基础处理</w:t>
      </w:r>
    </w:p>
    <w:p w:rsidR="006175A6" w:rsidRDefault="009B4BA7">
      <w:pPr>
        <w:ind w:firstLine="480"/>
      </w:pPr>
      <w:r>
        <w:rPr>
          <w:rFonts w:hint="eastAsia"/>
        </w:rPr>
        <w:t>①固结灌浆</w:t>
      </w:r>
    </w:p>
    <w:p w:rsidR="006175A6" w:rsidRDefault="009B4BA7">
      <w:pPr>
        <w:ind w:firstLine="480"/>
      </w:pPr>
      <w:r>
        <w:rPr>
          <w:rFonts w:hint="eastAsia"/>
        </w:rPr>
        <w:t>对拱坝坝基作固结灌浆处理，基础开挖至设计建基面后钻固结灌浆孔，固结灌浆范围为坝基面向上下游各延伸</w:t>
      </w:r>
      <w:r>
        <w:rPr>
          <w:rFonts w:hint="eastAsia"/>
        </w:rPr>
        <w:t>1m</w:t>
      </w:r>
      <w:r>
        <w:rPr>
          <w:rFonts w:hint="eastAsia"/>
        </w:rPr>
        <w:t>，钻孔呈梅花形布置，孔距和排距均为</w:t>
      </w:r>
      <w:r>
        <w:rPr>
          <w:rFonts w:hint="eastAsia"/>
        </w:rPr>
        <w:t>3m</w:t>
      </w:r>
      <w:r>
        <w:rPr>
          <w:rFonts w:hint="eastAsia"/>
        </w:rPr>
        <w:t>，孔径</w:t>
      </w:r>
      <w:r>
        <w:rPr>
          <w:rFonts w:hint="eastAsia"/>
        </w:rPr>
        <w:t>53mm</w:t>
      </w:r>
      <w:r>
        <w:rPr>
          <w:rFonts w:hint="eastAsia"/>
        </w:rPr>
        <w:t>。灌浆分两序进行，先灌Ⅰ序孔，后灌Ⅱ序孔，采用</w:t>
      </w:r>
      <w:r>
        <w:rPr>
          <w:rFonts w:hint="eastAsia"/>
        </w:rPr>
        <w:t>SGZ</w:t>
      </w:r>
      <w:r>
        <w:rPr>
          <w:rFonts w:hint="eastAsia"/>
        </w:rPr>
        <w:t>－Ⅰ型液压机钻孔，</w:t>
      </w:r>
      <w:r>
        <w:rPr>
          <w:rFonts w:hint="eastAsia"/>
        </w:rPr>
        <w:t>BW250/50</w:t>
      </w:r>
      <w:r>
        <w:rPr>
          <w:rFonts w:hint="eastAsia"/>
        </w:rPr>
        <w:t>灌浆泵，分两段自下而上灌注。</w:t>
      </w:r>
    </w:p>
    <w:p w:rsidR="006175A6" w:rsidRDefault="009B4BA7">
      <w:pPr>
        <w:ind w:firstLine="480"/>
      </w:pPr>
      <w:r>
        <w:rPr>
          <w:rFonts w:hint="eastAsia"/>
        </w:rPr>
        <w:t>②防渗帷幕</w:t>
      </w:r>
    </w:p>
    <w:p w:rsidR="006175A6" w:rsidRDefault="009B4BA7">
      <w:pPr>
        <w:ind w:firstLine="480"/>
      </w:pPr>
      <w:r>
        <w:rPr>
          <w:rFonts w:hint="eastAsia"/>
        </w:rPr>
        <w:t>坝体河床部分帷幕灌浆通过灌浆廊道钻孔进行；岸坡部位在坝肩灌浆平洞中钻孔灌浆。河床基础帷幕灌浆孔双排布置，孔距</w:t>
      </w:r>
      <w:r>
        <w:rPr>
          <w:rFonts w:hint="eastAsia"/>
        </w:rPr>
        <w:t>3.0m</w:t>
      </w:r>
      <w:r>
        <w:rPr>
          <w:rFonts w:hint="eastAsia"/>
        </w:rPr>
        <w:t>，排距</w:t>
      </w:r>
      <w:r>
        <w:rPr>
          <w:rFonts w:hint="eastAsia"/>
        </w:rPr>
        <w:t>1.1m</w:t>
      </w:r>
      <w:r>
        <w:rPr>
          <w:rFonts w:hint="eastAsia"/>
        </w:rPr>
        <w:t>，孔径</w:t>
      </w:r>
      <w:r>
        <w:rPr>
          <w:rFonts w:hint="eastAsia"/>
        </w:rPr>
        <w:t>75mm</w:t>
      </w:r>
      <w:r>
        <w:rPr>
          <w:rFonts w:hint="eastAsia"/>
        </w:rPr>
        <w:t>，帷幕灌浆拟采用水泥浆液灌注，分三序进行，先灌Ⅰ序孔，再灌Ⅱ序孔，最后灌Ⅲ序孔。帷幕孔采用</w:t>
      </w:r>
      <w:r>
        <w:rPr>
          <w:rFonts w:hint="eastAsia"/>
        </w:rPr>
        <w:t>SGZ</w:t>
      </w:r>
      <w:r>
        <w:rPr>
          <w:rFonts w:hint="eastAsia"/>
        </w:rPr>
        <w:t>－Ⅰ型液压钻机钻孔，</w:t>
      </w:r>
      <w:r>
        <w:rPr>
          <w:rFonts w:hint="eastAsia"/>
        </w:rPr>
        <w:t>BW250/50</w:t>
      </w:r>
      <w:r>
        <w:rPr>
          <w:rFonts w:hint="eastAsia"/>
        </w:rPr>
        <w:t>型灌浆泵灌浆。</w:t>
      </w:r>
    </w:p>
    <w:p w:rsidR="006175A6" w:rsidRDefault="009B4BA7">
      <w:pPr>
        <w:ind w:firstLine="480"/>
      </w:pPr>
      <w:r>
        <w:rPr>
          <w:rFonts w:hint="eastAsia"/>
        </w:rPr>
        <w:t>③接缝灌浆和接触灌浆</w:t>
      </w:r>
    </w:p>
    <w:p w:rsidR="006175A6" w:rsidRDefault="009B4BA7">
      <w:pPr>
        <w:ind w:firstLine="480"/>
      </w:pPr>
      <w:r>
        <w:rPr>
          <w:rFonts w:hint="eastAsia"/>
        </w:rPr>
        <w:t>接缝灌浆采用坝内预埋灌浆系统单灌区灌浆法，灌浆分区高度</w:t>
      </w:r>
      <w:r>
        <w:rPr>
          <w:rFonts w:hint="eastAsia"/>
        </w:rPr>
        <w:t>15m</w:t>
      </w:r>
      <w:r>
        <w:rPr>
          <w:rFonts w:hint="eastAsia"/>
        </w:rPr>
        <w:t>左右，如水平止浆片失效，上下两层相互串通时，则须按上下灌区同时灌浆的要求进行灌浆，灌浆压力由试验确定。</w:t>
      </w:r>
    </w:p>
    <w:p w:rsidR="006175A6" w:rsidRDefault="009B4BA7">
      <w:pPr>
        <w:ind w:firstLine="480"/>
      </w:pPr>
      <w:r>
        <w:rPr>
          <w:rFonts w:hint="eastAsia"/>
        </w:rPr>
        <w:t>（</w:t>
      </w:r>
      <w:r>
        <w:rPr>
          <w:rFonts w:hint="eastAsia"/>
        </w:rPr>
        <w:t>4</w:t>
      </w:r>
      <w:r>
        <w:rPr>
          <w:rFonts w:hint="eastAsia"/>
        </w:rPr>
        <w:t>）大坝混凝土浇筑</w:t>
      </w:r>
    </w:p>
    <w:p w:rsidR="006175A6" w:rsidRDefault="009B4BA7">
      <w:pPr>
        <w:ind w:firstLine="480"/>
      </w:pPr>
      <w:r>
        <w:rPr>
          <w:rFonts w:hint="eastAsia"/>
        </w:rPr>
        <w:t>常态混凝土采用插入式振捣器振捣浇筑，大坝上下游面变态混凝土采用推土机铺料，人工喷洒水泥浆液，插入式振捣器振捣浇筑。大体积碾压混凝土采用</w:t>
      </w:r>
      <w:r>
        <w:rPr>
          <w:rFonts w:hint="eastAsia"/>
        </w:rPr>
        <w:t>59kW</w:t>
      </w:r>
      <w:r>
        <w:rPr>
          <w:rFonts w:hint="eastAsia"/>
        </w:rPr>
        <w:t>推土机摊铺，</w:t>
      </w:r>
      <w:r>
        <w:rPr>
          <w:rFonts w:hint="eastAsia"/>
        </w:rPr>
        <w:t>BW200</w:t>
      </w:r>
      <w:r>
        <w:rPr>
          <w:rFonts w:hint="eastAsia"/>
        </w:rPr>
        <w:t>型振动碾碾压。碾压混凝土采用</w:t>
      </w:r>
      <w:r>
        <w:rPr>
          <w:rFonts w:hint="eastAsia"/>
        </w:rPr>
        <w:t>15~20t</w:t>
      </w:r>
      <w:r>
        <w:rPr>
          <w:rFonts w:hint="eastAsia"/>
        </w:rPr>
        <w:t>的自卸汽车直接入仓，</w:t>
      </w:r>
      <w:r>
        <w:rPr>
          <w:rFonts w:hint="eastAsia"/>
        </w:rPr>
        <w:t>59kW</w:t>
      </w:r>
      <w:r>
        <w:rPr>
          <w:rFonts w:hint="eastAsia"/>
        </w:rPr>
        <w:t>推土机摊铺，</w:t>
      </w:r>
      <w:r>
        <w:rPr>
          <w:rFonts w:hint="eastAsia"/>
        </w:rPr>
        <w:t>BW200</w:t>
      </w:r>
      <w:r>
        <w:rPr>
          <w:rFonts w:hint="eastAsia"/>
        </w:rPr>
        <w:t>型振动碾碾压。大坝上下游面变态混凝土采用推土机铺料，人工喷洒水泥浆液，插入式振捣器振捣浇筑。常态混凝土（如溢洪道）采用塔吊或汽车吊吊混凝土灌入仓，人工摊铺，插入式振捣器振捣。</w:t>
      </w:r>
    </w:p>
    <w:p w:rsidR="006175A6" w:rsidRDefault="009B4BA7">
      <w:pPr>
        <w:ind w:firstLine="480"/>
      </w:pPr>
      <w:r>
        <w:rPr>
          <w:rFonts w:hint="eastAsia"/>
        </w:rPr>
        <w:t>水库主体工程施工较集中，主要分布于坝区，工程对环境主要环境影响如下：</w:t>
      </w:r>
    </w:p>
    <w:p w:rsidR="006175A6" w:rsidRDefault="009B4BA7">
      <w:pPr>
        <w:ind w:firstLine="480"/>
      </w:pPr>
      <w:r>
        <w:rPr>
          <w:rFonts w:hint="eastAsia"/>
        </w:rPr>
        <w:t>①环境空气质量：机械运行等过程中将产生扬尘、尾气、公路施工等烟尘、粉尘会对施工人员和距离施工区较近的居民产生一定影响。</w:t>
      </w:r>
    </w:p>
    <w:p w:rsidR="006175A6" w:rsidRDefault="009B4BA7">
      <w:pPr>
        <w:ind w:firstLine="480"/>
      </w:pPr>
      <w:r>
        <w:rPr>
          <w:rFonts w:hint="eastAsia"/>
        </w:rPr>
        <w:t>②水环境：坝基帷幕灌浆、溢洪道浇筑、防浪墙施工、隧洞衬砌、取水建筑物浇筑等混凝土工程产生的废水中</w:t>
      </w:r>
      <w:r>
        <w:rPr>
          <w:rFonts w:hint="eastAsia"/>
        </w:rPr>
        <w:t>SS</w:t>
      </w:r>
      <w:r>
        <w:rPr>
          <w:rFonts w:hint="eastAsia"/>
        </w:rPr>
        <w:t>含量高，土石方开挖、填筑可能产生水土</w:t>
      </w:r>
      <w:r>
        <w:rPr>
          <w:rFonts w:hint="eastAsia"/>
        </w:rPr>
        <w:lastRenderedPageBreak/>
        <w:t>流失，均可能对水质产生一定不利影响。</w:t>
      </w:r>
    </w:p>
    <w:p w:rsidR="006175A6" w:rsidRDefault="009B4BA7">
      <w:pPr>
        <w:ind w:firstLine="480"/>
      </w:pPr>
      <w:r>
        <w:rPr>
          <w:rFonts w:hint="eastAsia"/>
        </w:rPr>
        <w:t>③声环境：坝体碾压、混凝土拌合及施工、运输机械运行等产生大量噪声，对施工区声环境和现场施工人员可能带来一定影响。</w:t>
      </w:r>
    </w:p>
    <w:p w:rsidR="006175A6" w:rsidRDefault="009B4BA7">
      <w:pPr>
        <w:ind w:firstLine="480"/>
      </w:pPr>
      <w:r>
        <w:rPr>
          <w:rFonts w:hint="eastAsia"/>
        </w:rPr>
        <w:t>④生态影响：程施工将占用部分林地，对坝区陆生植被造成一定扰动和破坏工机械运行、施工人员频繁活动会对坝区陆生动物产生惊扰，施工占地导致陆生动物生境缩小，会对其觅食、栖息产生一定影响。施工填筑、开挖和混凝土养护废水、基坑废水若排放河道，会导致局部水域水体悬浮物浓度增加，水质下降，对水生生物和鱼类栖息产生不利影响。</w:t>
      </w:r>
    </w:p>
    <w:p w:rsidR="006175A6" w:rsidRDefault="009B4BA7">
      <w:pPr>
        <w:pStyle w:val="4"/>
      </w:pPr>
      <w:r>
        <w:rPr>
          <w:rFonts w:hint="eastAsia"/>
        </w:rPr>
        <w:t>输水隧洞施工</w:t>
      </w:r>
    </w:p>
    <w:p w:rsidR="006175A6" w:rsidRDefault="009B4BA7">
      <w:pPr>
        <w:ind w:firstLine="480"/>
      </w:pPr>
      <w:r>
        <w:rPr>
          <w:rFonts w:hint="eastAsia"/>
        </w:rPr>
        <w:t>输水推荐方案为：输水隧洞和连接建筑物相结合。该方案输水线路总长</w:t>
      </w:r>
      <w:r>
        <w:rPr>
          <w:rFonts w:hint="eastAsia"/>
        </w:rPr>
        <w:t>23.7km</w:t>
      </w:r>
      <w:r>
        <w:rPr>
          <w:rFonts w:hint="eastAsia"/>
        </w:rPr>
        <w:t>，其中，隧洞长</w:t>
      </w:r>
      <w:r>
        <w:rPr>
          <w:rFonts w:hint="eastAsia"/>
        </w:rPr>
        <w:t>23.3km</w:t>
      </w:r>
      <w:r>
        <w:rPr>
          <w:rFonts w:hint="eastAsia"/>
        </w:rPr>
        <w:t>；连接建筑物（箱涵）总长</w:t>
      </w:r>
      <w:r>
        <w:rPr>
          <w:rFonts w:hint="eastAsia"/>
        </w:rPr>
        <w:t>0.4km</w:t>
      </w:r>
      <w:r>
        <w:rPr>
          <w:rFonts w:hint="eastAsia"/>
        </w:rPr>
        <w:t>。在河道右岸布置竖井式进水口，后接输水隧洞。输水隧洞在梨园沟、板桥湾、小寨沟、黑沟、红山沟、斗子沟、钟家沟、寨沟、渣刺沟、庙沟、青林垭、淹水埫、龙洞湾等</w:t>
      </w:r>
      <w:r>
        <w:rPr>
          <w:rFonts w:hint="eastAsia"/>
        </w:rPr>
        <w:t>13</w:t>
      </w:r>
      <w:r>
        <w:rPr>
          <w:rFonts w:hint="eastAsia"/>
        </w:rPr>
        <w:t>个支沟处用过沟箱涵相连接。</w:t>
      </w:r>
    </w:p>
    <w:p w:rsidR="006175A6" w:rsidRDefault="009B4BA7">
      <w:pPr>
        <w:ind w:firstLine="480"/>
      </w:pPr>
      <w:r>
        <w:rPr>
          <w:rFonts w:hint="eastAsia"/>
        </w:rPr>
        <w:t>（</w:t>
      </w:r>
      <w:r>
        <w:rPr>
          <w:rFonts w:hint="eastAsia"/>
        </w:rPr>
        <w:t>1</w:t>
      </w:r>
      <w:r>
        <w:rPr>
          <w:rFonts w:hint="eastAsia"/>
        </w:rPr>
        <w:t>）进水口施工</w:t>
      </w:r>
    </w:p>
    <w:p w:rsidR="006175A6" w:rsidRDefault="009B4BA7">
      <w:pPr>
        <w:ind w:firstLine="480"/>
      </w:pPr>
      <w:r>
        <w:rPr>
          <w:rFonts w:hint="eastAsia"/>
        </w:rPr>
        <w:t>进水口采用的是岸塔式进水口，进水口采用分层取水方案，分别在高程</w:t>
      </w:r>
      <w:r>
        <w:rPr>
          <w:rFonts w:hint="eastAsia"/>
        </w:rPr>
        <w:t>1012.40m</w:t>
      </w:r>
      <w:r>
        <w:rPr>
          <w:rFonts w:hint="eastAsia"/>
        </w:rPr>
        <w:t>和</w:t>
      </w:r>
      <w:r>
        <w:rPr>
          <w:rFonts w:hint="eastAsia"/>
        </w:rPr>
        <w:t>1032.40m</w:t>
      </w:r>
      <w:r>
        <w:rPr>
          <w:rFonts w:hint="eastAsia"/>
        </w:rPr>
        <w:t>处设置两处取水钢管，取水钢管直径</w:t>
      </w:r>
      <w:r>
        <w:rPr>
          <w:rFonts w:hint="eastAsia"/>
        </w:rPr>
        <w:t>D=1.0m</w:t>
      </w:r>
      <w:r>
        <w:rPr>
          <w:rFonts w:hint="eastAsia"/>
        </w:rPr>
        <w:t>，取水钢管前设拦污罩。进水口采用中间导洞、至上而下、预裂爆破的施工方法。</w:t>
      </w:r>
    </w:p>
    <w:p w:rsidR="006175A6" w:rsidRDefault="009B4BA7">
      <w:pPr>
        <w:ind w:firstLine="480"/>
      </w:pPr>
      <w:r>
        <w:rPr>
          <w:rFonts w:hint="eastAsia"/>
        </w:rPr>
        <w:t>隧洞进出口自上而下采用风钻削坡，由外向内全断面掘进，各隧洞进出口均存有局部危石块体，施工中应预先清除，进出口施工时</w:t>
      </w:r>
      <w:r>
        <w:rPr>
          <w:rFonts w:hint="eastAsia"/>
        </w:rPr>
        <w:t>5~10m</w:t>
      </w:r>
      <w:r>
        <w:rPr>
          <w:rFonts w:hint="eastAsia"/>
        </w:rPr>
        <w:t>范围内要作喷锚支护处理，与坝体工程同期施工。</w:t>
      </w:r>
    </w:p>
    <w:p w:rsidR="006175A6" w:rsidRDefault="009B4BA7">
      <w:pPr>
        <w:ind w:firstLine="480"/>
      </w:pPr>
      <w:r>
        <w:rPr>
          <w:rFonts w:hint="eastAsia"/>
        </w:rPr>
        <w:t>（</w:t>
      </w:r>
      <w:r>
        <w:rPr>
          <w:rFonts w:hint="eastAsia"/>
        </w:rPr>
        <w:t>2</w:t>
      </w:r>
      <w:r>
        <w:rPr>
          <w:rFonts w:hint="eastAsia"/>
        </w:rPr>
        <w:t>）过沟箱涵施工</w:t>
      </w:r>
    </w:p>
    <w:p w:rsidR="006175A6" w:rsidRDefault="009B4BA7">
      <w:pPr>
        <w:ind w:firstLine="480"/>
      </w:pPr>
      <w:r>
        <w:rPr>
          <w:rFonts w:hint="eastAsia"/>
        </w:rPr>
        <w:t>过沟连接建筑物均采用箱涵。断面为宽×高＝</w:t>
      </w:r>
      <w:r>
        <w:rPr>
          <w:rFonts w:hint="eastAsia"/>
        </w:rPr>
        <w:t>2.1</w:t>
      </w:r>
      <w:r>
        <w:rPr>
          <w:rFonts w:hint="eastAsia"/>
        </w:rPr>
        <w:t>×</w:t>
      </w:r>
      <w:r>
        <w:rPr>
          <w:rFonts w:hint="eastAsia"/>
        </w:rPr>
        <w:t>2.1m</w:t>
      </w:r>
      <w:r>
        <w:rPr>
          <w:rFonts w:hint="eastAsia"/>
        </w:rPr>
        <w:t>的矩形断面，纵坡为</w:t>
      </w:r>
      <w:r>
        <w:rPr>
          <w:rFonts w:hint="eastAsia"/>
        </w:rPr>
        <w:t>0.2</w:t>
      </w:r>
      <w:r>
        <w:rPr>
          <w:rFonts w:hint="eastAsia"/>
        </w:rPr>
        <w:t>‰。箱涵工程土方开挖</w:t>
      </w:r>
      <w:r>
        <w:rPr>
          <w:rFonts w:hint="eastAsia"/>
        </w:rPr>
        <w:t>1022m</w:t>
      </w:r>
      <w:r>
        <w:rPr>
          <w:rFonts w:hint="eastAsia"/>
        </w:rPr>
        <w:t>³，混凝土浇筑</w:t>
      </w:r>
      <w:r>
        <w:rPr>
          <w:rFonts w:hint="eastAsia"/>
        </w:rPr>
        <w:t>1209m</w:t>
      </w:r>
      <w:r>
        <w:rPr>
          <w:rFonts w:hint="eastAsia"/>
        </w:rPr>
        <w:t>³，钢筋制作安装</w:t>
      </w:r>
      <w:r>
        <w:rPr>
          <w:rFonts w:hint="eastAsia"/>
        </w:rPr>
        <w:t>87t</w:t>
      </w:r>
      <w:r>
        <w:rPr>
          <w:rFonts w:hint="eastAsia"/>
        </w:rPr>
        <w:t>。过沟箱涵施工按以下工序进行：施工准备——测量放线定位——基槽开挖——人工清理基底——地基加固——箱涵底板钢筋混凝土——墙身及顶板钢筋混凝土——拆模及养护——回填历实——清理、竣工。</w:t>
      </w:r>
    </w:p>
    <w:p w:rsidR="006175A6" w:rsidRDefault="009B4BA7">
      <w:pPr>
        <w:ind w:firstLine="480"/>
      </w:pPr>
      <w:r>
        <w:rPr>
          <w:rFonts w:hint="eastAsia"/>
        </w:rPr>
        <w:t>土方采用反铲式挖掘机开挖，自卸汽车运土至弃土场堆放。石方采用手风钻钻孔，浅孔爆破开挖。</w:t>
      </w:r>
    </w:p>
    <w:p w:rsidR="006175A6" w:rsidRDefault="009B4BA7">
      <w:pPr>
        <w:ind w:firstLine="480"/>
      </w:pPr>
      <w:r>
        <w:rPr>
          <w:rFonts w:hint="eastAsia"/>
        </w:rPr>
        <w:lastRenderedPageBreak/>
        <w:t>（</w:t>
      </w:r>
      <w:r>
        <w:rPr>
          <w:rFonts w:hint="eastAsia"/>
        </w:rPr>
        <w:t>3</w:t>
      </w:r>
      <w:r>
        <w:rPr>
          <w:rFonts w:hint="eastAsia"/>
        </w:rPr>
        <w:t>）输水隧洞施工</w:t>
      </w:r>
    </w:p>
    <w:p w:rsidR="006175A6" w:rsidRDefault="009B4BA7">
      <w:pPr>
        <w:ind w:firstLine="480"/>
      </w:pPr>
      <w:r>
        <w:rPr>
          <w:rFonts w:hint="eastAsia"/>
        </w:rPr>
        <w:t>隧洞进出口开挖：自上而下采用风钻削坡，由外向内全断面掘进，人工装胶轮架子车出碴。各隧洞进出口均存有局部危石块体，施工中应预先清除，进出口施工时</w:t>
      </w:r>
      <w:r>
        <w:rPr>
          <w:rFonts w:hint="eastAsia"/>
        </w:rPr>
        <w:t>5~10m</w:t>
      </w:r>
      <w:r>
        <w:rPr>
          <w:rFonts w:hint="eastAsia"/>
        </w:rPr>
        <w:t>范围内作喷锚支护处理。</w:t>
      </w:r>
    </w:p>
    <w:p w:rsidR="006175A6" w:rsidRDefault="009B4BA7">
      <w:pPr>
        <w:ind w:firstLine="480"/>
      </w:pPr>
      <w:r>
        <w:rPr>
          <w:rFonts w:hint="eastAsia"/>
        </w:rPr>
        <w:t>洞身开挖：采用气腿式风钻钻孔，全断面光面爆破，扒渣机装渣，采用</w:t>
      </w:r>
      <w:r>
        <w:rPr>
          <w:rFonts w:hint="eastAsia"/>
        </w:rPr>
        <w:t>4t</w:t>
      </w:r>
      <w:r>
        <w:rPr>
          <w:rFonts w:hint="eastAsia"/>
        </w:rPr>
        <w:t>农用自卸车。再由自卸汽车转运至指定地点。根据地质需要，洞口边坡可采用喷锚支护。对于隧洞洞身长大于</w:t>
      </w:r>
      <w:r>
        <w:rPr>
          <w:rFonts w:hint="eastAsia"/>
        </w:rPr>
        <w:t>400m</w:t>
      </w:r>
      <w:r>
        <w:rPr>
          <w:rFonts w:hint="eastAsia"/>
        </w:rPr>
        <w:t>的长洞，在适当位置设置倒车道，开挖断面按宽</w:t>
      </w:r>
      <w:r>
        <w:rPr>
          <w:rFonts w:hint="eastAsia"/>
        </w:rPr>
        <w:t>2.5m</w:t>
      </w:r>
      <w:r>
        <w:rPr>
          <w:rFonts w:hint="eastAsia"/>
        </w:rPr>
        <w:t>，高</w:t>
      </w:r>
      <w:r>
        <w:rPr>
          <w:rFonts w:hint="eastAsia"/>
        </w:rPr>
        <w:t>2.7m</w:t>
      </w:r>
      <w:r>
        <w:rPr>
          <w:rFonts w:hint="eastAsia"/>
        </w:rPr>
        <w:t>计算扩挖量，扩挖部分在洞底衬砌混凝土前，用浆砌石或混凝土补填。</w:t>
      </w:r>
    </w:p>
    <w:p w:rsidR="006175A6" w:rsidRDefault="009B4BA7">
      <w:pPr>
        <w:ind w:firstLine="480"/>
      </w:pPr>
      <w:r>
        <w:rPr>
          <w:rFonts w:hint="eastAsia"/>
        </w:rPr>
        <w:t>输水隧洞开挖主要环境影响如下：</w:t>
      </w:r>
    </w:p>
    <w:p w:rsidR="006175A6" w:rsidRDefault="009B4BA7">
      <w:pPr>
        <w:ind w:firstLine="480"/>
      </w:pPr>
      <w:r>
        <w:rPr>
          <w:rFonts w:hint="eastAsia"/>
        </w:rPr>
        <w:t>①大气环境：车辆运输等施工过程中产生粉尘、扬尘、车辆尾气等，对施工区大气环境和现场施工人员可能带来一定影响。</w:t>
      </w:r>
    </w:p>
    <w:p w:rsidR="006175A6" w:rsidRDefault="009B4BA7">
      <w:pPr>
        <w:ind w:firstLine="480"/>
      </w:pPr>
      <w:r>
        <w:rPr>
          <w:rFonts w:hint="eastAsia"/>
        </w:rPr>
        <w:t>②水环境：隧道开挖对地下水以及沿线的河流有一定的影响。影响时间为施工开采期。</w:t>
      </w:r>
    </w:p>
    <w:p w:rsidR="006175A6" w:rsidRDefault="009B4BA7">
      <w:pPr>
        <w:ind w:firstLine="480"/>
      </w:pPr>
      <w:r>
        <w:rPr>
          <w:rFonts w:hint="eastAsia"/>
        </w:rPr>
        <w:t>③声环境：隧道开发过程机械噪声对施工区声环境和现场施工人员可能带来一定影响。</w:t>
      </w:r>
    </w:p>
    <w:p w:rsidR="006175A6" w:rsidRDefault="009B4BA7">
      <w:pPr>
        <w:ind w:firstLine="480"/>
      </w:pPr>
      <w:r>
        <w:rPr>
          <w:rFonts w:hint="eastAsia"/>
        </w:rPr>
        <w:t>④生态环境：施工区会导致的水土流失，弃渣的堆放影响生态环境的美观。生态影响主要发生在施工期，属于可逆影响。</w:t>
      </w:r>
    </w:p>
    <w:p w:rsidR="006175A6" w:rsidRDefault="009B4BA7">
      <w:pPr>
        <w:pStyle w:val="4"/>
      </w:pPr>
      <w:r>
        <w:rPr>
          <w:rFonts w:hint="eastAsia"/>
        </w:rPr>
        <w:t>辅助设施运行和其它活动</w:t>
      </w:r>
    </w:p>
    <w:p w:rsidR="006175A6" w:rsidRDefault="009B4BA7">
      <w:pPr>
        <w:ind w:firstLine="480"/>
      </w:pPr>
      <w:r>
        <w:rPr>
          <w:rFonts w:hint="eastAsia"/>
        </w:rPr>
        <w:t>（</w:t>
      </w:r>
      <w:r>
        <w:rPr>
          <w:rFonts w:hint="eastAsia"/>
        </w:rPr>
        <w:t>1</w:t>
      </w:r>
      <w:r>
        <w:rPr>
          <w:rFonts w:hint="eastAsia"/>
        </w:rPr>
        <w:t>）弃渣堆放</w:t>
      </w:r>
    </w:p>
    <w:p w:rsidR="006175A6" w:rsidRDefault="009B4BA7">
      <w:pPr>
        <w:ind w:firstLine="480"/>
      </w:pPr>
      <w:r>
        <w:rPr>
          <w:rFonts w:hint="eastAsia"/>
        </w:rPr>
        <w:t>本工程经土石方平衡，工程共计永久弃渣</w:t>
      </w:r>
      <w:r>
        <w:rPr>
          <w:rFonts w:hint="eastAsia"/>
        </w:rPr>
        <w:t>16.6</w:t>
      </w:r>
      <w:r>
        <w:rPr>
          <w:rFonts w:hint="eastAsia"/>
        </w:rPr>
        <w:t>万</w:t>
      </w:r>
      <w:r>
        <w:rPr>
          <w:rFonts w:hint="eastAsia"/>
        </w:rPr>
        <w:t>m</w:t>
      </w:r>
      <w:r>
        <w:rPr>
          <w:rFonts w:hint="eastAsia"/>
        </w:rPr>
        <w:t>³。现阶段共设置了</w:t>
      </w:r>
      <w:r>
        <w:rPr>
          <w:rFonts w:hint="eastAsia"/>
        </w:rPr>
        <w:t>13</w:t>
      </w:r>
      <w:r>
        <w:rPr>
          <w:rFonts w:hint="eastAsia"/>
        </w:rPr>
        <w:t>处弃渣场，弃渣场总占地面积</w:t>
      </w:r>
      <w:r>
        <w:rPr>
          <w:rFonts w:hint="eastAsia"/>
        </w:rPr>
        <w:t>6.48hm</w:t>
      </w:r>
      <w:r>
        <w:rPr>
          <w:rFonts w:hint="eastAsia"/>
        </w:rPr>
        <w:t>²。</w:t>
      </w:r>
    </w:p>
    <w:p w:rsidR="006175A6" w:rsidRDefault="009B4BA7">
      <w:pPr>
        <w:ind w:firstLine="480"/>
      </w:pPr>
      <w:r>
        <w:rPr>
          <w:rFonts w:hint="eastAsia"/>
        </w:rPr>
        <w:t>土石方工程施工对环境影响主要表现为：</w:t>
      </w:r>
    </w:p>
    <w:p w:rsidR="006175A6" w:rsidRDefault="009B4BA7">
      <w:pPr>
        <w:ind w:firstLine="480"/>
      </w:pPr>
      <w:r>
        <w:rPr>
          <w:rFonts w:hint="eastAsia"/>
        </w:rPr>
        <w:t>①环境空气：土石方施工中的开挖、爆破、汽车出渣等施工过程中产生粉尘、扬尘、车辆尾气等，对施工区环境空气质量可能带来一定影响。②声环境：施工开挖、爆破、汽车出渣等所使用的各类钻机、运输车辆等施工机械运行，对施工区声环境可能带来一定影响。③水土流失：工程施工中产生的弃渣处置不当易产生水土流失。④生态环境：左右岸弃渣场均占用了一定面积的植被，堆渣对坝区植被造成破坏。</w:t>
      </w:r>
    </w:p>
    <w:p w:rsidR="006175A6" w:rsidRDefault="009B4BA7">
      <w:pPr>
        <w:ind w:firstLine="480"/>
      </w:pPr>
      <w:r>
        <w:rPr>
          <w:rFonts w:hint="eastAsia"/>
        </w:rPr>
        <w:lastRenderedPageBreak/>
        <w:t>（</w:t>
      </w:r>
      <w:r>
        <w:rPr>
          <w:rFonts w:hint="eastAsia"/>
        </w:rPr>
        <w:t>2</w:t>
      </w:r>
      <w:r>
        <w:rPr>
          <w:rFonts w:hint="eastAsia"/>
        </w:rPr>
        <w:t>）施工人员活动</w:t>
      </w:r>
    </w:p>
    <w:p w:rsidR="006175A6" w:rsidRDefault="009B4BA7">
      <w:pPr>
        <w:ind w:firstLine="480"/>
      </w:pPr>
      <w:r>
        <w:rPr>
          <w:rFonts w:hint="eastAsia"/>
        </w:rPr>
        <w:t>水库工程的高峰期施工人数为</w:t>
      </w:r>
      <w:r>
        <w:rPr>
          <w:rFonts w:hint="eastAsia"/>
        </w:rPr>
        <w:t>300</w:t>
      </w:r>
      <w:r>
        <w:rPr>
          <w:rFonts w:hint="eastAsia"/>
        </w:rPr>
        <w:t>人，主要分布坝区。施工人员活动主要对水环境、人群健康及固体废物等环境因子产生影响。施工人员产生的生活污水和生活垃圾，对施工区环境和附近水体水质可能产生一定影响，主要影响因子为</w:t>
      </w:r>
      <w:r>
        <w:rPr>
          <w:rFonts w:hint="eastAsia"/>
        </w:rPr>
        <w:t>BOD</w:t>
      </w:r>
      <w:r>
        <w:rPr>
          <w:rFonts w:hint="eastAsia"/>
          <w:vertAlign w:val="subscript"/>
        </w:rPr>
        <w:t>5</w:t>
      </w:r>
      <w:r>
        <w:rPr>
          <w:rFonts w:hint="eastAsia"/>
        </w:rPr>
        <w:t>、</w:t>
      </w:r>
      <w:r>
        <w:rPr>
          <w:rFonts w:hint="eastAsia"/>
        </w:rPr>
        <w:t>COD</w:t>
      </w:r>
      <w:r>
        <w:rPr>
          <w:rFonts w:hint="eastAsia"/>
        </w:rPr>
        <w:t>及</w:t>
      </w:r>
      <w:r>
        <w:rPr>
          <w:rFonts w:hint="eastAsia"/>
        </w:rPr>
        <w:t>NH</w:t>
      </w:r>
      <w:r>
        <w:rPr>
          <w:rFonts w:hint="eastAsia"/>
          <w:vertAlign w:val="subscript"/>
        </w:rPr>
        <w:t>3</w:t>
      </w:r>
      <w:r>
        <w:rPr>
          <w:rFonts w:hint="eastAsia"/>
        </w:rPr>
        <w:t>-N</w:t>
      </w:r>
      <w:r>
        <w:rPr>
          <w:rFonts w:hint="eastAsia"/>
        </w:rPr>
        <w:t>等；同时施工人员进驻施工区，使施工区人口密度增大，增大了施工人员间传染病相互感染的可能性，对人群健康带来一定影响。</w:t>
      </w:r>
    </w:p>
    <w:p w:rsidR="006175A6" w:rsidRDefault="009B4BA7">
      <w:pPr>
        <w:ind w:firstLine="480"/>
      </w:pPr>
      <w:r>
        <w:rPr>
          <w:rFonts w:hint="eastAsia"/>
        </w:rPr>
        <w:t>（</w:t>
      </w:r>
      <w:r>
        <w:rPr>
          <w:rFonts w:hint="eastAsia"/>
        </w:rPr>
        <w:t>4</w:t>
      </w:r>
      <w:r>
        <w:rPr>
          <w:rFonts w:hint="eastAsia"/>
        </w:rPr>
        <w:t>）交通</w:t>
      </w:r>
    </w:p>
    <w:p w:rsidR="006175A6" w:rsidRDefault="009B4BA7">
      <w:pPr>
        <w:ind w:firstLine="480"/>
      </w:pPr>
      <w:r>
        <w:rPr>
          <w:rFonts w:hint="eastAsia"/>
        </w:rPr>
        <w:t>①道路建设</w:t>
      </w:r>
    </w:p>
    <w:p w:rsidR="006175A6" w:rsidRDefault="009B4BA7">
      <w:pPr>
        <w:ind w:firstLine="480"/>
      </w:pPr>
      <w:r>
        <w:rPr>
          <w:rFonts w:hint="eastAsia"/>
        </w:rPr>
        <w:t>工程施工期间，场内交通运输除利用现有对外公路外，尚需新建或改建场内至各施工区的施工临时道路。道路施工对大气环境、声环境、水土流失、陆生生态、土地利用等环境因子产生一定影响，主要表现在：</w:t>
      </w:r>
    </w:p>
    <w:p w:rsidR="006175A6" w:rsidRDefault="009B4BA7">
      <w:pPr>
        <w:ind w:firstLine="480"/>
      </w:pPr>
      <w:r>
        <w:rPr>
          <w:rFonts w:hint="eastAsia"/>
        </w:rPr>
        <w:t>1</w:t>
      </w:r>
      <w:r>
        <w:rPr>
          <w:rFonts w:hint="eastAsia"/>
        </w:rPr>
        <w:t>）大气环境：路面开挖、填筑、爆破及机械运行等过程产生的粉尘、扬尘、车辆尾气等，对施工路段环境空气质量和现场施工人员可能带来一定影响。</w:t>
      </w:r>
    </w:p>
    <w:p w:rsidR="006175A6" w:rsidRDefault="009B4BA7">
      <w:pPr>
        <w:ind w:firstLine="480"/>
      </w:pPr>
      <w:r>
        <w:rPr>
          <w:rFonts w:hint="eastAsia"/>
        </w:rPr>
        <w:t>2</w:t>
      </w:r>
      <w:r>
        <w:rPr>
          <w:rFonts w:hint="eastAsia"/>
        </w:rPr>
        <w:t>）声环境：路面开挖、填筑、爆破及机械运行过程中产生噪声，对施工路段声环境和现场施工人员可能带来一定影响。</w:t>
      </w:r>
    </w:p>
    <w:p w:rsidR="006175A6" w:rsidRDefault="009B4BA7">
      <w:pPr>
        <w:ind w:firstLine="480"/>
      </w:pPr>
      <w:r>
        <w:rPr>
          <w:rFonts w:hint="eastAsia"/>
        </w:rPr>
        <w:t>3</w:t>
      </w:r>
      <w:r>
        <w:rPr>
          <w:rFonts w:hint="eastAsia"/>
        </w:rPr>
        <w:t>）水土流失：道路建设需要开挖、填筑的土石方量相对较大，水保措施不到位易产生水土流失。</w:t>
      </w:r>
    </w:p>
    <w:p w:rsidR="006175A6" w:rsidRDefault="009B4BA7">
      <w:pPr>
        <w:ind w:firstLine="480"/>
      </w:pPr>
      <w:r>
        <w:rPr>
          <w:rFonts w:hint="eastAsia"/>
        </w:rPr>
        <w:t>4</w:t>
      </w:r>
      <w:r>
        <w:rPr>
          <w:rFonts w:hint="eastAsia"/>
        </w:rPr>
        <w:t>）陆生生态：道路施工破坏或扰动道路沿线原有的陆生植物。</w:t>
      </w:r>
    </w:p>
    <w:p w:rsidR="006175A6" w:rsidRDefault="009B4BA7">
      <w:pPr>
        <w:ind w:firstLine="480"/>
      </w:pPr>
      <w:r>
        <w:rPr>
          <w:rFonts w:hint="eastAsia"/>
        </w:rPr>
        <w:t>5</w:t>
      </w:r>
      <w:r>
        <w:rPr>
          <w:rFonts w:hint="eastAsia"/>
        </w:rPr>
        <w:t>）土地利用：道路建设将占用一定面积的土地，对土地利用有一定影响。</w:t>
      </w:r>
    </w:p>
    <w:p w:rsidR="006175A6" w:rsidRDefault="009B4BA7">
      <w:pPr>
        <w:ind w:firstLine="480"/>
      </w:pPr>
      <w:r>
        <w:rPr>
          <w:rFonts w:hint="eastAsia"/>
        </w:rPr>
        <w:t>②交通运输</w:t>
      </w:r>
    </w:p>
    <w:p w:rsidR="006175A6" w:rsidRDefault="009B4BA7">
      <w:pPr>
        <w:ind w:firstLine="480"/>
      </w:pPr>
      <w:r>
        <w:rPr>
          <w:rFonts w:hint="eastAsia"/>
        </w:rPr>
        <w:t>水库及灌区工程所需的砂石骨料、水泥、钢筋、钢材、木材、炸药、油料、机电设备等各种原材料均由对外公路运抵各施工点；条</w:t>
      </w:r>
      <w:r w:rsidR="00E97427">
        <w:rPr>
          <w:rFonts w:hint="eastAsia"/>
        </w:rPr>
        <w:t>（</w:t>
      </w:r>
      <w:r>
        <w:rPr>
          <w:rFonts w:hint="eastAsia"/>
        </w:rPr>
        <w:t>块</w:t>
      </w:r>
      <w:r w:rsidR="00E97427">
        <w:rPr>
          <w:rFonts w:hint="eastAsia"/>
        </w:rPr>
        <w:t>）</w:t>
      </w:r>
      <w:r>
        <w:rPr>
          <w:rFonts w:hint="eastAsia"/>
        </w:rPr>
        <w:t>石、石渣料等从料场由临时道路运至各施工点。</w:t>
      </w:r>
    </w:p>
    <w:p w:rsidR="006175A6" w:rsidRDefault="009B4BA7">
      <w:pPr>
        <w:ind w:firstLine="480"/>
      </w:pPr>
      <w:r>
        <w:rPr>
          <w:rFonts w:hint="eastAsia"/>
        </w:rPr>
        <w:t>工程原材料及弃渣运输主要对道路沿线环境空气质量、声环境、固体废弃物、交通等环境因子产生一定影响，主要表现为：</w:t>
      </w:r>
    </w:p>
    <w:p w:rsidR="006175A6" w:rsidRDefault="009B4BA7">
      <w:pPr>
        <w:ind w:firstLine="480"/>
      </w:pPr>
      <w:r>
        <w:rPr>
          <w:rFonts w:hint="eastAsia"/>
        </w:rPr>
        <w:t>1</w:t>
      </w:r>
      <w:r>
        <w:rPr>
          <w:rFonts w:hint="eastAsia"/>
        </w:rPr>
        <w:t>）环境空气质量：土石料、弃渣、混凝土等运输过程中易产生粉尘、扬尘，其污染物主要为</w:t>
      </w:r>
      <w:r>
        <w:rPr>
          <w:rFonts w:hint="eastAsia"/>
        </w:rPr>
        <w:t>TSP</w:t>
      </w:r>
      <w:r>
        <w:rPr>
          <w:rFonts w:hint="eastAsia"/>
        </w:rPr>
        <w:t>、</w:t>
      </w:r>
      <w:r>
        <w:rPr>
          <w:rFonts w:hint="eastAsia"/>
        </w:rPr>
        <w:t>PM</w:t>
      </w:r>
      <w:r>
        <w:rPr>
          <w:rFonts w:hint="eastAsia"/>
          <w:vertAlign w:val="subscript"/>
        </w:rPr>
        <w:t>10</w:t>
      </w:r>
      <w:r>
        <w:rPr>
          <w:rFonts w:hint="eastAsia"/>
        </w:rPr>
        <w:t>等；运输汽车将尾气排放，主要污染物为</w:t>
      </w:r>
      <w:r>
        <w:rPr>
          <w:rFonts w:hint="eastAsia"/>
        </w:rPr>
        <w:t>NO</w:t>
      </w:r>
      <w:r>
        <w:rPr>
          <w:rFonts w:hint="eastAsia"/>
          <w:vertAlign w:val="subscript"/>
        </w:rPr>
        <w:t>2</w:t>
      </w:r>
      <w:r>
        <w:rPr>
          <w:rFonts w:hint="eastAsia"/>
        </w:rPr>
        <w:t>、</w:t>
      </w:r>
      <w:r>
        <w:rPr>
          <w:rFonts w:hint="eastAsia"/>
        </w:rPr>
        <w:t>SO</w:t>
      </w:r>
      <w:r>
        <w:rPr>
          <w:rFonts w:hint="eastAsia"/>
          <w:vertAlign w:val="subscript"/>
        </w:rPr>
        <w:t>2</w:t>
      </w:r>
      <w:r>
        <w:rPr>
          <w:rFonts w:hint="eastAsia"/>
        </w:rPr>
        <w:t>，这些都将会对运输沿线的环境空气质量产生影响。</w:t>
      </w:r>
    </w:p>
    <w:p w:rsidR="006175A6" w:rsidRDefault="009B4BA7">
      <w:pPr>
        <w:ind w:firstLine="480"/>
      </w:pPr>
      <w:r>
        <w:rPr>
          <w:rFonts w:hint="eastAsia"/>
        </w:rPr>
        <w:t>2</w:t>
      </w:r>
      <w:r>
        <w:rPr>
          <w:rFonts w:hint="eastAsia"/>
        </w:rPr>
        <w:t>）声环境：载重车辆行驶途中产生的噪声等级较高，对道路沿线区域造成</w:t>
      </w:r>
      <w:r>
        <w:rPr>
          <w:rFonts w:hint="eastAsia"/>
        </w:rPr>
        <w:lastRenderedPageBreak/>
        <w:t>一定影响。</w:t>
      </w:r>
    </w:p>
    <w:p w:rsidR="006175A6" w:rsidRDefault="009B4BA7">
      <w:pPr>
        <w:ind w:firstLine="480"/>
      </w:pPr>
      <w:r>
        <w:rPr>
          <w:rFonts w:hint="eastAsia"/>
        </w:rPr>
        <w:t>3</w:t>
      </w:r>
      <w:r>
        <w:rPr>
          <w:rFonts w:hint="eastAsia"/>
        </w:rPr>
        <w:t>）固体废弃物：运输土石料、砂石料、弃渣过程中，容易洒落，对路面清洁造成一定影响。</w:t>
      </w:r>
    </w:p>
    <w:p w:rsidR="006175A6" w:rsidRDefault="009B4BA7">
      <w:pPr>
        <w:ind w:firstLine="480"/>
      </w:pPr>
      <w:r>
        <w:rPr>
          <w:rFonts w:hint="eastAsia"/>
        </w:rPr>
        <w:t>4</w:t>
      </w:r>
      <w:r>
        <w:rPr>
          <w:rFonts w:hint="eastAsia"/>
        </w:rPr>
        <w:t>）交通：运输原材料及弃渣的车辆往返会增大局部公路的交通压力，对周边居民出行造成一定影响。</w:t>
      </w:r>
    </w:p>
    <w:p w:rsidR="006175A6" w:rsidRDefault="009B4BA7">
      <w:pPr>
        <w:pStyle w:val="3"/>
      </w:pPr>
      <w:r>
        <w:rPr>
          <w:rFonts w:hint="eastAsia"/>
        </w:rPr>
        <w:t>水库淹没</w:t>
      </w:r>
    </w:p>
    <w:p w:rsidR="006175A6" w:rsidRDefault="009B4BA7">
      <w:pPr>
        <w:ind w:firstLine="480"/>
      </w:pPr>
      <w:r>
        <w:rPr>
          <w:rFonts w:hint="eastAsia"/>
        </w:rPr>
        <w:t>两河口水库正常蓄水位</w:t>
      </w:r>
      <w:r>
        <w:rPr>
          <w:rFonts w:hint="eastAsia"/>
        </w:rPr>
        <w:t>1058.0m</w:t>
      </w:r>
      <w:r>
        <w:rPr>
          <w:rFonts w:hint="eastAsia"/>
        </w:rPr>
        <w:t>，总库容为</w:t>
      </w:r>
      <w:r>
        <w:rPr>
          <w:rFonts w:hint="eastAsia"/>
        </w:rPr>
        <w:t>1075</w:t>
      </w:r>
      <w:r>
        <w:rPr>
          <w:rFonts w:hint="eastAsia"/>
        </w:rPr>
        <w:t>万</w:t>
      </w:r>
      <w:r>
        <w:rPr>
          <w:rFonts w:hint="eastAsia"/>
        </w:rPr>
        <w:t>m</w:t>
      </w:r>
      <w:r>
        <w:rPr>
          <w:rFonts w:hint="eastAsia"/>
        </w:rPr>
        <w:t>³，水面面积为</w:t>
      </w:r>
      <w:r>
        <w:rPr>
          <w:rFonts w:hint="eastAsia"/>
        </w:rPr>
        <w:t>0.39km</w:t>
      </w:r>
      <w:r>
        <w:rPr>
          <w:rFonts w:hint="eastAsia"/>
          <w:vertAlign w:val="superscript"/>
        </w:rPr>
        <w:t>2</w:t>
      </w:r>
      <w:r>
        <w:rPr>
          <w:rFonts w:hint="eastAsia"/>
        </w:rPr>
        <w:t>，水库淹没影响范围主要涉及榛子乡石柱村。水库淹没及影响区</w:t>
      </w:r>
      <w:r>
        <w:rPr>
          <w:rFonts w:hint="eastAsia"/>
        </w:rPr>
        <w:t>494.50</w:t>
      </w:r>
      <w:r>
        <w:rPr>
          <w:rFonts w:hint="eastAsia"/>
        </w:rPr>
        <w:t>亩，其中：灌木林</w:t>
      </w:r>
      <w:r>
        <w:rPr>
          <w:rFonts w:hint="eastAsia"/>
        </w:rPr>
        <w:t>211.1</w:t>
      </w:r>
      <w:r>
        <w:rPr>
          <w:rFonts w:hint="eastAsia"/>
        </w:rPr>
        <w:t>亩，交通运输用地</w:t>
      </w:r>
      <w:r>
        <w:rPr>
          <w:rFonts w:hint="eastAsia"/>
        </w:rPr>
        <w:t>46.6</w:t>
      </w:r>
      <w:r>
        <w:rPr>
          <w:rFonts w:hint="eastAsia"/>
        </w:rPr>
        <w:t>亩，水域及水利设施用地</w:t>
      </w:r>
      <w:r>
        <w:rPr>
          <w:rFonts w:hint="eastAsia"/>
        </w:rPr>
        <w:t>76.7</w:t>
      </w:r>
      <w:r>
        <w:rPr>
          <w:rFonts w:hint="eastAsia"/>
        </w:rPr>
        <w:t>亩，未利用地</w:t>
      </w:r>
      <w:r>
        <w:rPr>
          <w:rFonts w:hint="eastAsia"/>
        </w:rPr>
        <w:t>160.1</w:t>
      </w:r>
      <w:r>
        <w:rPr>
          <w:rFonts w:hint="eastAsia"/>
        </w:rPr>
        <w:t>亩。</w:t>
      </w:r>
    </w:p>
    <w:p w:rsidR="006175A6" w:rsidRDefault="009B4BA7">
      <w:pPr>
        <w:ind w:firstLine="480"/>
      </w:pPr>
      <w:r>
        <w:rPr>
          <w:rFonts w:hint="eastAsia"/>
        </w:rPr>
        <w:t>水库蓄水淹没农田植被和人工林植被，引起库区植物生物量变化；水库淹没引起门家河水生态生境类型变化、水生生物及鱼类资源种群数量和优势种群变化；水库淹没陆地造成野生动物生境损失，导致野生动物种群数量、分布范围变化等。</w:t>
      </w:r>
    </w:p>
    <w:p w:rsidR="006175A6" w:rsidRDefault="009B4BA7">
      <w:pPr>
        <w:ind w:firstLine="480"/>
      </w:pPr>
      <w:r>
        <w:rPr>
          <w:rFonts w:hint="eastAsia"/>
        </w:rPr>
        <w:t>水库蓄水初期，被淹没土壤与植被中的有机物分解向水体释放营养物质，有可能引起水环境问题。另外，水库蓄水过程中有可能引发滑坡、渗漏等环境地质问题。</w:t>
      </w:r>
    </w:p>
    <w:p w:rsidR="006175A6" w:rsidRDefault="009B4BA7">
      <w:pPr>
        <w:ind w:firstLine="480"/>
      </w:pPr>
      <w:r>
        <w:rPr>
          <w:rFonts w:hint="eastAsia"/>
        </w:rPr>
        <w:t>总体上，水库淹没主要表现为对陆生生态、水生生态、社会经济、水环境等环境的影响。</w:t>
      </w:r>
    </w:p>
    <w:p w:rsidR="006175A6" w:rsidRDefault="009B4BA7">
      <w:pPr>
        <w:pStyle w:val="3"/>
      </w:pPr>
      <w:r>
        <w:rPr>
          <w:rFonts w:hint="eastAsia"/>
        </w:rPr>
        <w:t>移民安置</w:t>
      </w:r>
    </w:p>
    <w:p w:rsidR="006175A6" w:rsidRDefault="009B4BA7">
      <w:pPr>
        <w:ind w:firstLine="480"/>
      </w:pPr>
      <w:r>
        <w:rPr>
          <w:rFonts w:hint="eastAsia"/>
        </w:rPr>
        <w:t>本项目未涉及人口、房屋搬迁，主要安置为种植业安置，表现为对社会经济、生态环境等方面的影响。</w:t>
      </w:r>
    </w:p>
    <w:p w:rsidR="006175A6" w:rsidRDefault="009B4BA7">
      <w:pPr>
        <w:ind w:firstLine="480"/>
      </w:pPr>
      <w:r>
        <w:rPr>
          <w:rFonts w:hint="eastAsia"/>
        </w:rPr>
        <w:t>①社会经济：随着各项移民资金的投入，水利生产配套设施及移民区生活设施完善，对移民安置区的生产和生活条件产生影响，从而对安置区社会经济产生影响。</w:t>
      </w:r>
    </w:p>
    <w:p w:rsidR="006175A6" w:rsidRDefault="009B4BA7">
      <w:pPr>
        <w:ind w:firstLine="480"/>
      </w:pPr>
      <w:r>
        <w:rPr>
          <w:rFonts w:hint="eastAsia"/>
        </w:rPr>
        <w:t>③生态环境：开垦耕地造成植被破坏和水土流失，复建工程</w:t>
      </w:r>
      <w:r w:rsidR="00E97427">
        <w:rPr>
          <w:rFonts w:hint="eastAsia"/>
        </w:rPr>
        <w:t>（</w:t>
      </w:r>
      <w:r>
        <w:rPr>
          <w:rFonts w:hint="eastAsia"/>
        </w:rPr>
        <w:t>公路、输电线路</w:t>
      </w:r>
      <w:r w:rsidR="00E97427">
        <w:rPr>
          <w:rFonts w:hint="eastAsia"/>
        </w:rPr>
        <w:t>）</w:t>
      </w:r>
      <w:r>
        <w:rPr>
          <w:rFonts w:hint="eastAsia"/>
        </w:rPr>
        <w:t>引起的植被破坏、水体扰动和水土流失。</w:t>
      </w:r>
    </w:p>
    <w:p w:rsidR="006175A6" w:rsidRDefault="009B4BA7">
      <w:pPr>
        <w:pStyle w:val="3"/>
      </w:pPr>
      <w:r>
        <w:rPr>
          <w:rFonts w:hint="eastAsia"/>
        </w:rPr>
        <w:lastRenderedPageBreak/>
        <w:t>工程运行</w:t>
      </w:r>
    </w:p>
    <w:p w:rsidR="006175A6" w:rsidRDefault="009B4BA7">
      <w:pPr>
        <w:pStyle w:val="4"/>
      </w:pPr>
      <w:r>
        <w:rPr>
          <w:rFonts w:hint="eastAsia"/>
        </w:rPr>
        <w:t>水文情势</w:t>
      </w:r>
    </w:p>
    <w:p w:rsidR="006175A6" w:rsidRDefault="009B4BA7">
      <w:pPr>
        <w:ind w:firstLine="480"/>
      </w:pPr>
      <w:r>
        <w:rPr>
          <w:rFonts w:hint="eastAsia"/>
        </w:rPr>
        <w:t>（</w:t>
      </w:r>
      <w:r>
        <w:rPr>
          <w:rFonts w:hint="eastAsia"/>
        </w:rPr>
        <w:t>1</w:t>
      </w:r>
      <w:r>
        <w:rPr>
          <w:rFonts w:hint="eastAsia"/>
        </w:rPr>
        <w:t>）水位</w:t>
      </w:r>
    </w:p>
    <w:p w:rsidR="006175A6" w:rsidRDefault="009B4BA7">
      <w:pPr>
        <w:ind w:firstLine="480"/>
      </w:pPr>
      <w:r>
        <w:rPr>
          <w:rFonts w:hint="eastAsia"/>
        </w:rPr>
        <w:t>水库蓄水后，对水位的影响比较明显。建库前为天然河道，水库受流量的影响大，当来水流量大时水位高，当来水流量小时水位低。两河口水库建成后，水位主要在死水位</w:t>
      </w:r>
      <w:r w:rsidR="00E97427">
        <w:rPr>
          <w:rFonts w:hint="eastAsia"/>
        </w:rPr>
        <w:t>（</w:t>
      </w:r>
      <w:r>
        <w:rPr>
          <w:rFonts w:hint="eastAsia"/>
        </w:rPr>
        <w:t>1013m</w:t>
      </w:r>
      <w:r w:rsidR="00E97427">
        <w:rPr>
          <w:rFonts w:hint="eastAsia"/>
        </w:rPr>
        <w:t>）</w:t>
      </w:r>
      <w:r>
        <w:rPr>
          <w:rFonts w:hint="eastAsia"/>
        </w:rPr>
        <w:t>～正常蓄水位</w:t>
      </w:r>
      <w:r w:rsidR="00E97427">
        <w:rPr>
          <w:rFonts w:hint="eastAsia"/>
        </w:rPr>
        <w:t>（</w:t>
      </w:r>
      <w:r>
        <w:rPr>
          <w:rFonts w:hint="eastAsia"/>
        </w:rPr>
        <w:t>1058m</w:t>
      </w:r>
      <w:r w:rsidR="00E97427">
        <w:rPr>
          <w:rFonts w:hint="eastAsia"/>
        </w:rPr>
        <w:t>）</w:t>
      </w:r>
      <w:r>
        <w:rPr>
          <w:rFonts w:hint="eastAsia"/>
        </w:rPr>
        <w:t>之间变化。当汛期，短时间内水库水位有可能到设计洪水</w:t>
      </w:r>
      <w:r>
        <w:rPr>
          <w:rFonts w:hint="eastAsia"/>
        </w:rPr>
        <w:t>1058m</w:t>
      </w:r>
      <w:r w:rsidR="00E97427">
        <w:rPr>
          <w:rFonts w:hint="eastAsia"/>
        </w:rPr>
        <w:t>（</w:t>
      </w:r>
      <w:r>
        <w:rPr>
          <w:rFonts w:hint="eastAsia"/>
        </w:rPr>
        <w:t>当发生设计洪水时</w:t>
      </w:r>
      <w:r w:rsidR="00E97427">
        <w:rPr>
          <w:rFonts w:hint="eastAsia"/>
        </w:rPr>
        <w:t>）</w:t>
      </w:r>
      <w:r>
        <w:rPr>
          <w:rFonts w:hint="eastAsia"/>
        </w:rPr>
        <w:t>和校核洪水位</w:t>
      </w:r>
      <w:r>
        <w:rPr>
          <w:rFonts w:hint="eastAsia"/>
        </w:rPr>
        <w:t>1060m</w:t>
      </w:r>
      <w:r w:rsidR="00E97427">
        <w:rPr>
          <w:rFonts w:hint="eastAsia"/>
        </w:rPr>
        <w:t>（</w:t>
      </w:r>
      <w:r>
        <w:rPr>
          <w:rFonts w:hint="eastAsia"/>
        </w:rPr>
        <w:t>当发生校核洪水时</w:t>
      </w:r>
      <w:r w:rsidR="00E97427">
        <w:rPr>
          <w:rFonts w:hint="eastAsia"/>
        </w:rPr>
        <w:t>）</w:t>
      </w:r>
      <w:r>
        <w:rPr>
          <w:rFonts w:hint="eastAsia"/>
        </w:rPr>
        <w:t>。</w:t>
      </w:r>
    </w:p>
    <w:p w:rsidR="006175A6" w:rsidRDefault="009B4BA7">
      <w:pPr>
        <w:ind w:firstLine="480"/>
      </w:pPr>
      <w:r>
        <w:rPr>
          <w:rFonts w:hint="eastAsia"/>
        </w:rPr>
        <w:t>两河口水库建成后，将在坝址下游河道形成</w:t>
      </w:r>
      <w:r>
        <w:rPr>
          <w:rFonts w:hint="eastAsia"/>
        </w:rPr>
        <w:t>4.15km</w:t>
      </w:r>
      <w:r>
        <w:rPr>
          <w:rFonts w:hint="eastAsia"/>
        </w:rPr>
        <w:t>的减水河段，减水河段内流量将明显减少，区间流域面积较小，区间径流主要为由水库的下泄流量与坡面汇流流量组成。但由于坝体内埋设有生态输水管，可以保证下游生态流量为</w:t>
      </w:r>
      <w:r>
        <w:rPr>
          <w:rFonts w:hint="eastAsia"/>
        </w:rPr>
        <w:t>0.312m</w:t>
      </w:r>
      <w:r>
        <w:rPr>
          <w:rFonts w:hint="eastAsia"/>
        </w:rPr>
        <w:t>³</w:t>
      </w:r>
      <w:r>
        <w:rPr>
          <w:rFonts w:hint="eastAsia"/>
        </w:rPr>
        <w:t>/s</w:t>
      </w:r>
      <w:r>
        <w:rPr>
          <w:rFonts w:hint="eastAsia"/>
        </w:rPr>
        <w:t>，不存在断流风险。</w:t>
      </w:r>
    </w:p>
    <w:p w:rsidR="006175A6" w:rsidRDefault="009B4BA7">
      <w:pPr>
        <w:ind w:firstLine="480"/>
      </w:pPr>
      <w:r>
        <w:rPr>
          <w:rFonts w:hint="eastAsia"/>
        </w:rPr>
        <w:t>（</w:t>
      </w:r>
      <w:r>
        <w:rPr>
          <w:rFonts w:hint="eastAsia"/>
        </w:rPr>
        <w:t>2</w:t>
      </w:r>
      <w:r>
        <w:rPr>
          <w:rFonts w:hint="eastAsia"/>
        </w:rPr>
        <w:t>）流速</w:t>
      </w:r>
    </w:p>
    <w:p w:rsidR="006175A6" w:rsidRDefault="009B4BA7">
      <w:pPr>
        <w:ind w:firstLine="480"/>
      </w:pPr>
      <w:r>
        <w:rPr>
          <w:rFonts w:hint="eastAsia"/>
        </w:rPr>
        <w:t>根据两河口水库坝址地形、运行水位、泥沙淤积等情况分析，建库后库区河段的流速将发生较大变化。汛期，水库水位基本维持正常蓄水位不变，库区河段流速由于水位抬高的影响而减小，库尾河段的平均流速较天然状态下变化不大，坝前河段平均流速较天然状态减小很多。</w:t>
      </w:r>
    </w:p>
    <w:p w:rsidR="006175A6" w:rsidRDefault="009B4BA7">
      <w:pPr>
        <w:ind w:firstLine="480"/>
      </w:pPr>
      <w:r>
        <w:rPr>
          <w:rFonts w:hint="eastAsia"/>
        </w:rPr>
        <w:t>（</w:t>
      </w:r>
      <w:r>
        <w:rPr>
          <w:rFonts w:hint="eastAsia"/>
        </w:rPr>
        <w:t>3</w:t>
      </w:r>
      <w:r>
        <w:rPr>
          <w:rFonts w:hint="eastAsia"/>
        </w:rPr>
        <w:t>）水面面积</w:t>
      </w:r>
    </w:p>
    <w:p w:rsidR="006175A6" w:rsidRDefault="009B4BA7">
      <w:pPr>
        <w:ind w:firstLine="480"/>
      </w:pPr>
      <w:r>
        <w:rPr>
          <w:rFonts w:hint="eastAsia"/>
        </w:rPr>
        <w:t>未建水库前，两河口水库库区呈天然河道状态，水面面积较小，为狭长型河道；水库建成运行后，由于水库水位常年在死水位和正常蓄水位之间变化，库区水面面积增大。</w:t>
      </w:r>
    </w:p>
    <w:p w:rsidR="006175A6" w:rsidRDefault="009B4BA7">
      <w:pPr>
        <w:pStyle w:val="4"/>
      </w:pPr>
      <w:r>
        <w:rPr>
          <w:rFonts w:hint="eastAsia"/>
        </w:rPr>
        <w:t>水资源变化</w:t>
      </w:r>
    </w:p>
    <w:p w:rsidR="006175A6" w:rsidRDefault="009B4BA7">
      <w:pPr>
        <w:ind w:firstLine="480"/>
      </w:pPr>
      <w:r>
        <w:rPr>
          <w:rFonts w:hint="eastAsia"/>
        </w:rPr>
        <w:t>两河口水库坝址以上流域面积为</w:t>
      </w:r>
      <w:r>
        <w:rPr>
          <w:rFonts w:hint="eastAsia"/>
        </w:rPr>
        <w:t>85km</w:t>
      </w:r>
      <w:r>
        <w:rPr>
          <w:rFonts w:hint="eastAsia"/>
          <w:vertAlign w:val="superscript"/>
        </w:rPr>
        <w:t>2</w:t>
      </w:r>
      <w:r>
        <w:rPr>
          <w:rFonts w:hint="eastAsia"/>
        </w:rPr>
        <w:t>，水库坝址处多年平均流量为</w:t>
      </w:r>
      <w:r>
        <w:rPr>
          <w:rFonts w:hint="eastAsia"/>
        </w:rPr>
        <w:t>1.78m</w:t>
      </w:r>
      <w:r>
        <w:rPr>
          <w:rFonts w:hint="eastAsia"/>
          <w:vertAlign w:val="superscript"/>
        </w:rPr>
        <w:t>3</w:t>
      </w:r>
      <w:r>
        <w:rPr>
          <w:rFonts w:hint="eastAsia"/>
        </w:rPr>
        <w:t>/s</w:t>
      </w:r>
      <w:r>
        <w:rPr>
          <w:rFonts w:hint="eastAsia"/>
        </w:rPr>
        <w:t>，流量较小。两河口水库工程采用水库调节和输水管道，拦河坝下游由于水库拦蓄和部分来水被调走，径流量较天然状态将减少。工程建成运行后，改变了评价区河段的年径流量以及水资源的时间分配，水库的调蓄能力将使下游径流量年内趋于均化。</w:t>
      </w:r>
    </w:p>
    <w:p w:rsidR="006175A6" w:rsidRDefault="009B4BA7">
      <w:pPr>
        <w:pStyle w:val="4"/>
      </w:pPr>
      <w:r>
        <w:rPr>
          <w:rFonts w:hint="eastAsia"/>
        </w:rPr>
        <w:t>泥沙情势</w:t>
      </w:r>
    </w:p>
    <w:p w:rsidR="006175A6" w:rsidRDefault="009B4BA7">
      <w:pPr>
        <w:ind w:firstLine="480"/>
      </w:pPr>
      <w:r>
        <w:rPr>
          <w:rFonts w:hint="eastAsia"/>
        </w:rPr>
        <w:t>两河口水库大坝建成后水力因素发生改变，水库河段较天然河段状态流量减</w:t>
      </w:r>
      <w:r>
        <w:rPr>
          <w:rFonts w:hint="eastAsia"/>
        </w:rPr>
        <w:lastRenderedPageBreak/>
        <w:t>缓，从而导致泥沙容易在水库落淤，造成泥沙淤积情况会较建坝前增大。下游河道在水库蓄水期由于拦沙量大、排沙量小，沙量减少。而在泄流孔泄洪期由于冲刷作用，下游河道的沙量增多。</w:t>
      </w:r>
    </w:p>
    <w:p w:rsidR="006175A6" w:rsidRDefault="009B4BA7">
      <w:pPr>
        <w:pStyle w:val="2"/>
      </w:pPr>
      <w:bookmarkStart w:id="50" w:name="_Toc80170103"/>
      <w:r>
        <w:rPr>
          <w:rFonts w:hint="eastAsia"/>
        </w:rPr>
        <w:t>施工期污染源强分析</w:t>
      </w:r>
      <w:bookmarkEnd w:id="50"/>
    </w:p>
    <w:p w:rsidR="006175A6" w:rsidRDefault="009B4BA7">
      <w:pPr>
        <w:ind w:firstLine="480"/>
      </w:pPr>
      <w:r>
        <w:rPr>
          <w:rFonts w:hint="eastAsia"/>
        </w:rPr>
        <w:t>施工期对环境的作用因素包括主体工程施工（大坝工程、库区防渗工程、输水管道工程）、施工道路修筑、建筑材料加工厂建设（砂石加工系统、混凝土拌合系统、机修厂、加工厂等）、弃渣运输、施工营地布设、道路交通运输及清库等，这些作用因素将构成对生态环境的影响或产生污染源影响区域环境质量。</w:t>
      </w:r>
    </w:p>
    <w:p w:rsidR="006175A6" w:rsidRDefault="009B4BA7">
      <w:pPr>
        <w:pStyle w:val="3"/>
      </w:pPr>
      <w:r>
        <w:rPr>
          <w:rFonts w:hint="eastAsia"/>
        </w:rPr>
        <w:t>废气</w:t>
      </w:r>
    </w:p>
    <w:p w:rsidR="006175A6" w:rsidRDefault="009B4BA7">
      <w:pPr>
        <w:ind w:firstLine="480"/>
      </w:pPr>
      <w:r>
        <w:rPr>
          <w:rFonts w:hint="eastAsia"/>
        </w:rPr>
        <w:t>本工程施工期大气污染物主要为施工扬尘、粉尘、机械尾气和生活燃料废气。</w:t>
      </w:r>
    </w:p>
    <w:p w:rsidR="006175A6" w:rsidRDefault="009B4BA7">
      <w:pPr>
        <w:ind w:firstLine="480"/>
      </w:pPr>
      <w:r>
        <w:rPr>
          <w:rFonts w:hint="eastAsia"/>
        </w:rPr>
        <w:t>（</w:t>
      </w:r>
      <w:r>
        <w:rPr>
          <w:rFonts w:hint="eastAsia"/>
        </w:rPr>
        <w:t>1</w:t>
      </w:r>
      <w:r>
        <w:rPr>
          <w:rFonts w:hint="eastAsia"/>
        </w:rPr>
        <w:t>）施工爆破产生的废气及粉尘</w:t>
      </w:r>
    </w:p>
    <w:p w:rsidR="006175A6" w:rsidRDefault="009B4BA7">
      <w:pPr>
        <w:ind w:firstLine="480"/>
      </w:pPr>
      <w:r>
        <w:rPr>
          <w:rFonts w:hint="eastAsia"/>
        </w:rPr>
        <w:t>根据工程施工进度及料场和主体工程开挖爆破强度，本工程共需要消耗</w:t>
      </w:r>
      <w:r>
        <w:rPr>
          <w:rFonts w:hint="eastAsia"/>
        </w:rPr>
        <w:t>412t</w:t>
      </w:r>
      <w:r>
        <w:rPr>
          <w:rFonts w:hint="eastAsia"/>
        </w:rPr>
        <w:t>。根据《工程爆破中的灾害及控制》中的数据，爆炸产生的</w:t>
      </w:r>
      <w:r>
        <w:rPr>
          <w:rFonts w:hint="eastAsia"/>
        </w:rPr>
        <w:t>CO</w:t>
      </w:r>
      <w:r>
        <w:rPr>
          <w:rFonts w:hint="eastAsia"/>
        </w:rPr>
        <w:t>产生量为</w:t>
      </w:r>
      <w:r>
        <w:rPr>
          <w:rFonts w:hint="eastAsia"/>
        </w:rPr>
        <w:t>6.3g/kg</w:t>
      </w:r>
      <w:r>
        <w:rPr>
          <w:rFonts w:hint="eastAsia"/>
        </w:rPr>
        <w:t>炸药，</w:t>
      </w:r>
      <w:r>
        <w:rPr>
          <w:rFonts w:hint="eastAsia"/>
        </w:rPr>
        <w:t>NO</w:t>
      </w:r>
      <w:r>
        <w:rPr>
          <w:rFonts w:hint="eastAsia"/>
          <w:vertAlign w:val="subscript"/>
        </w:rPr>
        <w:t>2</w:t>
      </w:r>
      <w:r>
        <w:rPr>
          <w:rFonts w:hint="eastAsia"/>
        </w:rPr>
        <w:t>产生量为</w:t>
      </w:r>
      <w:r>
        <w:rPr>
          <w:rFonts w:hint="eastAsia"/>
        </w:rPr>
        <w:t>14.6g/kg</w:t>
      </w:r>
      <w:r>
        <w:rPr>
          <w:rFonts w:hint="eastAsia"/>
        </w:rPr>
        <w:t>炸药，爆破粉尘产生量根据同类工程类比，约为</w:t>
      </w:r>
      <w:r>
        <w:rPr>
          <w:rFonts w:hint="eastAsia"/>
        </w:rPr>
        <w:t xml:space="preserve">183.51g/kg </w:t>
      </w:r>
      <w:r>
        <w:rPr>
          <w:rFonts w:hint="eastAsia"/>
        </w:rPr>
        <w:t>炸药。</w:t>
      </w:r>
    </w:p>
    <w:p w:rsidR="006175A6" w:rsidRDefault="009B4BA7">
      <w:pPr>
        <w:ind w:firstLine="480"/>
      </w:pPr>
      <w:r>
        <w:rPr>
          <w:rFonts w:hint="eastAsia"/>
        </w:rPr>
        <w:t>本工程炸药爆破产生的污染物见</w:t>
      </w:r>
      <w:r>
        <w:fldChar w:fldCharType="begin"/>
      </w:r>
      <w:r>
        <w:instrText xml:space="preserve"> </w:instrText>
      </w:r>
      <w:r>
        <w:rPr>
          <w:rFonts w:hint="eastAsia"/>
        </w:rPr>
        <w:instrText>REF _Ref77579301 \h</w:instrText>
      </w:r>
      <w:r>
        <w:instrText xml:space="preserve"> </w:instrText>
      </w:r>
      <w:r>
        <w:fldChar w:fldCharType="separate"/>
      </w:r>
      <w:r w:rsidR="00E97427">
        <w:rPr>
          <w:rFonts w:hint="eastAsia"/>
        </w:rPr>
        <w:t>表</w:t>
      </w:r>
      <w:r w:rsidR="00E97427">
        <w:rPr>
          <w:rFonts w:hint="eastAsia"/>
        </w:rPr>
        <w:t xml:space="preserve"> </w:t>
      </w:r>
      <w:r w:rsidR="00E97427">
        <w:rPr>
          <w:noProof/>
        </w:rPr>
        <w:t>4.3</w:t>
      </w:r>
      <w:r w:rsidR="00E97427">
        <w:noBreakHyphen/>
      </w:r>
      <w:r w:rsidR="00E97427">
        <w:rPr>
          <w:noProof/>
        </w:rPr>
        <w:t>1</w:t>
      </w:r>
      <w:r>
        <w:fldChar w:fldCharType="end"/>
      </w:r>
      <w:r>
        <w:rPr>
          <w:rFonts w:hint="eastAsia"/>
        </w:rPr>
        <w:t>。</w:t>
      </w:r>
    </w:p>
    <w:p w:rsidR="006175A6" w:rsidRDefault="009B4BA7">
      <w:pPr>
        <w:pStyle w:val="a3"/>
      </w:pPr>
      <w:bookmarkStart w:id="51" w:name="_Ref77579301"/>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51"/>
      <w:r>
        <w:rPr>
          <w:rFonts w:hint="eastAsia"/>
        </w:rPr>
        <w:t xml:space="preserve">  </w:t>
      </w:r>
      <w:r>
        <w:rPr>
          <w:rFonts w:hint="eastAsia"/>
        </w:rPr>
        <w:t>施工期炸药产生的污染物统计表</w:t>
      </w:r>
    </w:p>
    <w:tbl>
      <w:tblPr>
        <w:tblW w:w="5000" w:type="pct"/>
        <w:tblLook w:val="04A0" w:firstRow="1" w:lastRow="0" w:firstColumn="1" w:lastColumn="0" w:noHBand="0" w:noVBand="1"/>
      </w:tblPr>
      <w:tblGrid>
        <w:gridCol w:w="1630"/>
        <w:gridCol w:w="1866"/>
        <w:gridCol w:w="1699"/>
        <w:gridCol w:w="1629"/>
        <w:gridCol w:w="1698"/>
      </w:tblGrid>
      <w:tr w:rsidR="006175A6">
        <w:trPr>
          <w:trHeight w:val="340"/>
        </w:trPr>
        <w:tc>
          <w:tcPr>
            <w:tcW w:w="95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项目</w:t>
            </w:r>
          </w:p>
        </w:tc>
        <w:tc>
          <w:tcPr>
            <w:tcW w:w="109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炸药消耗量（</w:t>
            </w:r>
            <w:r>
              <w:rPr>
                <w:color w:val="000000"/>
                <w:kern w:val="0"/>
                <w:sz w:val="21"/>
              </w:rPr>
              <w:t>t</w:t>
            </w:r>
            <w:r>
              <w:rPr>
                <w:color w:val="000000"/>
                <w:kern w:val="0"/>
                <w:sz w:val="21"/>
              </w:rPr>
              <w:t>）</w:t>
            </w:r>
          </w:p>
        </w:tc>
        <w:tc>
          <w:tcPr>
            <w:tcW w:w="99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CO</w:t>
            </w:r>
            <w:r>
              <w:rPr>
                <w:color w:val="000000"/>
                <w:kern w:val="0"/>
                <w:sz w:val="21"/>
              </w:rPr>
              <w:t>（</w:t>
            </w:r>
            <w:r>
              <w:rPr>
                <w:color w:val="000000"/>
                <w:kern w:val="0"/>
                <w:sz w:val="21"/>
              </w:rPr>
              <w:t>kg</w:t>
            </w:r>
            <w:r>
              <w:rPr>
                <w:color w:val="000000"/>
                <w:kern w:val="0"/>
                <w:sz w:val="21"/>
              </w:rPr>
              <w:t>）</w:t>
            </w:r>
          </w:p>
        </w:tc>
        <w:tc>
          <w:tcPr>
            <w:tcW w:w="95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NO</w:t>
            </w:r>
            <w:r>
              <w:rPr>
                <w:color w:val="000000"/>
                <w:kern w:val="0"/>
                <w:sz w:val="21"/>
                <w:vertAlign w:val="subscript"/>
              </w:rPr>
              <w:t>2</w:t>
            </w:r>
            <w:r>
              <w:rPr>
                <w:color w:val="000000"/>
                <w:kern w:val="0"/>
                <w:sz w:val="21"/>
              </w:rPr>
              <w:t>（</w:t>
            </w:r>
            <w:r>
              <w:rPr>
                <w:color w:val="000000"/>
                <w:kern w:val="0"/>
                <w:sz w:val="21"/>
              </w:rPr>
              <w:t>kg</w:t>
            </w:r>
            <w:r>
              <w:rPr>
                <w:color w:val="000000"/>
                <w:kern w:val="0"/>
                <w:sz w:val="21"/>
              </w:rPr>
              <w:t>）</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粉尘（</w:t>
            </w:r>
            <w:r>
              <w:rPr>
                <w:color w:val="000000"/>
                <w:kern w:val="0"/>
                <w:sz w:val="21"/>
              </w:rPr>
              <w:t>kg</w:t>
            </w:r>
            <w:r>
              <w:rPr>
                <w:color w:val="000000"/>
                <w:kern w:val="0"/>
                <w:sz w:val="21"/>
              </w:rPr>
              <w:t>）</w:t>
            </w:r>
          </w:p>
        </w:tc>
      </w:tr>
      <w:tr w:rsidR="006175A6">
        <w:trPr>
          <w:trHeight w:val="340"/>
        </w:trPr>
        <w:tc>
          <w:tcPr>
            <w:tcW w:w="95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产生量</w:t>
            </w:r>
          </w:p>
        </w:tc>
        <w:tc>
          <w:tcPr>
            <w:tcW w:w="109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412</w:t>
            </w:r>
          </w:p>
        </w:tc>
        <w:tc>
          <w:tcPr>
            <w:tcW w:w="99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2595.6</w:t>
            </w:r>
          </w:p>
        </w:tc>
        <w:tc>
          <w:tcPr>
            <w:tcW w:w="95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6015.2</w:t>
            </w:r>
          </w:p>
        </w:tc>
        <w:tc>
          <w:tcPr>
            <w:tcW w:w="9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6175A6" w:rsidRDefault="009B4BA7">
            <w:pPr>
              <w:widowControl/>
              <w:spacing w:line="240" w:lineRule="auto"/>
              <w:ind w:firstLineChars="0" w:firstLine="0"/>
              <w:jc w:val="center"/>
              <w:rPr>
                <w:color w:val="000000"/>
                <w:kern w:val="0"/>
                <w:sz w:val="21"/>
              </w:rPr>
            </w:pPr>
            <w:r>
              <w:rPr>
                <w:color w:val="000000"/>
                <w:kern w:val="0"/>
                <w:sz w:val="21"/>
              </w:rPr>
              <w:t xml:space="preserve">75606.1 </w:t>
            </w:r>
          </w:p>
        </w:tc>
      </w:tr>
    </w:tbl>
    <w:p w:rsidR="006175A6" w:rsidRDefault="009B4BA7">
      <w:pPr>
        <w:ind w:firstLine="480"/>
      </w:pPr>
      <w:r>
        <w:rPr>
          <w:rFonts w:hint="eastAsia"/>
        </w:rPr>
        <w:t>（</w:t>
      </w:r>
      <w:r>
        <w:rPr>
          <w:rFonts w:hint="eastAsia"/>
        </w:rPr>
        <w:t>2</w:t>
      </w:r>
      <w:r>
        <w:rPr>
          <w:rFonts w:hint="eastAsia"/>
        </w:rPr>
        <w:t>）砂石加工系统粉尘</w:t>
      </w:r>
    </w:p>
    <w:p w:rsidR="006175A6" w:rsidRDefault="009B4BA7">
      <w:pPr>
        <w:ind w:firstLine="480"/>
      </w:pPr>
      <w:r>
        <w:rPr>
          <w:rFonts w:hint="eastAsia"/>
        </w:rPr>
        <w:t>砂石加工系统在运行过程中将产生粉尘，属于连续性电源，其分成产生强度根据《三废处理工程技术手册》中的参数、并且类比同类工程统计资料，同时考虑本工程砂石加工原料岩性特点，确定砂石加工系统粉尘排放系数为</w:t>
      </w:r>
      <w:r>
        <w:rPr>
          <w:rFonts w:hint="eastAsia"/>
        </w:rPr>
        <w:t>0.03kg</w:t>
      </w:r>
      <w:r>
        <w:rPr>
          <w:rFonts w:hint="eastAsia"/>
        </w:rPr>
        <w:t>粉尘</w:t>
      </w:r>
      <w:r>
        <w:rPr>
          <w:rFonts w:hint="eastAsia"/>
        </w:rPr>
        <w:t xml:space="preserve">/t </w:t>
      </w:r>
      <w:r>
        <w:rPr>
          <w:rFonts w:hint="eastAsia"/>
        </w:rPr>
        <w:t>骨料，本工程砂石加工系统设计生产能力为</w:t>
      </w:r>
      <w:r>
        <w:rPr>
          <w:rFonts w:hint="eastAsia"/>
        </w:rPr>
        <w:t>200t/h</w:t>
      </w:r>
      <w:r>
        <w:rPr>
          <w:rFonts w:hint="eastAsia"/>
        </w:rPr>
        <w:t>，推算出砂石加工系统粉尘最大排放强度为</w:t>
      </w:r>
      <w:r>
        <w:rPr>
          <w:rFonts w:hint="eastAsia"/>
        </w:rPr>
        <w:t>6kg/h</w:t>
      </w:r>
      <w:r>
        <w:rPr>
          <w:rFonts w:hint="eastAsia"/>
        </w:rPr>
        <w:t>。在采取喷雾洒水、破碎车间密闭等措施的条件下，除尘率将达到</w:t>
      </w:r>
      <w:r>
        <w:rPr>
          <w:rFonts w:hint="eastAsia"/>
        </w:rPr>
        <w:t>90%</w:t>
      </w:r>
      <w:r>
        <w:rPr>
          <w:rFonts w:hint="eastAsia"/>
        </w:rPr>
        <w:t>（其中喷雾洒水除尘</w:t>
      </w:r>
      <w:r>
        <w:rPr>
          <w:rFonts w:hint="eastAsia"/>
        </w:rPr>
        <w:t>80%</w:t>
      </w:r>
      <w:r>
        <w:rPr>
          <w:rFonts w:hint="eastAsia"/>
        </w:rPr>
        <w:t>，密闭控制效率</w:t>
      </w:r>
      <w:r>
        <w:rPr>
          <w:rFonts w:hint="eastAsia"/>
        </w:rPr>
        <w:t>50%</w:t>
      </w:r>
      <w:r>
        <w:rPr>
          <w:rFonts w:hint="eastAsia"/>
        </w:rPr>
        <w:t>），则</w:t>
      </w:r>
      <w:r>
        <w:rPr>
          <w:rFonts w:hint="eastAsia"/>
        </w:rPr>
        <w:t>TSP</w:t>
      </w:r>
      <w:r>
        <w:rPr>
          <w:rFonts w:hint="eastAsia"/>
        </w:rPr>
        <w:t>排放强度为</w:t>
      </w:r>
      <w:r>
        <w:rPr>
          <w:rFonts w:hint="eastAsia"/>
        </w:rPr>
        <w:t>0.6kg/h</w:t>
      </w:r>
      <w:r>
        <w:rPr>
          <w:rFonts w:hint="eastAsia"/>
        </w:rPr>
        <w:t>。</w:t>
      </w:r>
    </w:p>
    <w:p w:rsidR="006175A6" w:rsidRDefault="009B4BA7">
      <w:pPr>
        <w:ind w:firstLine="480"/>
      </w:pPr>
      <w:r>
        <w:rPr>
          <w:rFonts w:hint="eastAsia"/>
        </w:rPr>
        <w:t>（</w:t>
      </w:r>
      <w:r>
        <w:rPr>
          <w:rFonts w:hint="eastAsia"/>
        </w:rPr>
        <w:t>3</w:t>
      </w:r>
      <w:r>
        <w:rPr>
          <w:rFonts w:hint="eastAsia"/>
        </w:rPr>
        <w:t>）混凝土拌合系统粉尘</w:t>
      </w:r>
    </w:p>
    <w:p w:rsidR="006175A6" w:rsidRDefault="009B4BA7">
      <w:pPr>
        <w:ind w:firstLine="480"/>
      </w:pPr>
      <w:r>
        <w:rPr>
          <w:rFonts w:hint="eastAsia"/>
        </w:rPr>
        <w:lastRenderedPageBreak/>
        <w:t>混凝土拌和粉尘主要产生于水泥运输、装卸及混凝土拌和进料过程中。项目共设置</w:t>
      </w:r>
      <w:r>
        <w:rPr>
          <w:rFonts w:hint="eastAsia"/>
        </w:rPr>
        <w:t>1</w:t>
      </w:r>
      <w:r>
        <w:rPr>
          <w:rFonts w:hint="eastAsia"/>
        </w:rPr>
        <w:t>座混凝土拌和站，水泥用量共计</w:t>
      </w:r>
      <w:r>
        <w:rPr>
          <w:rFonts w:hint="eastAsia"/>
        </w:rPr>
        <w:t>2.55</w:t>
      </w:r>
      <w:r>
        <w:rPr>
          <w:rFonts w:hint="eastAsia"/>
        </w:rPr>
        <w:t>万</w:t>
      </w:r>
      <w:r>
        <w:rPr>
          <w:rFonts w:hint="eastAsia"/>
        </w:rPr>
        <w:t>t</w:t>
      </w:r>
      <w:r>
        <w:rPr>
          <w:rFonts w:hint="eastAsia"/>
        </w:rPr>
        <w:t>，混凝土产品量约为</w:t>
      </w:r>
      <w:r>
        <w:rPr>
          <w:rFonts w:hint="eastAsia"/>
        </w:rPr>
        <w:t>15.3</w:t>
      </w:r>
      <w:r>
        <w:rPr>
          <w:rFonts w:hint="eastAsia"/>
        </w:rPr>
        <w:t>万</w:t>
      </w:r>
      <w:r>
        <w:rPr>
          <w:rFonts w:hint="eastAsia"/>
        </w:rPr>
        <w:t>t</w:t>
      </w:r>
      <w:r>
        <w:rPr>
          <w:rFonts w:hint="eastAsia"/>
        </w:rPr>
        <w:t>，根据第二次污染源普查《排放源统计调查产排污核算方法和系数手册》，混凝土制造工艺，物料输送以及搅拌过程产污系数分别为</w:t>
      </w:r>
      <w:r>
        <w:rPr>
          <w:rFonts w:hint="eastAsia"/>
        </w:rPr>
        <w:t>0.12</w:t>
      </w:r>
      <w:r>
        <w:rPr>
          <w:rFonts w:hint="eastAsia"/>
        </w:rPr>
        <w:t>千克</w:t>
      </w:r>
      <w:r>
        <w:rPr>
          <w:rFonts w:hint="eastAsia"/>
        </w:rPr>
        <w:t>/</w:t>
      </w:r>
      <w:r>
        <w:rPr>
          <w:rFonts w:hint="eastAsia"/>
        </w:rPr>
        <w:t>吨</w:t>
      </w:r>
      <w:r>
        <w:rPr>
          <w:rFonts w:hint="eastAsia"/>
        </w:rPr>
        <w:t>-</w:t>
      </w:r>
      <w:r>
        <w:rPr>
          <w:rFonts w:hint="eastAsia"/>
        </w:rPr>
        <w:t>产品、</w:t>
      </w:r>
      <w:r>
        <w:rPr>
          <w:rFonts w:hint="eastAsia"/>
        </w:rPr>
        <w:t>0.13</w:t>
      </w:r>
      <w:r>
        <w:rPr>
          <w:rFonts w:hint="eastAsia"/>
        </w:rPr>
        <w:t>千克</w:t>
      </w:r>
      <w:r>
        <w:rPr>
          <w:rFonts w:hint="eastAsia"/>
        </w:rPr>
        <w:t>/</w:t>
      </w:r>
      <w:r>
        <w:rPr>
          <w:rFonts w:hint="eastAsia"/>
        </w:rPr>
        <w:t>吨</w:t>
      </w:r>
      <w:r>
        <w:rPr>
          <w:rFonts w:hint="eastAsia"/>
        </w:rPr>
        <w:t>-</w:t>
      </w:r>
      <w:r>
        <w:rPr>
          <w:rFonts w:hint="eastAsia"/>
        </w:rPr>
        <w:t>产品，算得混凝土拌合系统粉尘产生量为</w:t>
      </w:r>
      <w:r>
        <w:rPr>
          <w:rFonts w:hint="eastAsia"/>
        </w:rPr>
        <w:t>15.3*0.25*10000*0.001=38.25t</w:t>
      </w:r>
      <w:r>
        <w:rPr>
          <w:rFonts w:hint="eastAsia"/>
        </w:rPr>
        <w:t>，拌和系统粉尘经布袋除尘器（处理效率</w:t>
      </w:r>
      <w:r>
        <w:rPr>
          <w:rFonts w:hint="eastAsia"/>
        </w:rPr>
        <w:t>99.7%</w:t>
      </w:r>
      <w:r>
        <w:rPr>
          <w:rFonts w:hint="eastAsia"/>
        </w:rPr>
        <w:t>）处理之后排放量为</w:t>
      </w:r>
      <w:r>
        <w:rPr>
          <w:rFonts w:hint="eastAsia"/>
        </w:rPr>
        <w:t>0.11t</w:t>
      </w:r>
      <w:r>
        <w:rPr>
          <w:rFonts w:hint="eastAsia"/>
        </w:rPr>
        <w:t>。</w:t>
      </w:r>
    </w:p>
    <w:p w:rsidR="006175A6" w:rsidRDefault="009B4BA7">
      <w:pPr>
        <w:ind w:firstLine="480"/>
      </w:pPr>
      <w:r>
        <w:rPr>
          <w:rFonts w:hint="eastAsia"/>
        </w:rPr>
        <w:t>（</w:t>
      </w:r>
      <w:r>
        <w:rPr>
          <w:rFonts w:hint="eastAsia"/>
        </w:rPr>
        <w:t>4</w:t>
      </w:r>
      <w:r>
        <w:rPr>
          <w:rFonts w:hint="eastAsia"/>
        </w:rPr>
        <w:t>）机械燃油废气</w:t>
      </w:r>
    </w:p>
    <w:p w:rsidR="006175A6" w:rsidRDefault="009B4BA7">
      <w:pPr>
        <w:ind w:firstLine="480"/>
      </w:pPr>
      <w:r>
        <w:rPr>
          <w:rFonts w:hint="eastAsia"/>
        </w:rPr>
        <w:t>主要来源于一些大型施工设备，如挖掘机、装料机等燃油设备作业时产生的废气，以及运输车辆的汽车尾气，主要污染物为</w:t>
      </w:r>
      <w:r>
        <w:rPr>
          <w:rFonts w:hint="eastAsia"/>
        </w:rPr>
        <w:t>NO</w:t>
      </w:r>
      <w:r>
        <w:rPr>
          <w:rFonts w:hint="eastAsia"/>
          <w:vertAlign w:val="subscript"/>
        </w:rPr>
        <w:t>2</w:t>
      </w:r>
      <w:r>
        <w:rPr>
          <w:rFonts w:hint="eastAsia"/>
        </w:rPr>
        <w:t>。本工程共需要消耗油料约</w:t>
      </w:r>
      <w:r>
        <w:rPr>
          <w:rFonts w:hint="eastAsia"/>
        </w:rPr>
        <w:t>300t</w:t>
      </w:r>
      <w:r>
        <w:rPr>
          <w:rFonts w:hint="eastAsia"/>
        </w:rPr>
        <w:t>，根据《水电水利工程施工环境保护技术规范》（</w:t>
      </w:r>
      <w:r>
        <w:rPr>
          <w:rFonts w:hint="eastAsia"/>
        </w:rPr>
        <w:t>DL/T5260-2010</w:t>
      </w:r>
      <w:r>
        <w:rPr>
          <w:rFonts w:hint="eastAsia"/>
        </w:rPr>
        <w:t>），油料的大气污染物排放系数为</w:t>
      </w:r>
      <w:r>
        <w:rPr>
          <w:rFonts w:hint="eastAsia"/>
        </w:rPr>
        <w:t>CO29.35kg/t</w:t>
      </w:r>
      <w:r>
        <w:rPr>
          <w:rFonts w:hint="eastAsia"/>
        </w:rPr>
        <w:t>、</w:t>
      </w:r>
      <w:r>
        <w:rPr>
          <w:rFonts w:hint="eastAsia"/>
        </w:rPr>
        <w:t>NO</w:t>
      </w:r>
      <w:r>
        <w:rPr>
          <w:rFonts w:hint="eastAsia"/>
          <w:vertAlign w:val="subscript"/>
        </w:rPr>
        <w:t>X</w:t>
      </w:r>
      <w:r>
        <w:rPr>
          <w:rFonts w:hint="eastAsia"/>
        </w:rPr>
        <w:t>48.261kg/t</w:t>
      </w:r>
      <w:r>
        <w:rPr>
          <w:rFonts w:hint="eastAsia"/>
        </w:rPr>
        <w:t>、</w:t>
      </w:r>
      <w:r>
        <w:rPr>
          <w:rFonts w:hint="eastAsia"/>
        </w:rPr>
        <w:t>SO</w:t>
      </w:r>
      <w:r>
        <w:rPr>
          <w:rFonts w:hint="eastAsia"/>
          <w:vertAlign w:val="subscript"/>
        </w:rPr>
        <w:t>2</w:t>
      </w:r>
      <w:r>
        <w:rPr>
          <w:rFonts w:hint="eastAsia"/>
        </w:rPr>
        <w:t>3.522kg/t</w:t>
      </w:r>
      <w:r>
        <w:rPr>
          <w:rFonts w:hint="eastAsia"/>
        </w:rPr>
        <w:t>。计算出，产生的污染物</w:t>
      </w:r>
      <w:r>
        <w:rPr>
          <w:rFonts w:hint="eastAsia"/>
        </w:rPr>
        <w:t>CO 8.81 t</w:t>
      </w:r>
      <w:r>
        <w:rPr>
          <w:rFonts w:hint="eastAsia"/>
        </w:rPr>
        <w:t>、</w:t>
      </w:r>
      <w:r>
        <w:rPr>
          <w:rFonts w:hint="eastAsia"/>
        </w:rPr>
        <w:t>NO</w:t>
      </w:r>
      <w:r>
        <w:rPr>
          <w:rFonts w:hint="eastAsia"/>
          <w:vertAlign w:val="subscript"/>
        </w:rPr>
        <w:t xml:space="preserve">X </w:t>
      </w:r>
      <w:r>
        <w:rPr>
          <w:rFonts w:hint="eastAsia"/>
        </w:rPr>
        <w:t>14.48 t</w:t>
      </w:r>
      <w:r>
        <w:rPr>
          <w:rFonts w:hint="eastAsia"/>
        </w:rPr>
        <w:t>、</w:t>
      </w:r>
      <w:r>
        <w:rPr>
          <w:rFonts w:hint="eastAsia"/>
        </w:rPr>
        <w:t>SO</w:t>
      </w:r>
      <w:r>
        <w:rPr>
          <w:rFonts w:hint="eastAsia"/>
          <w:vertAlign w:val="subscript"/>
        </w:rPr>
        <w:t>2</w:t>
      </w:r>
      <w:r>
        <w:rPr>
          <w:rFonts w:hint="eastAsia"/>
        </w:rPr>
        <w:t xml:space="preserve"> 1.06t</w:t>
      </w:r>
      <w:r>
        <w:rPr>
          <w:rFonts w:hint="eastAsia"/>
        </w:rPr>
        <w:t>。</w:t>
      </w:r>
    </w:p>
    <w:p w:rsidR="006175A6" w:rsidRDefault="009B4BA7">
      <w:pPr>
        <w:ind w:firstLine="480"/>
      </w:pPr>
      <w:r>
        <w:rPr>
          <w:rFonts w:hint="eastAsia"/>
        </w:rPr>
        <w:t>（</w:t>
      </w:r>
      <w:r>
        <w:rPr>
          <w:rFonts w:hint="eastAsia"/>
        </w:rPr>
        <w:t>5</w:t>
      </w:r>
      <w:r>
        <w:rPr>
          <w:rFonts w:hint="eastAsia"/>
        </w:rPr>
        <w:t>）生活燃料废气</w:t>
      </w:r>
    </w:p>
    <w:p w:rsidR="006175A6" w:rsidRDefault="009B4BA7">
      <w:pPr>
        <w:ind w:firstLine="480"/>
      </w:pPr>
      <w:r>
        <w:rPr>
          <w:rFonts w:hint="eastAsia"/>
        </w:rPr>
        <w:t>生活区厨房燃料采用电能作为能源，电能为清洁能源，厨房烹饪时间短、菜量少，使用时产生的油烟量和油烟浓度均较小，且为间歇性排放。</w:t>
      </w:r>
    </w:p>
    <w:p w:rsidR="006175A6" w:rsidRDefault="009B4BA7">
      <w:pPr>
        <w:ind w:firstLine="480"/>
      </w:pPr>
      <w:r>
        <w:rPr>
          <w:rFonts w:hint="eastAsia"/>
        </w:rPr>
        <w:t>（</w:t>
      </w:r>
      <w:r>
        <w:rPr>
          <w:rFonts w:hint="eastAsia"/>
        </w:rPr>
        <w:t>6</w:t>
      </w:r>
      <w:r>
        <w:rPr>
          <w:rFonts w:hint="eastAsia"/>
        </w:rPr>
        <w:t>）交通运输产生的扬尘</w:t>
      </w:r>
    </w:p>
    <w:p w:rsidR="006175A6" w:rsidRDefault="009B4BA7">
      <w:pPr>
        <w:ind w:firstLine="480"/>
      </w:pPr>
      <w:r>
        <w:rPr>
          <w:rFonts w:hint="eastAsia"/>
        </w:rPr>
        <w:t>进出施工场地的运输车辆也会造成施工作业场所近地面粉尘浓度的升高，施工及运输车辆引起的扬尘仅对路边</w:t>
      </w:r>
      <w:r>
        <w:rPr>
          <w:rFonts w:hint="eastAsia"/>
        </w:rPr>
        <w:t>30m</w:t>
      </w:r>
      <w:r>
        <w:rPr>
          <w:rFonts w:hint="eastAsia"/>
        </w:rPr>
        <w:t>范围以内影响较大，而且成线形污染，路边的</w:t>
      </w:r>
      <w:r>
        <w:rPr>
          <w:rFonts w:hint="eastAsia"/>
        </w:rPr>
        <w:t>TSP</w:t>
      </w:r>
      <w:r>
        <w:rPr>
          <w:rFonts w:hint="eastAsia"/>
        </w:rPr>
        <w:t>浓度可达</w:t>
      </w:r>
      <w:r>
        <w:rPr>
          <w:rFonts w:hint="eastAsia"/>
        </w:rPr>
        <w:t>10mg/m</w:t>
      </w:r>
      <w:r>
        <w:rPr>
          <w:rFonts w:hint="eastAsia"/>
          <w:vertAlign w:val="superscript"/>
        </w:rPr>
        <w:t>3</w:t>
      </w:r>
      <w:r>
        <w:rPr>
          <w:rFonts w:hint="eastAsia"/>
        </w:rPr>
        <w:t>以上，一般浓度在</w:t>
      </w:r>
      <w:r>
        <w:rPr>
          <w:rFonts w:hint="eastAsia"/>
        </w:rPr>
        <w:t>1.5mg/m</w:t>
      </w:r>
      <w:r>
        <w:rPr>
          <w:rFonts w:hint="eastAsia"/>
          <w:vertAlign w:val="superscript"/>
        </w:rPr>
        <w:t>3</w:t>
      </w:r>
      <w:r>
        <w:rPr>
          <w:rFonts w:hint="eastAsia"/>
        </w:rPr>
        <w:t>~30mg/m</w:t>
      </w:r>
      <w:r>
        <w:rPr>
          <w:rFonts w:hint="eastAsia"/>
          <w:vertAlign w:val="superscript"/>
        </w:rPr>
        <w:t>3</w:t>
      </w:r>
      <w:r>
        <w:rPr>
          <w:rFonts w:hint="eastAsia"/>
        </w:rPr>
        <w:t>。</w:t>
      </w:r>
    </w:p>
    <w:p w:rsidR="006175A6" w:rsidRDefault="009B4BA7">
      <w:pPr>
        <w:pStyle w:val="3"/>
      </w:pPr>
      <w:r>
        <w:rPr>
          <w:rFonts w:hint="eastAsia"/>
        </w:rPr>
        <w:t>废水</w:t>
      </w:r>
    </w:p>
    <w:p w:rsidR="006175A6" w:rsidRDefault="009B4BA7">
      <w:pPr>
        <w:ind w:firstLine="480"/>
      </w:pPr>
      <w:r>
        <w:rPr>
          <w:rFonts w:hint="eastAsia"/>
        </w:rPr>
        <w:t>本项目施工期间的主要水污染源为施工生产废水和施工人员产生的生活污水。</w:t>
      </w:r>
    </w:p>
    <w:p w:rsidR="006175A6" w:rsidRDefault="009B4BA7">
      <w:pPr>
        <w:ind w:firstLine="480"/>
      </w:pPr>
      <w:r>
        <w:rPr>
          <w:rFonts w:hint="eastAsia"/>
        </w:rPr>
        <w:t>（</w:t>
      </w:r>
      <w:r>
        <w:rPr>
          <w:rFonts w:hint="eastAsia"/>
        </w:rPr>
        <w:t>1</w:t>
      </w:r>
      <w:r>
        <w:rPr>
          <w:rFonts w:hint="eastAsia"/>
        </w:rPr>
        <w:t>）生产废水</w:t>
      </w:r>
    </w:p>
    <w:p w:rsidR="006175A6" w:rsidRDefault="009B4BA7">
      <w:pPr>
        <w:ind w:firstLine="480"/>
      </w:pPr>
      <w:r>
        <w:rPr>
          <w:rFonts w:hint="eastAsia"/>
        </w:rPr>
        <w:t>施工废水主要为骨料加工、混凝土拌合等生产时产生的废水，大坝施工围堰基础施工产生的污废水以及施工机械冲洗废水。</w:t>
      </w:r>
    </w:p>
    <w:p w:rsidR="006175A6" w:rsidRDefault="009B4BA7">
      <w:pPr>
        <w:ind w:firstLine="480"/>
      </w:pPr>
      <w:r>
        <w:rPr>
          <w:rFonts w:hint="eastAsia"/>
        </w:rPr>
        <w:t>①石料加工废水</w:t>
      </w:r>
    </w:p>
    <w:p w:rsidR="006175A6" w:rsidRDefault="009B4BA7">
      <w:pPr>
        <w:ind w:firstLine="480"/>
      </w:pPr>
      <w:r>
        <w:rPr>
          <w:rFonts w:hint="eastAsia"/>
        </w:rPr>
        <w:t>本工程在紧邻料场处设置</w:t>
      </w:r>
      <w:r>
        <w:rPr>
          <w:rFonts w:hint="eastAsia"/>
        </w:rPr>
        <w:t>1</w:t>
      </w:r>
      <w:r>
        <w:rPr>
          <w:rFonts w:hint="eastAsia"/>
        </w:rPr>
        <w:t>处砂石料加工系统，砂石料加工系统废水主要为冲洗废水，废水量一般为砂石料冲洗用水量的</w:t>
      </w:r>
      <w:r>
        <w:rPr>
          <w:rFonts w:hint="eastAsia"/>
        </w:rPr>
        <w:t>80%</w:t>
      </w:r>
      <w:r>
        <w:rPr>
          <w:rFonts w:hint="eastAsia"/>
        </w:rPr>
        <w:t>。因料源岩性特征不一，砂石料中含泥量、含沙量有所不同，在筛分过程中所需冲洗用水水量有所差异，其中</w:t>
      </w:r>
      <w:r>
        <w:rPr>
          <w:rFonts w:hint="eastAsia"/>
        </w:rPr>
        <w:lastRenderedPageBreak/>
        <w:t>以含泥量大的石灰岩冲洗用水量一般为</w:t>
      </w:r>
      <w:r>
        <w:rPr>
          <w:rFonts w:hint="eastAsia"/>
        </w:rPr>
        <w:t>2~3t/m</w:t>
      </w:r>
      <w:r>
        <w:rPr>
          <w:rFonts w:hint="eastAsia"/>
          <w:vertAlign w:val="superscript"/>
        </w:rPr>
        <w:t>3</w:t>
      </w:r>
      <w:r>
        <w:rPr>
          <w:rFonts w:hint="eastAsia"/>
        </w:rPr>
        <w:t>，天然砂石料冲洗用水量一般为</w:t>
      </w:r>
      <w:r>
        <w:rPr>
          <w:rFonts w:hint="eastAsia"/>
        </w:rPr>
        <w:t>1t/m</w:t>
      </w:r>
      <w:r>
        <w:rPr>
          <w:rFonts w:hint="eastAsia"/>
          <w:vertAlign w:val="superscript"/>
        </w:rPr>
        <w:t>3</w:t>
      </w:r>
      <w:r>
        <w:rPr>
          <w:rFonts w:hint="eastAsia"/>
        </w:rPr>
        <w:t>左右。本评价以</w:t>
      </w:r>
      <w:r>
        <w:rPr>
          <w:rFonts w:hint="eastAsia"/>
        </w:rPr>
        <w:t>1.2t/m</w:t>
      </w:r>
      <w:r>
        <w:rPr>
          <w:rFonts w:hint="eastAsia"/>
          <w:vertAlign w:val="superscript"/>
        </w:rPr>
        <w:t>3</w:t>
      </w:r>
      <w:r>
        <w:rPr>
          <w:rFonts w:hint="eastAsia"/>
        </w:rPr>
        <w:t>计算，根据可研可知，本项目砂石料工厂最高生产能力为</w:t>
      </w:r>
      <w:r>
        <w:rPr>
          <w:rFonts w:hint="eastAsia"/>
        </w:rPr>
        <w:t>100t/h</w:t>
      </w:r>
      <w:r>
        <w:rPr>
          <w:rFonts w:hint="eastAsia"/>
        </w:rPr>
        <w:t>，砂石密度约为</w:t>
      </w:r>
      <w:r>
        <w:rPr>
          <w:rFonts w:hint="eastAsia"/>
        </w:rPr>
        <w:t>1.5t/m</w:t>
      </w:r>
      <w:r>
        <w:rPr>
          <w:rFonts w:hint="eastAsia"/>
          <w:vertAlign w:val="superscript"/>
        </w:rPr>
        <w:t>3</w:t>
      </w:r>
      <w:r>
        <w:rPr>
          <w:rFonts w:hint="eastAsia"/>
        </w:rPr>
        <w:t>，因此排放的砂石料冲洗废水排放量约</w:t>
      </w:r>
      <w:r>
        <w:rPr>
          <w:rFonts w:hint="eastAsia"/>
        </w:rPr>
        <w:t>80t/h</w:t>
      </w:r>
      <w:r>
        <w:rPr>
          <w:rFonts w:hint="eastAsia"/>
        </w:rPr>
        <w:t>。该部分废水成分主要是悬浮物，浓度约</w:t>
      </w:r>
      <w:r>
        <w:rPr>
          <w:rFonts w:hint="eastAsia"/>
        </w:rPr>
        <w:t>20000mg/L</w:t>
      </w:r>
      <w:r>
        <w:rPr>
          <w:rFonts w:hint="eastAsia"/>
        </w:rPr>
        <w:t>。</w:t>
      </w:r>
    </w:p>
    <w:p w:rsidR="006175A6" w:rsidRDefault="009B4BA7">
      <w:pPr>
        <w:ind w:firstLine="480"/>
      </w:pPr>
      <w:r>
        <w:rPr>
          <w:rFonts w:hint="eastAsia"/>
        </w:rPr>
        <w:t>②混凝土拌合废水</w:t>
      </w:r>
    </w:p>
    <w:p w:rsidR="006175A6" w:rsidRDefault="009B4BA7">
      <w:pPr>
        <w:ind w:firstLine="480"/>
      </w:pPr>
      <w:r>
        <w:rPr>
          <w:rFonts w:hint="eastAsia"/>
        </w:rPr>
        <w:t>混凝土施工废水悬浮物浓度高，悬浮物的主要成分为土粒和水泥颗粒等无机物，基本不含有毒有害物质。混凝土养护水的</w:t>
      </w:r>
      <w:r>
        <w:rPr>
          <w:rFonts w:hint="eastAsia"/>
        </w:rPr>
        <w:t>pH</w:t>
      </w:r>
      <w:r>
        <w:rPr>
          <w:rFonts w:hint="eastAsia"/>
        </w:rPr>
        <w:t>值较高，最高可达</w:t>
      </w:r>
      <w:r>
        <w:rPr>
          <w:rFonts w:hint="eastAsia"/>
        </w:rPr>
        <w:t>10.5</w:t>
      </w:r>
      <w:r>
        <w:rPr>
          <w:rFonts w:hint="eastAsia"/>
        </w:rPr>
        <w:t>左右，该废水的排放方式为间歇排放。另外，混凝土拌和机还将产生很小量的冲洗水，其主要污染物为悬浮物，浓度可达</w:t>
      </w:r>
      <w:r>
        <w:rPr>
          <w:rFonts w:hint="eastAsia"/>
        </w:rPr>
        <w:t>5000mg/L</w:t>
      </w:r>
      <w:r>
        <w:rPr>
          <w:rFonts w:hint="eastAsia"/>
        </w:rPr>
        <w:t>左右，且碱度较高，可达</w:t>
      </w:r>
      <w:r>
        <w:rPr>
          <w:rFonts w:hint="eastAsia"/>
        </w:rPr>
        <w:t>11</w:t>
      </w:r>
      <w:r>
        <w:rPr>
          <w:rFonts w:hint="eastAsia"/>
        </w:rPr>
        <w:t>。根据水利工程施工经验，每</w:t>
      </w:r>
      <w:r>
        <w:rPr>
          <w:rFonts w:hint="eastAsia"/>
        </w:rPr>
        <w:t>m</w:t>
      </w:r>
      <w:r>
        <w:rPr>
          <w:rFonts w:hint="eastAsia"/>
          <w:vertAlign w:val="superscript"/>
        </w:rPr>
        <w:t>3</w:t>
      </w:r>
      <w:r>
        <w:rPr>
          <w:rFonts w:hint="eastAsia"/>
        </w:rPr>
        <w:t>混凝土工程施工约产生废水</w:t>
      </w:r>
      <w:r>
        <w:rPr>
          <w:rFonts w:hint="eastAsia"/>
        </w:rPr>
        <w:t>0.25m</w:t>
      </w:r>
      <w:r>
        <w:rPr>
          <w:rFonts w:hint="eastAsia"/>
          <w:vertAlign w:val="superscript"/>
        </w:rPr>
        <w:t>3</w:t>
      </w:r>
      <w:r>
        <w:rPr>
          <w:rFonts w:hint="eastAsia"/>
        </w:rPr>
        <w:t>，本项目搅拌楼混凝土产能力为</w:t>
      </w:r>
      <w:r>
        <w:rPr>
          <w:rFonts w:hint="eastAsia"/>
        </w:rPr>
        <w:t>150m</w:t>
      </w:r>
      <w:r>
        <w:rPr>
          <w:rFonts w:hint="eastAsia"/>
          <w:vertAlign w:val="superscript"/>
        </w:rPr>
        <w:t>3</w:t>
      </w:r>
      <w:r>
        <w:rPr>
          <w:rFonts w:hint="eastAsia"/>
        </w:rPr>
        <w:t>/h</w:t>
      </w:r>
      <w:r>
        <w:rPr>
          <w:rFonts w:hint="eastAsia"/>
        </w:rPr>
        <w:t>，项目混凝土拌和废水日最大排放量约</w:t>
      </w:r>
      <w:r>
        <w:rPr>
          <w:rFonts w:hint="eastAsia"/>
        </w:rPr>
        <w:t>37.5t/h</w:t>
      </w:r>
      <w:r>
        <w:rPr>
          <w:rFonts w:hint="eastAsia"/>
        </w:rPr>
        <w:t>。</w:t>
      </w:r>
    </w:p>
    <w:p w:rsidR="006175A6" w:rsidRDefault="009B4BA7">
      <w:pPr>
        <w:ind w:firstLine="480"/>
      </w:pPr>
      <w:r>
        <w:rPr>
          <w:rFonts w:hint="eastAsia"/>
        </w:rPr>
        <w:t>③基坑废水</w:t>
      </w:r>
    </w:p>
    <w:p w:rsidR="006175A6" w:rsidRDefault="009B4BA7">
      <w:pPr>
        <w:ind w:firstLine="480"/>
      </w:pPr>
      <w:r>
        <w:rPr>
          <w:rFonts w:hint="eastAsia"/>
        </w:rPr>
        <w:t>基坑排水主要来自坝址工程施工，基坑排水分初期排水和经常排水。初期排水指的是清除围堰内基坑存水，即原来河水加上渗水和降水，水中悬浮物浓度（</w:t>
      </w:r>
      <w:r>
        <w:rPr>
          <w:rFonts w:hint="eastAsia"/>
        </w:rPr>
        <w:t>SS</w:t>
      </w:r>
      <w:r>
        <w:rPr>
          <w:rFonts w:hint="eastAsia"/>
        </w:rPr>
        <w:t>）因岸边开挖有可能增加。经常排水是在建筑物开挖和混凝土浇筑过程中，由降水、渗水和施工用水（主要是混凝土养护水和冲洗水）等汇集的基坑水。根据已建同类工程经验，本工程经常性基坑废水最大排放量约</w:t>
      </w:r>
      <w:r>
        <w:rPr>
          <w:rFonts w:hint="eastAsia"/>
        </w:rPr>
        <w:t>360m</w:t>
      </w:r>
      <w:r>
        <w:rPr>
          <w:rFonts w:hint="eastAsia"/>
          <w:vertAlign w:val="superscript"/>
        </w:rPr>
        <w:t>3</w:t>
      </w:r>
      <w:r>
        <w:rPr>
          <w:rFonts w:hint="eastAsia"/>
        </w:rPr>
        <w:t>/d</w:t>
      </w:r>
      <w:r>
        <w:rPr>
          <w:rFonts w:hint="eastAsia"/>
        </w:rPr>
        <w:t>，悬浮物浓度</w:t>
      </w:r>
      <w:r>
        <w:rPr>
          <w:rFonts w:hint="eastAsia"/>
        </w:rPr>
        <w:t>5000mg/L</w:t>
      </w:r>
      <w:r>
        <w:rPr>
          <w:rFonts w:hint="eastAsia"/>
        </w:rPr>
        <w:t>。</w:t>
      </w:r>
    </w:p>
    <w:p w:rsidR="006175A6" w:rsidRDefault="009B4BA7">
      <w:pPr>
        <w:ind w:firstLine="480"/>
      </w:pPr>
      <w:r>
        <w:rPr>
          <w:rFonts w:hint="eastAsia"/>
        </w:rPr>
        <w:t>④施工机械冲洗废水</w:t>
      </w:r>
    </w:p>
    <w:p w:rsidR="006175A6" w:rsidRDefault="009B4BA7">
      <w:pPr>
        <w:ind w:firstLine="480"/>
      </w:pPr>
      <w:r>
        <w:rPr>
          <w:rFonts w:hint="eastAsia"/>
        </w:rPr>
        <w:t>本工程以机械施工为主，将会产生机械车辆维修、冲洗废水，每台机械设备冲洗水平均每次约为</w:t>
      </w:r>
      <w:r>
        <w:rPr>
          <w:rFonts w:hint="eastAsia"/>
        </w:rPr>
        <w:t>0.36m</w:t>
      </w:r>
      <w:r>
        <w:rPr>
          <w:rFonts w:hint="eastAsia"/>
          <w:vertAlign w:val="superscript"/>
        </w:rPr>
        <w:t>3</w:t>
      </w:r>
      <w:r>
        <w:rPr>
          <w:rFonts w:hint="eastAsia"/>
        </w:rPr>
        <w:t>，废水中主要污染物为石油类和悬浮物。根据有关资料，洗车污水石油类浓度约</w:t>
      </w:r>
      <w:r>
        <w:rPr>
          <w:rFonts w:hint="eastAsia"/>
        </w:rPr>
        <w:t>10</w:t>
      </w:r>
      <w:r>
        <w:rPr>
          <w:rFonts w:hint="eastAsia"/>
        </w:rPr>
        <w:t>～</w:t>
      </w:r>
      <w:r>
        <w:rPr>
          <w:rFonts w:hint="eastAsia"/>
        </w:rPr>
        <w:t>30mg/L</w:t>
      </w:r>
      <w:r>
        <w:rPr>
          <w:rFonts w:hint="eastAsia"/>
        </w:rPr>
        <w:t>，悬浮物浓度约为</w:t>
      </w:r>
      <w:r>
        <w:rPr>
          <w:rFonts w:hint="eastAsia"/>
        </w:rPr>
        <w:t>3000mg/L</w:t>
      </w:r>
      <w:r>
        <w:rPr>
          <w:rFonts w:hint="eastAsia"/>
        </w:rPr>
        <w:t>，工程施工期间，需定期清洗的施工机械约</w:t>
      </w:r>
      <w:r>
        <w:rPr>
          <w:rFonts w:hint="eastAsia"/>
        </w:rPr>
        <w:t>80</w:t>
      </w:r>
      <w:r>
        <w:rPr>
          <w:rFonts w:hint="eastAsia"/>
        </w:rPr>
        <w:t>台，则平均每天产生的废水约</w:t>
      </w:r>
      <w:r>
        <w:rPr>
          <w:rFonts w:hint="eastAsia"/>
        </w:rPr>
        <w:t>28.8m</w:t>
      </w:r>
      <w:r>
        <w:rPr>
          <w:rFonts w:hint="eastAsia"/>
          <w:vertAlign w:val="superscript"/>
        </w:rPr>
        <w:t>3</w:t>
      </w:r>
      <w:r>
        <w:rPr>
          <w:rFonts w:hint="eastAsia"/>
        </w:rPr>
        <w:t>。若含油废水直接排入水体，在水体表面形成油膜，造成水中溶解氧不易恢复，影响水质；含油废水随意排放，会降低土壤肥力，改变土壤结构，不利于施工迹地恢复。因此，施工机械冲洗、维修产生的含油废水要进行处理，达标后回用。</w:t>
      </w:r>
    </w:p>
    <w:p w:rsidR="006175A6" w:rsidRDefault="009B4BA7">
      <w:pPr>
        <w:ind w:firstLine="480"/>
      </w:pPr>
      <w:r>
        <w:rPr>
          <w:rFonts w:hint="eastAsia"/>
        </w:rPr>
        <w:t>（</w:t>
      </w:r>
      <w:r>
        <w:rPr>
          <w:rFonts w:hint="eastAsia"/>
        </w:rPr>
        <w:t>2</w:t>
      </w:r>
      <w:r>
        <w:rPr>
          <w:rFonts w:hint="eastAsia"/>
        </w:rPr>
        <w:t>）生活污水</w:t>
      </w:r>
    </w:p>
    <w:p w:rsidR="006175A6" w:rsidRPr="00BE5BF5" w:rsidRDefault="009B4BA7">
      <w:pPr>
        <w:ind w:firstLine="480"/>
      </w:pPr>
      <w:r>
        <w:rPr>
          <w:rFonts w:hint="eastAsia"/>
        </w:rPr>
        <w:t>本工程高峰期施工人数为</w:t>
      </w:r>
      <w:r>
        <w:rPr>
          <w:rFonts w:hint="eastAsia"/>
        </w:rPr>
        <w:t>300</w:t>
      </w:r>
      <w:r>
        <w:rPr>
          <w:rFonts w:hint="eastAsia"/>
        </w:rPr>
        <w:t>人，生活用水量按</w:t>
      </w:r>
      <w:r>
        <w:rPr>
          <w:rFonts w:hint="eastAsia"/>
        </w:rPr>
        <w:t>150L/</w:t>
      </w:r>
      <w:r>
        <w:rPr>
          <w:rFonts w:hint="eastAsia"/>
        </w:rPr>
        <w:t>人</w:t>
      </w:r>
      <w:r>
        <w:rPr>
          <w:rFonts w:hint="eastAsia"/>
        </w:rPr>
        <w:t xml:space="preserve">.d </w:t>
      </w:r>
      <w:r>
        <w:rPr>
          <w:rFonts w:hint="eastAsia"/>
        </w:rPr>
        <w:t>计，生活污水排放系数取</w:t>
      </w:r>
      <w:r>
        <w:rPr>
          <w:rFonts w:hint="eastAsia"/>
        </w:rPr>
        <w:t>0.8</w:t>
      </w:r>
      <w:r>
        <w:rPr>
          <w:rFonts w:hint="eastAsia"/>
        </w:rPr>
        <w:t>，则施工高峰期生活污水量为</w:t>
      </w:r>
      <w:r>
        <w:rPr>
          <w:rFonts w:hint="eastAsia"/>
        </w:rPr>
        <w:t>36m</w:t>
      </w:r>
      <w:r>
        <w:rPr>
          <w:rFonts w:hint="eastAsia"/>
          <w:vertAlign w:val="superscript"/>
        </w:rPr>
        <w:t>3</w:t>
      </w:r>
      <w:r>
        <w:rPr>
          <w:rFonts w:hint="eastAsia"/>
        </w:rPr>
        <w:t>/d</w:t>
      </w:r>
      <w:r>
        <w:rPr>
          <w:rFonts w:hint="eastAsia"/>
        </w:rPr>
        <w:t>，生活污水主要污染物为</w:t>
      </w:r>
      <w:r>
        <w:rPr>
          <w:rFonts w:hint="eastAsia"/>
        </w:rPr>
        <w:t>COD</w:t>
      </w:r>
      <w:r>
        <w:rPr>
          <w:rFonts w:hint="eastAsia"/>
        </w:rPr>
        <w:t>、</w:t>
      </w:r>
      <w:r>
        <w:rPr>
          <w:rFonts w:hint="eastAsia"/>
        </w:rPr>
        <w:lastRenderedPageBreak/>
        <w:t>BOD</w:t>
      </w:r>
      <w:r>
        <w:rPr>
          <w:rFonts w:hint="eastAsia"/>
          <w:vertAlign w:val="subscript"/>
        </w:rPr>
        <w:t>5</w:t>
      </w:r>
      <w:r>
        <w:rPr>
          <w:rFonts w:hint="eastAsia"/>
        </w:rPr>
        <w:t>、</w:t>
      </w:r>
      <w:r>
        <w:rPr>
          <w:rFonts w:hint="eastAsia"/>
        </w:rPr>
        <w:t>SS</w:t>
      </w:r>
      <w:r>
        <w:rPr>
          <w:rFonts w:hint="eastAsia"/>
        </w:rPr>
        <w:t>和</w:t>
      </w:r>
      <w:r>
        <w:rPr>
          <w:rFonts w:hint="eastAsia"/>
        </w:rPr>
        <w:t>NH</w:t>
      </w:r>
      <w:r>
        <w:rPr>
          <w:rFonts w:hint="eastAsia"/>
          <w:vertAlign w:val="subscript"/>
        </w:rPr>
        <w:t>3</w:t>
      </w:r>
      <w:r>
        <w:rPr>
          <w:rFonts w:hint="eastAsia"/>
        </w:rPr>
        <w:t>-N</w:t>
      </w:r>
      <w:r>
        <w:rPr>
          <w:rFonts w:hint="eastAsia"/>
        </w:rPr>
        <w:t>，浓度依次大约</w:t>
      </w:r>
      <w:r w:rsidRPr="00BE5BF5">
        <w:rPr>
          <w:rFonts w:hint="eastAsia"/>
        </w:rPr>
        <w:t>为</w:t>
      </w:r>
      <w:r w:rsidRPr="00BE5BF5">
        <w:rPr>
          <w:rFonts w:hint="eastAsia"/>
        </w:rPr>
        <w:t>250mg/L</w:t>
      </w:r>
      <w:r w:rsidRPr="00BE5BF5">
        <w:rPr>
          <w:rFonts w:hint="eastAsia"/>
        </w:rPr>
        <w:t>、</w:t>
      </w:r>
      <w:r w:rsidRPr="00BE5BF5">
        <w:rPr>
          <w:rFonts w:hint="eastAsia"/>
        </w:rPr>
        <w:t>120mg/L</w:t>
      </w:r>
      <w:r w:rsidRPr="00BE5BF5">
        <w:rPr>
          <w:rFonts w:hint="eastAsia"/>
        </w:rPr>
        <w:t>、</w:t>
      </w:r>
      <w:r w:rsidRPr="00BE5BF5">
        <w:rPr>
          <w:rFonts w:hint="eastAsia"/>
        </w:rPr>
        <w:t>200mg/L</w:t>
      </w:r>
      <w:r w:rsidRPr="00BE5BF5">
        <w:rPr>
          <w:rFonts w:hint="eastAsia"/>
        </w:rPr>
        <w:t>、</w:t>
      </w:r>
      <w:r w:rsidRPr="00BE5BF5">
        <w:rPr>
          <w:rFonts w:hint="eastAsia"/>
        </w:rPr>
        <w:t>30mg/L</w:t>
      </w:r>
      <w:r w:rsidRPr="00BE5BF5">
        <w:rPr>
          <w:rFonts w:hint="eastAsia"/>
        </w:rPr>
        <w:t>。</w:t>
      </w:r>
    </w:p>
    <w:p w:rsidR="006175A6" w:rsidRPr="00BE5BF5" w:rsidRDefault="009B4BA7">
      <w:pPr>
        <w:pStyle w:val="a3"/>
      </w:pPr>
      <w:r w:rsidRPr="00BE5BF5">
        <w:rPr>
          <w:rFonts w:hint="eastAsia"/>
        </w:rPr>
        <w:t>表</w:t>
      </w:r>
      <w:r w:rsidRPr="00BE5BF5">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sidRPr="00BE5BF5">
        <w:rPr>
          <w:rFonts w:hint="eastAsia"/>
        </w:rPr>
        <w:t xml:space="preserve">  </w:t>
      </w:r>
      <w:r w:rsidRPr="00BE5BF5">
        <w:rPr>
          <w:rFonts w:hint="eastAsia"/>
        </w:rPr>
        <w:t>施工期废水污染物产生情况表</w:t>
      </w:r>
    </w:p>
    <w:tbl>
      <w:tblPr>
        <w:tblW w:w="5000" w:type="pct"/>
        <w:tblLayout w:type="fixed"/>
        <w:tblLook w:val="04A0" w:firstRow="1" w:lastRow="0" w:firstColumn="1" w:lastColumn="0" w:noHBand="0" w:noVBand="1"/>
      </w:tblPr>
      <w:tblGrid>
        <w:gridCol w:w="816"/>
        <w:gridCol w:w="1986"/>
        <w:gridCol w:w="2976"/>
        <w:gridCol w:w="2744"/>
      </w:tblGrid>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序号</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污染源名称</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污染物来源</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主要污染物</w:t>
            </w:r>
          </w:p>
        </w:tc>
      </w:tr>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1</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石料加工废水</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石料加工</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rFonts w:hint="eastAsia"/>
                <w:kern w:val="0"/>
                <w:sz w:val="21"/>
              </w:rPr>
              <w:t>废水量：</w:t>
            </w:r>
            <w:r w:rsidRPr="00BE5BF5">
              <w:rPr>
                <w:rFonts w:hint="eastAsia"/>
                <w:kern w:val="0"/>
                <w:sz w:val="21"/>
              </w:rPr>
              <w:t>640t/d</w:t>
            </w:r>
          </w:p>
          <w:p w:rsidR="006175A6" w:rsidRPr="00BE5BF5" w:rsidRDefault="009B4BA7">
            <w:pPr>
              <w:widowControl/>
              <w:spacing w:line="240" w:lineRule="auto"/>
              <w:ind w:firstLineChars="0" w:firstLine="0"/>
              <w:jc w:val="center"/>
              <w:rPr>
                <w:kern w:val="0"/>
                <w:sz w:val="21"/>
              </w:rPr>
            </w:pPr>
            <w:r w:rsidRPr="00BE5BF5">
              <w:rPr>
                <w:rFonts w:hint="eastAsia"/>
                <w:kern w:val="0"/>
                <w:sz w:val="21"/>
              </w:rPr>
              <w:t>SS</w:t>
            </w:r>
            <w:r w:rsidRPr="00BE5BF5">
              <w:rPr>
                <w:kern w:val="0"/>
                <w:sz w:val="21"/>
              </w:rPr>
              <w:t>：</w:t>
            </w:r>
            <w:r w:rsidRPr="00BE5BF5">
              <w:rPr>
                <w:kern w:val="0"/>
                <w:sz w:val="21"/>
              </w:rPr>
              <w:t>20000mg/L</w:t>
            </w:r>
          </w:p>
        </w:tc>
      </w:tr>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2</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混凝土拌合废水</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混凝土搅拌</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rFonts w:hint="eastAsia"/>
                <w:kern w:val="0"/>
                <w:sz w:val="21"/>
              </w:rPr>
              <w:t>废水量：</w:t>
            </w:r>
            <w:r w:rsidRPr="00BE5BF5">
              <w:rPr>
                <w:rFonts w:hint="eastAsia"/>
                <w:kern w:val="0"/>
                <w:sz w:val="21"/>
              </w:rPr>
              <w:t>300t/d</w:t>
            </w:r>
          </w:p>
          <w:p w:rsidR="006175A6" w:rsidRPr="00BE5BF5" w:rsidRDefault="009B4BA7">
            <w:pPr>
              <w:widowControl/>
              <w:spacing w:line="240" w:lineRule="auto"/>
              <w:ind w:firstLineChars="0" w:firstLine="0"/>
              <w:jc w:val="center"/>
              <w:rPr>
                <w:kern w:val="0"/>
                <w:sz w:val="21"/>
              </w:rPr>
            </w:pPr>
            <w:r w:rsidRPr="00BE5BF5">
              <w:rPr>
                <w:rFonts w:hint="eastAsia"/>
                <w:kern w:val="0"/>
                <w:sz w:val="21"/>
              </w:rPr>
              <w:t>SS</w:t>
            </w:r>
            <w:r w:rsidRPr="00BE5BF5">
              <w:rPr>
                <w:kern w:val="0"/>
                <w:sz w:val="21"/>
              </w:rPr>
              <w:t>：</w:t>
            </w:r>
            <w:r w:rsidRPr="00BE5BF5">
              <w:rPr>
                <w:kern w:val="0"/>
                <w:sz w:val="21"/>
              </w:rPr>
              <w:t>5000mg/L</w:t>
            </w:r>
          </w:p>
          <w:p w:rsidR="006175A6" w:rsidRPr="00BE5BF5" w:rsidRDefault="009B4BA7">
            <w:pPr>
              <w:widowControl/>
              <w:spacing w:line="240" w:lineRule="auto"/>
              <w:ind w:firstLineChars="0" w:firstLine="0"/>
              <w:jc w:val="center"/>
              <w:rPr>
                <w:kern w:val="0"/>
                <w:sz w:val="21"/>
              </w:rPr>
            </w:pPr>
            <w:r w:rsidRPr="00BE5BF5">
              <w:rPr>
                <w:kern w:val="0"/>
                <w:sz w:val="21"/>
              </w:rPr>
              <w:t>p</w:t>
            </w:r>
            <w:r w:rsidRPr="00BE5BF5">
              <w:rPr>
                <w:rFonts w:hint="eastAsia"/>
                <w:kern w:val="0"/>
                <w:sz w:val="21"/>
              </w:rPr>
              <w:t>H</w:t>
            </w:r>
            <w:r w:rsidRPr="00BE5BF5">
              <w:rPr>
                <w:rFonts w:hint="eastAsia"/>
                <w:kern w:val="0"/>
                <w:sz w:val="21"/>
              </w:rPr>
              <w:t>：</w:t>
            </w:r>
            <w:r w:rsidRPr="00BE5BF5">
              <w:rPr>
                <w:kern w:val="0"/>
                <w:sz w:val="21"/>
              </w:rPr>
              <w:t>9~11</w:t>
            </w:r>
          </w:p>
        </w:tc>
      </w:tr>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3</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基坑废水</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地下渗水、</w:t>
            </w:r>
            <w:r w:rsidRPr="00BE5BF5">
              <w:rPr>
                <w:rFonts w:hint="eastAsia"/>
                <w:kern w:val="0"/>
                <w:sz w:val="21"/>
              </w:rPr>
              <w:t>雨水</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rFonts w:hint="eastAsia"/>
                <w:kern w:val="0"/>
                <w:sz w:val="21"/>
              </w:rPr>
              <w:t>废水量：</w:t>
            </w:r>
            <w:r w:rsidRPr="00BE5BF5">
              <w:rPr>
                <w:rFonts w:hint="eastAsia"/>
                <w:kern w:val="0"/>
                <w:sz w:val="21"/>
              </w:rPr>
              <w:t>360t/d</w:t>
            </w:r>
          </w:p>
          <w:p w:rsidR="006175A6" w:rsidRPr="00BE5BF5" w:rsidRDefault="009B4BA7">
            <w:pPr>
              <w:widowControl/>
              <w:spacing w:line="240" w:lineRule="auto"/>
              <w:ind w:firstLineChars="0" w:firstLine="0"/>
              <w:jc w:val="center"/>
              <w:rPr>
                <w:kern w:val="0"/>
                <w:sz w:val="21"/>
              </w:rPr>
            </w:pPr>
            <w:r w:rsidRPr="00BE5BF5">
              <w:rPr>
                <w:rFonts w:hint="eastAsia"/>
                <w:kern w:val="0"/>
                <w:sz w:val="21"/>
              </w:rPr>
              <w:t>SS</w:t>
            </w:r>
            <w:r w:rsidRPr="00BE5BF5">
              <w:rPr>
                <w:kern w:val="0"/>
                <w:sz w:val="21"/>
              </w:rPr>
              <w:t>：</w:t>
            </w:r>
            <w:r w:rsidRPr="00BE5BF5">
              <w:rPr>
                <w:kern w:val="0"/>
                <w:sz w:val="21"/>
              </w:rPr>
              <w:t>5000mg/L</w:t>
            </w:r>
          </w:p>
        </w:tc>
      </w:tr>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4</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施工机械冲洗废水</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施工机械和运输车辆</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rFonts w:hint="eastAsia"/>
                <w:kern w:val="0"/>
                <w:sz w:val="21"/>
              </w:rPr>
              <w:t>废水量：</w:t>
            </w:r>
            <w:r w:rsidRPr="00BE5BF5">
              <w:rPr>
                <w:rFonts w:hint="eastAsia"/>
                <w:kern w:val="0"/>
                <w:sz w:val="21"/>
              </w:rPr>
              <w:t>28.8t/d</w:t>
            </w:r>
          </w:p>
          <w:p w:rsidR="006175A6" w:rsidRPr="00BE5BF5" w:rsidRDefault="009B4BA7">
            <w:pPr>
              <w:widowControl/>
              <w:spacing w:line="240" w:lineRule="auto"/>
              <w:ind w:firstLineChars="0" w:firstLine="0"/>
              <w:jc w:val="center"/>
              <w:rPr>
                <w:kern w:val="0"/>
                <w:sz w:val="21"/>
              </w:rPr>
            </w:pPr>
            <w:r w:rsidRPr="00BE5BF5">
              <w:rPr>
                <w:kern w:val="0"/>
                <w:sz w:val="21"/>
              </w:rPr>
              <w:t>石油类：</w:t>
            </w:r>
            <w:r w:rsidRPr="00BE5BF5">
              <w:rPr>
                <w:kern w:val="0"/>
                <w:sz w:val="21"/>
              </w:rPr>
              <w:t>10</w:t>
            </w:r>
            <w:r w:rsidRPr="00BE5BF5">
              <w:rPr>
                <w:kern w:val="0"/>
                <w:sz w:val="21"/>
              </w:rPr>
              <w:t>～</w:t>
            </w:r>
            <w:r w:rsidRPr="00BE5BF5">
              <w:rPr>
                <w:kern w:val="0"/>
                <w:sz w:val="21"/>
              </w:rPr>
              <w:t>30mg/L</w:t>
            </w:r>
          </w:p>
          <w:p w:rsidR="006175A6" w:rsidRPr="00BE5BF5" w:rsidRDefault="009B4BA7">
            <w:pPr>
              <w:widowControl/>
              <w:spacing w:line="240" w:lineRule="auto"/>
              <w:ind w:firstLineChars="0" w:firstLine="0"/>
              <w:jc w:val="center"/>
              <w:rPr>
                <w:kern w:val="0"/>
                <w:sz w:val="21"/>
              </w:rPr>
            </w:pPr>
            <w:r w:rsidRPr="00BE5BF5">
              <w:rPr>
                <w:rFonts w:hint="eastAsia"/>
                <w:kern w:val="0"/>
                <w:sz w:val="21"/>
              </w:rPr>
              <w:t>SS</w:t>
            </w:r>
            <w:r w:rsidRPr="00BE5BF5">
              <w:rPr>
                <w:kern w:val="0"/>
                <w:sz w:val="21"/>
              </w:rPr>
              <w:t>：</w:t>
            </w:r>
            <w:r w:rsidRPr="00BE5BF5">
              <w:rPr>
                <w:kern w:val="0"/>
                <w:sz w:val="21"/>
              </w:rPr>
              <w:t>3000mg/L</w:t>
            </w:r>
          </w:p>
        </w:tc>
      </w:tr>
      <w:tr w:rsidR="006175A6" w:rsidRPr="00BE5BF5">
        <w:trPr>
          <w:trHeight w:val="340"/>
        </w:trPr>
        <w:tc>
          <w:tcPr>
            <w:tcW w:w="4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5</w:t>
            </w:r>
          </w:p>
        </w:tc>
        <w:tc>
          <w:tcPr>
            <w:tcW w:w="11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生活污水</w:t>
            </w:r>
          </w:p>
        </w:tc>
        <w:tc>
          <w:tcPr>
            <w:tcW w:w="17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kern w:val="0"/>
                <w:sz w:val="21"/>
              </w:rPr>
              <w:t>施工人员生活</w:t>
            </w:r>
          </w:p>
        </w:tc>
        <w:tc>
          <w:tcPr>
            <w:tcW w:w="16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Pr="00BE5BF5" w:rsidRDefault="009B4BA7">
            <w:pPr>
              <w:widowControl/>
              <w:spacing w:line="240" w:lineRule="auto"/>
              <w:ind w:firstLineChars="0" w:firstLine="0"/>
              <w:jc w:val="center"/>
              <w:rPr>
                <w:kern w:val="0"/>
                <w:sz w:val="21"/>
              </w:rPr>
            </w:pPr>
            <w:r w:rsidRPr="00BE5BF5">
              <w:rPr>
                <w:rFonts w:hint="eastAsia"/>
                <w:kern w:val="0"/>
                <w:sz w:val="21"/>
              </w:rPr>
              <w:t>废水量：</w:t>
            </w:r>
            <w:r w:rsidRPr="00BE5BF5">
              <w:rPr>
                <w:rFonts w:hint="eastAsia"/>
                <w:kern w:val="0"/>
                <w:sz w:val="21"/>
              </w:rPr>
              <w:t>45t/d</w:t>
            </w:r>
          </w:p>
          <w:p w:rsidR="006175A6" w:rsidRPr="00BE5BF5" w:rsidRDefault="009B4BA7">
            <w:pPr>
              <w:widowControl/>
              <w:spacing w:line="240" w:lineRule="auto"/>
              <w:ind w:firstLineChars="0" w:firstLine="0"/>
              <w:jc w:val="center"/>
              <w:rPr>
                <w:kern w:val="0"/>
                <w:sz w:val="21"/>
              </w:rPr>
            </w:pPr>
            <w:r w:rsidRPr="00BE5BF5">
              <w:rPr>
                <w:kern w:val="0"/>
                <w:sz w:val="21"/>
              </w:rPr>
              <w:t>COD</w:t>
            </w:r>
            <w:r w:rsidRPr="00BE5BF5">
              <w:rPr>
                <w:rFonts w:hint="eastAsia"/>
                <w:kern w:val="0"/>
                <w:sz w:val="21"/>
              </w:rPr>
              <w:t>：</w:t>
            </w:r>
            <w:r w:rsidRPr="00BE5BF5">
              <w:rPr>
                <w:rFonts w:hint="eastAsia"/>
                <w:kern w:val="0"/>
                <w:sz w:val="21"/>
              </w:rPr>
              <w:t>25</w:t>
            </w:r>
            <w:r w:rsidRPr="00BE5BF5">
              <w:rPr>
                <w:kern w:val="0"/>
                <w:sz w:val="21"/>
              </w:rPr>
              <w:t>0mg/L</w:t>
            </w:r>
          </w:p>
          <w:p w:rsidR="006175A6" w:rsidRPr="00BE5BF5" w:rsidRDefault="009B4BA7">
            <w:pPr>
              <w:widowControl/>
              <w:spacing w:line="240" w:lineRule="auto"/>
              <w:ind w:firstLineChars="0" w:firstLine="0"/>
              <w:jc w:val="center"/>
              <w:rPr>
                <w:kern w:val="0"/>
                <w:sz w:val="21"/>
              </w:rPr>
            </w:pPr>
            <w:r w:rsidRPr="00BE5BF5">
              <w:rPr>
                <w:kern w:val="0"/>
                <w:sz w:val="21"/>
              </w:rPr>
              <w:t>BOD</w:t>
            </w:r>
            <w:r w:rsidRPr="00BE5BF5">
              <w:rPr>
                <w:kern w:val="0"/>
                <w:sz w:val="21"/>
                <w:vertAlign w:val="subscript"/>
              </w:rPr>
              <w:t>5</w:t>
            </w:r>
            <w:r w:rsidRPr="00BE5BF5">
              <w:rPr>
                <w:rFonts w:hint="eastAsia"/>
                <w:kern w:val="0"/>
                <w:sz w:val="21"/>
              </w:rPr>
              <w:t>：</w:t>
            </w:r>
            <w:r w:rsidRPr="00BE5BF5">
              <w:rPr>
                <w:rFonts w:hint="eastAsia"/>
                <w:kern w:val="0"/>
                <w:sz w:val="21"/>
              </w:rPr>
              <w:t>12</w:t>
            </w:r>
            <w:r w:rsidRPr="00BE5BF5">
              <w:rPr>
                <w:kern w:val="0"/>
                <w:sz w:val="21"/>
              </w:rPr>
              <w:t>0mg/L</w:t>
            </w:r>
          </w:p>
          <w:p w:rsidR="006175A6" w:rsidRPr="00BE5BF5" w:rsidRDefault="009B4BA7">
            <w:pPr>
              <w:widowControl/>
              <w:spacing w:line="240" w:lineRule="auto"/>
              <w:ind w:firstLineChars="0" w:firstLine="0"/>
              <w:jc w:val="center"/>
              <w:rPr>
                <w:kern w:val="0"/>
                <w:sz w:val="21"/>
              </w:rPr>
            </w:pPr>
            <w:r w:rsidRPr="00BE5BF5">
              <w:rPr>
                <w:kern w:val="0"/>
                <w:sz w:val="21"/>
              </w:rPr>
              <w:t>SS</w:t>
            </w:r>
            <w:r w:rsidRPr="00BE5BF5">
              <w:rPr>
                <w:rFonts w:hint="eastAsia"/>
                <w:kern w:val="0"/>
                <w:sz w:val="21"/>
              </w:rPr>
              <w:t>：</w:t>
            </w:r>
            <w:r w:rsidRPr="00BE5BF5">
              <w:rPr>
                <w:rFonts w:hint="eastAsia"/>
                <w:kern w:val="0"/>
                <w:sz w:val="21"/>
              </w:rPr>
              <w:t>20</w:t>
            </w:r>
            <w:r w:rsidRPr="00BE5BF5">
              <w:rPr>
                <w:kern w:val="0"/>
                <w:sz w:val="21"/>
              </w:rPr>
              <w:t>0mg/L</w:t>
            </w:r>
          </w:p>
          <w:p w:rsidR="006175A6" w:rsidRPr="00BE5BF5" w:rsidRDefault="009B4BA7">
            <w:pPr>
              <w:widowControl/>
              <w:spacing w:line="240" w:lineRule="auto"/>
              <w:ind w:firstLineChars="0" w:firstLine="0"/>
              <w:jc w:val="center"/>
              <w:rPr>
                <w:kern w:val="0"/>
                <w:sz w:val="21"/>
              </w:rPr>
            </w:pPr>
            <w:r w:rsidRPr="00BE5BF5">
              <w:rPr>
                <w:kern w:val="0"/>
                <w:sz w:val="21"/>
              </w:rPr>
              <w:t>NH</w:t>
            </w:r>
            <w:r w:rsidRPr="00BE5BF5">
              <w:rPr>
                <w:kern w:val="0"/>
                <w:sz w:val="21"/>
                <w:vertAlign w:val="subscript"/>
              </w:rPr>
              <w:t>3</w:t>
            </w:r>
            <w:r w:rsidRPr="00BE5BF5">
              <w:rPr>
                <w:kern w:val="0"/>
                <w:sz w:val="21"/>
              </w:rPr>
              <w:t>-N</w:t>
            </w:r>
            <w:r w:rsidRPr="00BE5BF5">
              <w:rPr>
                <w:rFonts w:hint="eastAsia"/>
                <w:kern w:val="0"/>
                <w:sz w:val="21"/>
              </w:rPr>
              <w:t>：</w:t>
            </w:r>
            <w:r w:rsidRPr="00BE5BF5">
              <w:rPr>
                <w:rFonts w:hint="eastAsia"/>
                <w:kern w:val="0"/>
                <w:sz w:val="21"/>
              </w:rPr>
              <w:t>30</w:t>
            </w:r>
            <w:r w:rsidRPr="00BE5BF5">
              <w:rPr>
                <w:kern w:val="0"/>
                <w:sz w:val="21"/>
              </w:rPr>
              <w:t>mg/L</w:t>
            </w:r>
          </w:p>
        </w:tc>
      </w:tr>
    </w:tbl>
    <w:p w:rsidR="006175A6" w:rsidRDefault="009B4BA7">
      <w:pPr>
        <w:pStyle w:val="3"/>
      </w:pPr>
      <w:r>
        <w:rPr>
          <w:rFonts w:hint="eastAsia"/>
        </w:rPr>
        <w:t>噪声</w:t>
      </w:r>
    </w:p>
    <w:p w:rsidR="006175A6" w:rsidRDefault="009B4BA7">
      <w:pPr>
        <w:ind w:firstLine="480"/>
      </w:pPr>
      <w:r>
        <w:rPr>
          <w:rFonts w:hint="eastAsia"/>
        </w:rPr>
        <w:t>主要为各类机械设备噪声、物料运输的交通噪声以及爆破时产生的噪声。机械设备和物料运输噪声：挖掘机、装载机、钻机、载重汽车、搅拌机、空压机、水泵等高噪声设备，这些设备在施工时将对施工区附近的声环境造成影响。爆破时噪声可达</w:t>
      </w:r>
      <w:r>
        <w:rPr>
          <w:rFonts w:hint="eastAsia"/>
        </w:rPr>
        <w:t>100dB</w:t>
      </w:r>
      <w:r>
        <w:rPr>
          <w:rFonts w:hint="eastAsia"/>
        </w:rPr>
        <w:t>（</w:t>
      </w:r>
      <w:r>
        <w:rPr>
          <w:rFonts w:hint="eastAsia"/>
        </w:rPr>
        <w:t>A</w:t>
      </w:r>
      <w:r>
        <w:rPr>
          <w:rFonts w:hint="eastAsia"/>
        </w:rPr>
        <w:t>）以上。根据类比相关实测资料，主要施工机械设备噪声情况见下表。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施工期噪声源强统计</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1505"/>
        <w:gridCol w:w="1495"/>
        <w:gridCol w:w="2377"/>
        <w:gridCol w:w="2297"/>
      </w:tblGrid>
      <w:tr w:rsidR="006175A6">
        <w:trPr>
          <w:trHeight w:val="340"/>
        </w:trPr>
        <w:tc>
          <w:tcPr>
            <w:tcW w:w="386" w:type="pct"/>
            <w:vAlign w:val="center"/>
          </w:tcPr>
          <w:p w:rsidR="006175A6" w:rsidRDefault="009B4BA7">
            <w:pPr>
              <w:pStyle w:val="TableParagraph"/>
              <w:rPr>
                <w:rFonts w:cs="Times New Roman"/>
                <w:sz w:val="21"/>
                <w:szCs w:val="21"/>
              </w:rPr>
            </w:pPr>
            <w:r>
              <w:rPr>
                <w:rFonts w:cs="Times New Roman" w:hint="eastAsia"/>
                <w:sz w:val="21"/>
                <w:szCs w:val="21"/>
              </w:rPr>
              <w:t>序号</w:t>
            </w:r>
          </w:p>
        </w:tc>
        <w:tc>
          <w:tcPr>
            <w:tcW w:w="1804" w:type="pct"/>
            <w:gridSpan w:val="2"/>
            <w:vAlign w:val="center"/>
          </w:tcPr>
          <w:p w:rsidR="006175A6" w:rsidRDefault="009B4BA7">
            <w:pPr>
              <w:pStyle w:val="TableParagraph"/>
              <w:rPr>
                <w:rFonts w:cs="Times New Roman"/>
                <w:sz w:val="21"/>
                <w:szCs w:val="21"/>
              </w:rPr>
            </w:pPr>
            <w:r>
              <w:rPr>
                <w:rFonts w:cs="Times New Roman" w:hint="eastAsia"/>
                <w:sz w:val="21"/>
                <w:szCs w:val="21"/>
              </w:rPr>
              <w:t>机具类型</w:t>
            </w:r>
          </w:p>
        </w:tc>
        <w:tc>
          <w:tcPr>
            <w:tcW w:w="1429" w:type="pct"/>
            <w:vAlign w:val="center"/>
          </w:tcPr>
          <w:p w:rsidR="006175A6" w:rsidRDefault="009B4BA7">
            <w:pPr>
              <w:pStyle w:val="TableParagraph"/>
              <w:rPr>
                <w:rFonts w:cs="Times New Roman"/>
                <w:sz w:val="21"/>
                <w:szCs w:val="21"/>
              </w:rPr>
            </w:pPr>
            <w:r>
              <w:rPr>
                <w:rFonts w:cs="Times New Roman" w:hint="eastAsia"/>
                <w:sz w:val="21"/>
                <w:szCs w:val="21"/>
              </w:rPr>
              <w:t>测点距离（</w:t>
            </w:r>
            <w:r>
              <w:rPr>
                <w:rFonts w:ascii="Times New Roman"/>
                <w:sz w:val="21"/>
                <w:szCs w:val="21"/>
              </w:rPr>
              <w:t>m</w:t>
            </w:r>
            <w:r>
              <w:rPr>
                <w:rFonts w:cs="Times New Roman" w:hint="eastAsia"/>
                <w:sz w:val="21"/>
                <w:szCs w:val="21"/>
              </w:rPr>
              <w:t>）</w:t>
            </w:r>
          </w:p>
        </w:tc>
        <w:tc>
          <w:tcPr>
            <w:tcW w:w="1381" w:type="pct"/>
            <w:vAlign w:val="center"/>
          </w:tcPr>
          <w:p w:rsidR="006175A6" w:rsidRDefault="009B4BA7">
            <w:pPr>
              <w:pStyle w:val="TableParagraph"/>
              <w:rPr>
                <w:rFonts w:cs="Times New Roman"/>
                <w:sz w:val="21"/>
                <w:szCs w:val="21"/>
              </w:rPr>
            </w:pPr>
            <w:r>
              <w:rPr>
                <w:rFonts w:cs="Times New Roman" w:hint="eastAsia"/>
                <w:sz w:val="21"/>
                <w:szCs w:val="21"/>
              </w:rPr>
              <w:t>最大噪声级（</w:t>
            </w:r>
            <w:r>
              <w:rPr>
                <w:rFonts w:ascii="Times New Roman"/>
                <w:sz w:val="21"/>
                <w:szCs w:val="21"/>
              </w:rPr>
              <w:t>dB</w:t>
            </w:r>
            <w:r>
              <w:rPr>
                <w:rFonts w:cs="Times New Roman" w:hint="eastAsia"/>
                <w:sz w:val="21"/>
                <w:szCs w:val="21"/>
              </w:rPr>
              <w:t>）</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w:t>
            </w:r>
          </w:p>
        </w:tc>
        <w:tc>
          <w:tcPr>
            <w:tcW w:w="905" w:type="pct"/>
            <w:vMerge w:val="restart"/>
            <w:vAlign w:val="center"/>
          </w:tcPr>
          <w:p w:rsidR="006175A6" w:rsidRDefault="009B4BA7">
            <w:pPr>
              <w:pStyle w:val="TableParagraph"/>
              <w:rPr>
                <w:rFonts w:cs="Times New Roman"/>
                <w:sz w:val="21"/>
                <w:szCs w:val="21"/>
              </w:rPr>
            </w:pPr>
            <w:r>
              <w:rPr>
                <w:rFonts w:cs="Times New Roman" w:hint="eastAsia"/>
                <w:sz w:val="21"/>
                <w:szCs w:val="21"/>
              </w:rPr>
              <w:t>装载类</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挖掘机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84</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2</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装载机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3</w:t>
            </w:r>
          </w:p>
        </w:tc>
        <w:tc>
          <w:tcPr>
            <w:tcW w:w="905" w:type="pct"/>
            <w:vMerge w:val="restart"/>
            <w:vAlign w:val="center"/>
          </w:tcPr>
          <w:p w:rsidR="006175A6" w:rsidRDefault="009B4BA7">
            <w:pPr>
              <w:pStyle w:val="TableParagraph"/>
              <w:rPr>
                <w:rFonts w:cs="Times New Roman"/>
                <w:sz w:val="21"/>
                <w:szCs w:val="21"/>
              </w:rPr>
            </w:pPr>
            <w:r>
              <w:rPr>
                <w:rFonts w:cs="Times New Roman" w:hint="eastAsia"/>
                <w:sz w:val="21"/>
                <w:szCs w:val="21"/>
              </w:rPr>
              <w:t>凿岩及开采类</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风钻</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4</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潜孔钻</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5</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推土机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86</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6</w:t>
            </w:r>
          </w:p>
        </w:tc>
        <w:tc>
          <w:tcPr>
            <w:tcW w:w="905" w:type="pct"/>
            <w:vMerge w:val="restart"/>
            <w:vAlign w:val="center"/>
          </w:tcPr>
          <w:p w:rsidR="006175A6" w:rsidRDefault="009B4BA7">
            <w:pPr>
              <w:pStyle w:val="TableParagraph"/>
              <w:rPr>
                <w:rFonts w:cs="Times New Roman"/>
                <w:sz w:val="21"/>
                <w:szCs w:val="21"/>
              </w:rPr>
            </w:pPr>
            <w:r>
              <w:rPr>
                <w:rFonts w:cs="Times New Roman" w:hint="eastAsia"/>
                <w:sz w:val="21"/>
                <w:szCs w:val="21"/>
              </w:rPr>
              <w:t>钻灌</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冲击钻</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81</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7</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地质钻机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87</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8</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灌浆泵</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9</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搅拌机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95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10</w:t>
            </w:r>
          </w:p>
        </w:tc>
        <w:tc>
          <w:tcPr>
            <w:tcW w:w="905" w:type="pct"/>
            <w:vMerge w:val="restart"/>
            <w:vAlign w:val="center"/>
          </w:tcPr>
          <w:p w:rsidR="006175A6" w:rsidRDefault="006175A6">
            <w:pPr>
              <w:pStyle w:val="TableParagraph"/>
              <w:rPr>
                <w:rFonts w:cs="Times New Roman"/>
                <w:sz w:val="20"/>
                <w:szCs w:val="20"/>
              </w:rPr>
            </w:pPr>
          </w:p>
          <w:p w:rsidR="006175A6" w:rsidRDefault="009B4BA7">
            <w:pPr>
              <w:pStyle w:val="TableParagraph"/>
              <w:rPr>
                <w:rFonts w:cs="Times New Roman"/>
                <w:sz w:val="21"/>
                <w:szCs w:val="21"/>
              </w:rPr>
            </w:pPr>
            <w:r>
              <w:rPr>
                <w:rFonts w:cs="Times New Roman" w:hint="eastAsia"/>
                <w:sz w:val="21"/>
                <w:szCs w:val="21"/>
              </w:rPr>
              <w:t>骨料加工类</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破碎机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95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11</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球磨机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86</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lastRenderedPageBreak/>
              <w:t>12</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振动筛</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13</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给料机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82</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14</w:t>
            </w:r>
          </w:p>
        </w:tc>
        <w:tc>
          <w:tcPr>
            <w:tcW w:w="905" w:type="pct"/>
            <w:vMerge w:val="restart"/>
            <w:vAlign w:val="center"/>
          </w:tcPr>
          <w:p w:rsidR="006175A6" w:rsidRDefault="009B4BA7">
            <w:pPr>
              <w:pStyle w:val="TableParagraph"/>
              <w:rPr>
                <w:rFonts w:cs="Times New Roman"/>
                <w:sz w:val="21"/>
                <w:szCs w:val="21"/>
              </w:rPr>
            </w:pPr>
            <w:r>
              <w:rPr>
                <w:rFonts w:cs="Times New Roman" w:hint="eastAsia"/>
                <w:sz w:val="21"/>
                <w:szCs w:val="21"/>
              </w:rPr>
              <w:t>混凝土施工</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搅拌机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95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15</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振捣器</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16</w:t>
            </w:r>
          </w:p>
        </w:tc>
        <w:tc>
          <w:tcPr>
            <w:tcW w:w="905" w:type="pct"/>
            <w:vMerge w:val="restart"/>
            <w:vAlign w:val="center"/>
          </w:tcPr>
          <w:p w:rsidR="006175A6" w:rsidRDefault="006175A6">
            <w:pPr>
              <w:pStyle w:val="TableParagraph"/>
              <w:rPr>
                <w:rFonts w:cs="Times New Roman"/>
              </w:rPr>
            </w:pPr>
          </w:p>
          <w:p w:rsidR="006175A6" w:rsidRDefault="009B4BA7">
            <w:pPr>
              <w:pStyle w:val="TableParagraph"/>
              <w:rPr>
                <w:rFonts w:cs="Times New Roman"/>
                <w:sz w:val="21"/>
                <w:szCs w:val="21"/>
              </w:rPr>
            </w:pPr>
            <w:r>
              <w:rPr>
                <w:rFonts w:cs="Times New Roman" w:hint="eastAsia"/>
                <w:sz w:val="21"/>
                <w:szCs w:val="21"/>
              </w:rPr>
              <w:t>运输类</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载重汽车</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90</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17</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自卸汽车</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87</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18</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翻斗车</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89</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19</w:t>
            </w:r>
          </w:p>
        </w:tc>
        <w:tc>
          <w:tcPr>
            <w:tcW w:w="905" w:type="pct"/>
            <w:vMerge w:val="restart"/>
            <w:vAlign w:val="center"/>
          </w:tcPr>
          <w:p w:rsidR="006175A6" w:rsidRDefault="009B4BA7">
            <w:pPr>
              <w:pStyle w:val="TableParagraph"/>
              <w:rPr>
                <w:rFonts w:cs="Times New Roman"/>
                <w:sz w:val="21"/>
                <w:szCs w:val="21"/>
              </w:rPr>
            </w:pPr>
            <w:r>
              <w:rPr>
                <w:rFonts w:cs="Times New Roman" w:hint="eastAsia"/>
                <w:sz w:val="21"/>
                <w:szCs w:val="21"/>
              </w:rPr>
              <w:t>其他机械</w:t>
            </w: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空压机</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95</w:t>
            </w:r>
          </w:p>
        </w:tc>
      </w:tr>
      <w:tr w:rsidR="006175A6">
        <w:trPr>
          <w:trHeight w:val="340"/>
        </w:trPr>
        <w:tc>
          <w:tcPr>
            <w:tcW w:w="386" w:type="pct"/>
            <w:vAlign w:val="center"/>
          </w:tcPr>
          <w:p w:rsidR="006175A6" w:rsidRDefault="009B4BA7">
            <w:pPr>
              <w:pStyle w:val="TableParagraph"/>
              <w:rPr>
                <w:rFonts w:ascii="Times New Roman"/>
                <w:sz w:val="21"/>
                <w:szCs w:val="21"/>
              </w:rPr>
            </w:pPr>
            <w:r>
              <w:rPr>
                <w:rFonts w:ascii="Times New Roman"/>
                <w:sz w:val="21"/>
                <w:szCs w:val="21"/>
              </w:rPr>
              <w:t>20</w:t>
            </w:r>
          </w:p>
        </w:tc>
        <w:tc>
          <w:tcPr>
            <w:tcW w:w="9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899" w:type="pct"/>
            <w:vAlign w:val="center"/>
          </w:tcPr>
          <w:p w:rsidR="006175A6" w:rsidRDefault="009B4BA7">
            <w:pPr>
              <w:pStyle w:val="TableParagraph"/>
              <w:rPr>
                <w:rFonts w:cs="Times New Roman"/>
                <w:sz w:val="21"/>
                <w:szCs w:val="21"/>
              </w:rPr>
            </w:pPr>
            <w:r>
              <w:rPr>
                <w:rFonts w:cs="Times New Roman" w:hint="eastAsia"/>
                <w:sz w:val="21"/>
                <w:szCs w:val="21"/>
              </w:rPr>
              <w:t>水泵</w:t>
            </w:r>
          </w:p>
        </w:tc>
        <w:tc>
          <w:tcPr>
            <w:tcW w:w="1429" w:type="pct"/>
            <w:vAlign w:val="center"/>
          </w:tcPr>
          <w:p w:rsidR="006175A6" w:rsidRDefault="009B4BA7">
            <w:pPr>
              <w:pStyle w:val="TableParagraph"/>
              <w:rPr>
                <w:rFonts w:ascii="Times New Roman"/>
                <w:sz w:val="21"/>
                <w:szCs w:val="21"/>
              </w:rPr>
            </w:pPr>
            <w:r>
              <w:rPr>
                <w:rFonts w:ascii="Times New Roman"/>
                <w:sz w:val="21"/>
                <w:szCs w:val="21"/>
              </w:rPr>
              <w:t>5</w:t>
            </w:r>
          </w:p>
        </w:tc>
        <w:tc>
          <w:tcPr>
            <w:tcW w:w="1381" w:type="pct"/>
            <w:vAlign w:val="center"/>
          </w:tcPr>
          <w:p w:rsidR="006175A6" w:rsidRDefault="009B4BA7">
            <w:pPr>
              <w:pStyle w:val="TableParagraph"/>
              <w:rPr>
                <w:rFonts w:ascii="Times New Roman"/>
                <w:sz w:val="21"/>
                <w:szCs w:val="21"/>
              </w:rPr>
            </w:pPr>
            <w:r>
              <w:rPr>
                <w:rFonts w:ascii="Times New Roman"/>
                <w:sz w:val="21"/>
                <w:szCs w:val="21"/>
              </w:rPr>
              <w:t>89</w:t>
            </w:r>
          </w:p>
        </w:tc>
      </w:tr>
    </w:tbl>
    <w:p w:rsidR="006175A6" w:rsidRDefault="009B4BA7">
      <w:pPr>
        <w:pStyle w:val="3"/>
      </w:pPr>
      <w:r>
        <w:rPr>
          <w:rFonts w:hint="eastAsia"/>
        </w:rPr>
        <w:t>固体废物</w:t>
      </w:r>
    </w:p>
    <w:p w:rsidR="006175A6" w:rsidRDefault="009B4BA7">
      <w:pPr>
        <w:ind w:firstLine="480"/>
      </w:pPr>
      <w:r>
        <w:rPr>
          <w:rFonts w:hint="eastAsia"/>
        </w:rPr>
        <w:t>施工期产生的固废主要为弃土弃渣以及施工人员产生的生活垃圾等。</w:t>
      </w:r>
    </w:p>
    <w:p w:rsidR="006175A6" w:rsidRDefault="009B4BA7">
      <w:pPr>
        <w:ind w:firstLine="480"/>
      </w:pPr>
      <w:r>
        <w:rPr>
          <w:rFonts w:hint="eastAsia"/>
        </w:rPr>
        <w:t>（</w:t>
      </w:r>
      <w:r>
        <w:rPr>
          <w:rFonts w:hint="eastAsia"/>
        </w:rPr>
        <w:t>1</w:t>
      </w:r>
      <w:r>
        <w:rPr>
          <w:rFonts w:hint="eastAsia"/>
        </w:rPr>
        <w:t>）弃渣</w:t>
      </w:r>
    </w:p>
    <w:p w:rsidR="006175A6" w:rsidRDefault="009B4BA7">
      <w:pPr>
        <w:ind w:firstLine="480"/>
      </w:pPr>
      <w:r>
        <w:rPr>
          <w:rFonts w:hint="eastAsia"/>
        </w:rPr>
        <w:t>两河口水库工程土石方开挖量</w:t>
      </w:r>
      <w:r>
        <w:rPr>
          <w:rFonts w:hint="eastAsia"/>
        </w:rPr>
        <w:t>70.52</w:t>
      </w:r>
      <w:r>
        <w:rPr>
          <w:rFonts w:hint="eastAsia"/>
        </w:rPr>
        <w:t>万</w:t>
      </w:r>
      <w:r>
        <w:rPr>
          <w:rFonts w:hint="eastAsia"/>
        </w:rPr>
        <w:t xml:space="preserve"> m</w:t>
      </w:r>
      <w:r>
        <w:rPr>
          <w:rFonts w:hint="eastAsia"/>
        </w:rPr>
        <w:t>³，回填量</w:t>
      </w:r>
      <w:r>
        <w:rPr>
          <w:rFonts w:hint="eastAsia"/>
        </w:rPr>
        <w:t xml:space="preserve"> 31.60 </w:t>
      </w:r>
      <w:r>
        <w:rPr>
          <w:rFonts w:hint="eastAsia"/>
        </w:rPr>
        <w:t>万</w:t>
      </w:r>
      <w:r>
        <w:rPr>
          <w:rFonts w:hint="eastAsia"/>
        </w:rPr>
        <w:t xml:space="preserve"> m</w:t>
      </w:r>
      <w:r>
        <w:rPr>
          <w:rFonts w:hint="eastAsia"/>
        </w:rPr>
        <w:t>³，利用方</w:t>
      </w:r>
      <w:r>
        <w:rPr>
          <w:rFonts w:hint="eastAsia"/>
        </w:rPr>
        <w:t xml:space="preserve"> 13.17 </w:t>
      </w:r>
      <w:r>
        <w:rPr>
          <w:rFonts w:hint="eastAsia"/>
        </w:rPr>
        <w:t>万</w:t>
      </w:r>
      <w:r>
        <w:rPr>
          <w:rFonts w:hint="eastAsia"/>
        </w:rPr>
        <w:t xml:space="preserve"> m</w:t>
      </w:r>
      <w:r>
        <w:rPr>
          <w:rFonts w:hint="eastAsia"/>
        </w:rPr>
        <w:t>³，共产生弃渣约</w:t>
      </w:r>
      <w:r>
        <w:rPr>
          <w:rFonts w:hint="eastAsia"/>
        </w:rPr>
        <w:t xml:space="preserve"> 32.84 </w:t>
      </w:r>
      <w:r>
        <w:rPr>
          <w:rFonts w:hint="eastAsia"/>
        </w:rPr>
        <w:t>万</w:t>
      </w:r>
      <w:r>
        <w:rPr>
          <w:rFonts w:hint="eastAsia"/>
        </w:rPr>
        <w:t xml:space="preserve"> m</w:t>
      </w:r>
      <w:r>
        <w:rPr>
          <w:rFonts w:hint="eastAsia"/>
        </w:rPr>
        <w:t>³，其中永久弃渣</w:t>
      </w:r>
      <w:r>
        <w:rPr>
          <w:rFonts w:hint="eastAsia"/>
        </w:rPr>
        <w:t xml:space="preserve"> 27.09 </w:t>
      </w:r>
      <w:r>
        <w:rPr>
          <w:rFonts w:hint="eastAsia"/>
        </w:rPr>
        <w:t>万</w:t>
      </w:r>
      <w:r>
        <w:rPr>
          <w:rFonts w:hint="eastAsia"/>
        </w:rPr>
        <w:t xml:space="preserve"> m</w:t>
      </w:r>
      <w:r>
        <w:rPr>
          <w:rFonts w:hint="eastAsia"/>
        </w:rPr>
        <w:t>³，临时弃渣</w:t>
      </w:r>
      <w:r>
        <w:rPr>
          <w:rFonts w:hint="eastAsia"/>
        </w:rPr>
        <w:t xml:space="preserve">5.75 </w:t>
      </w:r>
      <w:r>
        <w:rPr>
          <w:rFonts w:hint="eastAsia"/>
        </w:rPr>
        <w:t>万</w:t>
      </w:r>
      <w:r>
        <w:rPr>
          <w:rFonts w:hint="eastAsia"/>
        </w:rPr>
        <w:t xml:space="preserve"> m</w:t>
      </w:r>
      <w:r>
        <w:rPr>
          <w:rFonts w:hint="eastAsia"/>
        </w:rPr>
        <w:t>³。产生的永久弃渣全部运至规划弃渣场。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土石方平衡表</w:t>
      </w:r>
      <w:r>
        <w:rPr>
          <w:rFonts w:hint="eastAsia"/>
        </w:rPr>
        <w:t xml:space="preserve">  </w:t>
      </w:r>
      <w:r>
        <w:rPr>
          <w:rFonts w:hint="eastAsia"/>
        </w:rPr>
        <w:t>单位：</w:t>
      </w:r>
      <w:r>
        <w:rPr>
          <w:rFonts w:hint="eastAsia"/>
        </w:rPr>
        <w:t>m</w:t>
      </w:r>
      <w:r>
        <w:rPr>
          <w:rFonts w:hint="eastAsia"/>
        </w:rPr>
        <w:t>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67"/>
        <w:gridCol w:w="802"/>
        <w:gridCol w:w="669"/>
        <w:gridCol w:w="667"/>
        <w:gridCol w:w="735"/>
        <w:gridCol w:w="733"/>
        <w:gridCol w:w="667"/>
        <w:gridCol w:w="800"/>
        <w:gridCol w:w="669"/>
        <w:gridCol w:w="1407"/>
      </w:tblGrid>
      <w:tr w:rsidR="006175A6">
        <w:trPr>
          <w:trHeight w:val="421"/>
        </w:trPr>
        <w:tc>
          <w:tcPr>
            <w:tcW w:w="70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项目</w:t>
            </w:r>
          </w:p>
        </w:tc>
        <w:tc>
          <w:tcPr>
            <w:tcW w:w="1285" w:type="pct"/>
            <w:gridSpan w:val="3"/>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lang w:eastAsia="zh-CN"/>
              </w:rPr>
              <w:t>开</w:t>
            </w:r>
            <w:r>
              <w:rPr>
                <w:rFonts w:ascii="Times New Roman" w:eastAsiaTheme="minorEastAsia" w:hAnsi="Times New Roman" w:cs="Times New Roman"/>
                <w:sz w:val="21"/>
                <w:szCs w:val="21"/>
              </w:rPr>
              <w:t>挖</w:t>
            </w:r>
          </w:p>
        </w:tc>
        <w:tc>
          <w:tcPr>
            <w:tcW w:w="44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回填</w:t>
            </w:r>
          </w:p>
        </w:tc>
        <w:tc>
          <w:tcPr>
            <w:tcW w:w="441"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利用</w:t>
            </w:r>
          </w:p>
        </w:tc>
        <w:tc>
          <w:tcPr>
            <w:tcW w:w="1284" w:type="pct"/>
            <w:gridSpan w:val="3"/>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弃方</w:t>
            </w:r>
          </w:p>
        </w:tc>
        <w:tc>
          <w:tcPr>
            <w:tcW w:w="84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备注</w:t>
            </w:r>
          </w:p>
        </w:tc>
      </w:tr>
      <w:tr w:rsidR="006175A6">
        <w:trPr>
          <w:trHeight w:val="340"/>
        </w:trPr>
        <w:tc>
          <w:tcPr>
            <w:tcW w:w="702" w:type="pct"/>
            <w:vMerge/>
            <w:vAlign w:val="center"/>
          </w:tcPr>
          <w:p w:rsidR="006175A6" w:rsidRDefault="006175A6">
            <w:pPr>
              <w:widowControl/>
              <w:spacing w:line="240" w:lineRule="auto"/>
              <w:ind w:firstLineChars="0" w:firstLine="0"/>
              <w:jc w:val="center"/>
              <w:rPr>
                <w:rFonts w:eastAsiaTheme="minorEastAsia"/>
                <w:sz w:val="21"/>
              </w:rPr>
            </w:pP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土石方</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小计</w:t>
            </w:r>
          </w:p>
        </w:tc>
        <w:tc>
          <w:tcPr>
            <w:tcW w:w="442" w:type="pct"/>
            <w:vMerge/>
            <w:vAlign w:val="center"/>
          </w:tcPr>
          <w:p w:rsidR="006175A6" w:rsidRDefault="006175A6">
            <w:pPr>
              <w:widowControl/>
              <w:spacing w:line="240" w:lineRule="auto"/>
              <w:ind w:firstLineChars="0" w:firstLine="0"/>
              <w:jc w:val="center"/>
              <w:rPr>
                <w:rFonts w:eastAsiaTheme="minorEastAsia"/>
                <w:sz w:val="21"/>
              </w:rPr>
            </w:pPr>
          </w:p>
        </w:tc>
        <w:tc>
          <w:tcPr>
            <w:tcW w:w="441" w:type="pct"/>
            <w:vMerge/>
            <w:vAlign w:val="center"/>
          </w:tcPr>
          <w:p w:rsidR="006175A6" w:rsidRDefault="006175A6">
            <w:pPr>
              <w:widowControl/>
              <w:spacing w:line="240" w:lineRule="auto"/>
              <w:ind w:firstLineChars="0" w:firstLine="0"/>
              <w:jc w:val="center"/>
              <w:rPr>
                <w:rFonts w:eastAsiaTheme="minorEastAsia"/>
                <w:sz w:val="21"/>
              </w:rPr>
            </w:pP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永久</w:t>
            </w: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临时</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小计</w:t>
            </w:r>
          </w:p>
        </w:tc>
        <w:tc>
          <w:tcPr>
            <w:tcW w:w="846" w:type="pct"/>
            <w:vMerge/>
            <w:vAlign w:val="center"/>
          </w:tcPr>
          <w:p w:rsidR="006175A6" w:rsidRDefault="006175A6">
            <w:pPr>
              <w:widowControl/>
              <w:spacing w:line="240" w:lineRule="auto"/>
              <w:ind w:firstLineChars="0" w:firstLine="0"/>
              <w:jc w:val="center"/>
              <w:rPr>
                <w:rFonts w:eastAsiaTheme="minorEastAsia"/>
                <w:sz w:val="21"/>
              </w:rPr>
            </w:pP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大坝区（包括</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围堰）</w:t>
            </w:r>
          </w:p>
        </w:tc>
        <w:tc>
          <w:tcPr>
            <w:tcW w:w="482"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14.43</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14.43</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0.11</w:t>
            </w:r>
          </w:p>
        </w:tc>
        <w:tc>
          <w:tcPr>
            <w:tcW w:w="44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10.72</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3.59</w:t>
            </w:r>
          </w:p>
        </w:tc>
        <w:tc>
          <w:tcPr>
            <w:tcW w:w="481"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3.59</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大坝弃渣场</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导流洞区</w:t>
            </w:r>
          </w:p>
        </w:tc>
        <w:tc>
          <w:tcPr>
            <w:tcW w:w="482"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0.45</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0.45</w:t>
            </w:r>
          </w:p>
        </w:tc>
        <w:tc>
          <w:tcPr>
            <w:tcW w:w="442" w:type="pct"/>
            <w:vAlign w:val="center"/>
          </w:tcPr>
          <w:p w:rsidR="006175A6" w:rsidRDefault="006175A6">
            <w:pPr>
              <w:pStyle w:val="TableParagraph"/>
              <w:rPr>
                <w:rFonts w:ascii="Times New Roman" w:eastAsiaTheme="minorEastAsia" w:hAnsi="Times New Roman" w:cs="Times New Roman"/>
                <w:sz w:val="21"/>
                <w:szCs w:val="21"/>
              </w:rPr>
            </w:pP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0.45</w:t>
            </w:r>
          </w:p>
        </w:tc>
        <w:tc>
          <w:tcPr>
            <w:tcW w:w="481"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0.45</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大坝弃渣场</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输水工程区</w:t>
            </w:r>
          </w:p>
        </w:tc>
        <w:tc>
          <w:tcPr>
            <w:tcW w:w="482"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18.66</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18.66</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0.25</w:t>
            </w:r>
          </w:p>
        </w:tc>
        <w:tc>
          <w:tcPr>
            <w:tcW w:w="44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2.45</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15.96</w:t>
            </w:r>
          </w:p>
        </w:tc>
        <w:tc>
          <w:tcPr>
            <w:tcW w:w="481" w:type="pct"/>
            <w:vAlign w:val="center"/>
          </w:tcPr>
          <w:p w:rsidR="006175A6" w:rsidRDefault="006175A6">
            <w:pPr>
              <w:pStyle w:val="TableParagraph"/>
              <w:rPr>
                <w:rFonts w:ascii="Times New Roman" w:eastAsiaTheme="minorEastAsia" w:hAnsi="Times New Roman" w:cs="Times New Roman"/>
                <w:sz w:val="21"/>
                <w:szCs w:val="21"/>
              </w:rPr>
            </w:pP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15.96</w:t>
            </w:r>
          </w:p>
        </w:tc>
        <w:tc>
          <w:tcPr>
            <w:tcW w:w="846"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大坝弃渣场、支</w:t>
            </w:r>
          </w:p>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沟弃渣场</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工程管理区</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0.06</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1.06</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1.12</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1.06</w:t>
            </w: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6175A6">
            <w:pPr>
              <w:pStyle w:val="TableParagraph"/>
              <w:rPr>
                <w:rFonts w:ascii="Times New Roman" w:eastAsiaTheme="minorEastAsia" w:hAnsi="Times New Roman" w:cs="Times New Roman"/>
                <w:sz w:val="21"/>
                <w:szCs w:val="21"/>
              </w:rPr>
            </w:pP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0.06</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0.06</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表土剥离</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施工场地区</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0.3</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2.66</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2.96</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2.67</w:t>
            </w: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6175A6">
            <w:pPr>
              <w:pStyle w:val="TableParagraph"/>
              <w:rPr>
                <w:rFonts w:ascii="Times New Roman" w:eastAsiaTheme="minorEastAsia" w:hAnsi="Times New Roman" w:cs="Times New Roman"/>
                <w:sz w:val="21"/>
                <w:szCs w:val="21"/>
              </w:rPr>
            </w:pP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0.29</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0.29</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表土剥离</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交通道路区</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4.07</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27.5</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31.57</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27.5</w:t>
            </w: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7.09</w:t>
            </w: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4.07</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4.07</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表土剥离</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料场区</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0.03</w:t>
            </w:r>
          </w:p>
        </w:tc>
        <w:tc>
          <w:tcPr>
            <w:tcW w:w="402"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0.03</w:t>
            </w:r>
          </w:p>
        </w:tc>
        <w:tc>
          <w:tcPr>
            <w:tcW w:w="442" w:type="pct"/>
            <w:vAlign w:val="center"/>
          </w:tcPr>
          <w:p w:rsidR="006175A6" w:rsidRDefault="006175A6">
            <w:pPr>
              <w:pStyle w:val="TableParagraph"/>
              <w:rPr>
                <w:rFonts w:ascii="Times New Roman" w:eastAsiaTheme="minorEastAsia" w:hAnsi="Times New Roman" w:cs="Times New Roman"/>
                <w:sz w:val="21"/>
                <w:szCs w:val="21"/>
              </w:rPr>
            </w:pP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6175A6">
            <w:pPr>
              <w:pStyle w:val="TableParagraph"/>
              <w:rPr>
                <w:rFonts w:ascii="Times New Roman" w:eastAsiaTheme="minorEastAsia" w:hAnsi="Times New Roman" w:cs="Times New Roman"/>
                <w:sz w:val="21"/>
                <w:szCs w:val="21"/>
              </w:rPr>
            </w:pP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0.03</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0.03</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表土剥离</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弃渣场区</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402"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1.30</w:t>
            </w:r>
          </w:p>
        </w:tc>
        <w:tc>
          <w:tcPr>
            <w:tcW w:w="442" w:type="pct"/>
            <w:vAlign w:val="center"/>
          </w:tcPr>
          <w:p w:rsidR="006175A6" w:rsidRDefault="006175A6">
            <w:pPr>
              <w:pStyle w:val="TableParagraph"/>
              <w:rPr>
                <w:rFonts w:ascii="Times New Roman" w:eastAsiaTheme="minorEastAsia" w:hAnsi="Times New Roman" w:cs="Times New Roman"/>
                <w:sz w:val="21"/>
                <w:szCs w:val="21"/>
              </w:rPr>
            </w:pPr>
          </w:p>
        </w:tc>
        <w:tc>
          <w:tcPr>
            <w:tcW w:w="441" w:type="pct"/>
            <w:vAlign w:val="center"/>
          </w:tcPr>
          <w:p w:rsidR="006175A6" w:rsidRDefault="006175A6">
            <w:pPr>
              <w:pStyle w:val="TableParagraph"/>
              <w:rPr>
                <w:rFonts w:ascii="Times New Roman" w:eastAsiaTheme="minorEastAsia" w:hAnsi="Times New Roman" w:cs="Times New Roman"/>
                <w:sz w:val="21"/>
                <w:szCs w:val="21"/>
              </w:rPr>
            </w:pPr>
          </w:p>
        </w:tc>
        <w:tc>
          <w:tcPr>
            <w:tcW w:w="401" w:type="pct"/>
            <w:vAlign w:val="center"/>
          </w:tcPr>
          <w:p w:rsidR="006175A6" w:rsidRDefault="006175A6">
            <w:pPr>
              <w:pStyle w:val="TableParagraph"/>
              <w:rPr>
                <w:rFonts w:ascii="Times New Roman" w:eastAsiaTheme="minorEastAsia" w:hAnsi="Times New Roman" w:cs="Times New Roman"/>
                <w:sz w:val="21"/>
                <w:szCs w:val="21"/>
              </w:rPr>
            </w:pP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1.30</w:t>
            </w:r>
          </w:p>
        </w:tc>
        <w:tc>
          <w:tcPr>
            <w:tcW w:w="84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表土剥离</w:t>
            </w:r>
          </w:p>
        </w:tc>
      </w:tr>
      <w:tr w:rsidR="006175A6">
        <w:trPr>
          <w:trHeight w:val="340"/>
        </w:trPr>
        <w:tc>
          <w:tcPr>
            <w:tcW w:w="7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总计</w:t>
            </w:r>
          </w:p>
        </w:tc>
        <w:tc>
          <w:tcPr>
            <w:tcW w:w="48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5.76</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64.76</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70.52</w:t>
            </w:r>
          </w:p>
        </w:tc>
        <w:tc>
          <w:tcPr>
            <w:tcW w:w="44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31.60</w:t>
            </w:r>
          </w:p>
        </w:tc>
        <w:tc>
          <w:tcPr>
            <w:tcW w:w="44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13.17</w:t>
            </w:r>
          </w:p>
        </w:tc>
        <w:tc>
          <w:tcPr>
            <w:tcW w:w="40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27.09</w:t>
            </w:r>
          </w:p>
        </w:tc>
        <w:tc>
          <w:tcPr>
            <w:tcW w:w="48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5.75</w:t>
            </w:r>
          </w:p>
        </w:tc>
        <w:tc>
          <w:tcPr>
            <w:tcW w:w="402"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32.84</w:t>
            </w:r>
          </w:p>
        </w:tc>
        <w:tc>
          <w:tcPr>
            <w:tcW w:w="846" w:type="pct"/>
            <w:vAlign w:val="center"/>
          </w:tcPr>
          <w:p w:rsidR="006175A6" w:rsidRDefault="006175A6">
            <w:pPr>
              <w:pStyle w:val="TableParagraph"/>
              <w:rPr>
                <w:rFonts w:ascii="Times New Roman" w:eastAsiaTheme="minorEastAsia" w:hAnsi="Times New Roman" w:cs="Times New Roman"/>
                <w:sz w:val="21"/>
                <w:szCs w:val="21"/>
              </w:rPr>
            </w:pPr>
          </w:p>
        </w:tc>
      </w:tr>
    </w:tbl>
    <w:p w:rsidR="006175A6" w:rsidRDefault="009B4BA7">
      <w:pPr>
        <w:ind w:firstLine="480"/>
      </w:pPr>
      <w:r>
        <w:rPr>
          <w:rFonts w:hint="eastAsia"/>
        </w:rPr>
        <w:t>（</w:t>
      </w:r>
      <w:r>
        <w:rPr>
          <w:rFonts w:hint="eastAsia"/>
        </w:rPr>
        <w:t>2</w:t>
      </w:r>
      <w:r>
        <w:rPr>
          <w:rFonts w:hint="eastAsia"/>
        </w:rPr>
        <w:t>）生活垃圾</w:t>
      </w:r>
    </w:p>
    <w:p w:rsidR="006175A6" w:rsidRDefault="009B4BA7">
      <w:pPr>
        <w:ind w:firstLine="480"/>
      </w:pPr>
      <w:r>
        <w:rPr>
          <w:rFonts w:hint="eastAsia"/>
        </w:rPr>
        <w:t>本工程高峰期施工人数为</w:t>
      </w:r>
      <w:r>
        <w:rPr>
          <w:rFonts w:hint="eastAsia"/>
        </w:rPr>
        <w:t>400</w:t>
      </w:r>
      <w:r>
        <w:rPr>
          <w:rFonts w:hint="eastAsia"/>
        </w:rPr>
        <w:t>人，生活垃圾按人均日排放生活垃圾</w:t>
      </w:r>
      <w:r>
        <w:rPr>
          <w:rFonts w:hint="eastAsia"/>
        </w:rPr>
        <w:t>0.5kg</w:t>
      </w:r>
      <w:r>
        <w:rPr>
          <w:rFonts w:hint="eastAsia"/>
        </w:rPr>
        <w:t>计算，在施工高峰期生活垃圾产生量为</w:t>
      </w:r>
      <w:r>
        <w:rPr>
          <w:rFonts w:hint="eastAsia"/>
        </w:rPr>
        <w:t>0.15t/d</w:t>
      </w:r>
      <w:r>
        <w:rPr>
          <w:rFonts w:hint="eastAsia"/>
        </w:rPr>
        <w:t>，采取集中收集，转运至垃圾填埋场。</w:t>
      </w:r>
    </w:p>
    <w:p w:rsidR="006175A6" w:rsidRDefault="009B4BA7">
      <w:pPr>
        <w:ind w:firstLine="480"/>
      </w:pPr>
      <w:r>
        <w:rPr>
          <w:rFonts w:hint="eastAsia"/>
        </w:rPr>
        <w:t>综上，本工程施工期产污情况统计见下</w:t>
      </w:r>
      <w:r>
        <w:fldChar w:fldCharType="begin"/>
      </w:r>
      <w:r>
        <w:instrText xml:space="preserve"> </w:instrText>
      </w:r>
      <w:r>
        <w:rPr>
          <w:rFonts w:hint="eastAsia"/>
        </w:rPr>
        <w:instrText>REF _Ref77595170 \h</w:instrText>
      </w:r>
      <w:r>
        <w:instrText xml:space="preserve"> </w:instrText>
      </w:r>
      <w:r>
        <w:fldChar w:fldCharType="separate"/>
      </w:r>
      <w:r w:rsidR="00E97427">
        <w:rPr>
          <w:rFonts w:hint="eastAsia"/>
        </w:rPr>
        <w:t>表</w:t>
      </w:r>
      <w:r w:rsidR="00E97427">
        <w:rPr>
          <w:rFonts w:hint="eastAsia"/>
        </w:rPr>
        <w:t xml:space="preserve"> </w:t>
      </w:r>
      <w:r w:rsidR="00E97427">
        <w:rPr>
          <w:noProof/>
        </w:rPr>
        <w:t>4.3</w:t>
      </w:r>
      <w:r w:rsidR="00E97427">
        <w:noBreakHyphen/>
      </w:r>
      <w:r w:rsidR="00E97427">
        <w:rPr>
          <w:noProof/>
        </w:rPr>
        <w:t>5</w:t>
      </w:r>
      <w:r>
        <w:fldChar w:fldCharType="end"/>
      </w:r>
      <w:r>
        <w:rPr>
          <w:rFonts w:hint="eastAsia"/>
        </w:rPr>
        <w:t>。</w:t>
      </w:r>
    </w:p>
    <w:p w:rsidR="006175A6" w:rsidRDefault="009B4BA7">
      <w:pPr>
        <w:pStyle w:val="a3"/>
      </w:pPr>
      <w:bookmarkStart w:id="52" w:name="_Ref77595170"/>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bookmarkEnd w:id="52"/>
      <w:r>
        <w:rPr>
          <w:rFonts w:hint="eastAsia"/>
        </w:rPr>
        <w:t xml:space="preserve">  </w:t>
      </w:r>
      <w:r>
        <w:rPr>
          <w:rFonts w:hint="eastAsia"/>
        </w:rPr>
        <w:t>工程施工期产污情况一览表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9"/>
        <w:gridCol w:w="2550"/>
        <w:gridCol w:w="2190"/>
        <w:gridCol w:w="2437"/>
      </w:tblGrid>
      <w:tr w:rsidR="006175A6">
        <w:trPr>
          <w:trHeight w:val="340"/>
        </w:trPr>
        <w:tc>
          <w:tcPr>
            <w:tcW w:w="685" w:type="pct"/>
            <w:vAlign w:val="center"/>
          </w:tcPr>
          <w:p w:rsidR="006175A6" w:rsidRDefault="009B4BA7">
            <w:pPr>
              <w:pStyle w:val="TableParagraph"/>
              <w:rPr>
                <w:rFonts w:cs="Times New Roman"/>
                <w:sz w:val="21"/>
                <w:szCs w:val="21"/>
              </w:rPr>
            </w:pPr>
            <w:r>
              <w:rPr>
                <w:rFonts w:cs="Times New Roman" w:hint="eastAsia"/>
                <w:sz w:val="21"/>
                <w:szCs w:val="21"/>
              </w:rPr>
              <w:t>污染类型</w:t>
            </w: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产生环节</w:t>
            </w:r>
          </w:p>
        </w:tc>
        <w:tc>
          <w:tcPr>
            <w:tcW w:w="1317" w:type="pct"/>
            <w:vAlign w:val="center"/>
          </w:tcPr>
          <w:p w:rsidR="006175A6" w:rsidRDefault="009B4BA7">
            <w:pPr>
              <w:pStyle w:val="TableParagraph"/>
              <w:rPr>
                <w:rFonts w:cs="Times New Roman"/>
                <w:sz w:val="21"/>
                <w:szCs w:val="21"/>
              </w:rPr>
            </w:pPr>
            <w:r>
              <w:rPr>
                <w:rFonts w:cs="Times New Roman" w:hint="eastAsia"/>
                <w:sz w:val="21"/>
                <w:szCs w:val="21"/>
              </w:rPr>
              <w:t>污染物</w:t>
            </w:r>
          </w:p>
        </w:tc>
        <w:tc>
          <w:tcPr>
            <w:tcW w:w="1465" w:type="pct"/>
            <w:vAlign w:val="center"/>
          </w:tcPr>
          <w:p w:rsidR="006175A6" w:rsidRDefault="009B4BA7">
            <w:pPr>
              <w:pStyle w:val="TableParagraph"/>
              <w:rPr>
                <w:rFonts w:cs="Times New Roman"/>
                <w:sz w:val="21"/>
                <w:szCs w:val="21"/>
              </w:rPr>
            </w:pPr>
            <w:r>
              <w:rPr>
                <w:rFonts w:cs="Times New Roman" w:hint="eastAsia"/>
                <w:sz w:val="21"/>
                <w:szCs w:val="21"/>
              </w:rPr>
              <w:t>产生源强及特性</w:t>
            </w:r>
          </w:p>
        </w:tc>
      </w:tr>
      <w:tr w:rsidR="006175A6">
        <w:trPr>
          <w:trHeight w:val="340"/>
        </w:trPr>
        <w:tc>
          <w:tcPr>
            <w:tcW w:w="685" w:type="pct"/>
            <w:vMerge w:val="restart"/>
            <w:vAlign w:val="center"/>
          </w:tcPr>
          <w:p w:rsidR="006175A6" w:rsidRDefault="009B4BA7">
            <w:pPr>
              <w:pStyle w:val="TableParagraph"/>
              <w:rPr>
                <w:rFonts w:cs="Times New Roman"/>
                <w:sz w:val="21"/>
                <w:szCs w:val="21"/>
              </w:rPr>
            </w:pPr>
            <w:r>
              <w:rPr>
                <w:rFonts w:cs="Times New Roman" w:hint="eastAsia"/>
                <w:sz w:val="21"/>
                <w:szCs w:val="21"/>
              </w:rPr>
              <w:lastRenderedPageBreak/>
              <w:t>施工废气</w:t>
            </w: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施工爆破废气、粉尘</w:t>
            </w:r>
          </w:p>
        </w:tc>
        <w:tc>
          <w:tcPr>
            <w:tcW w:w="1317" w:type="pct"/>
            <w:vAlign w:val="center"/>
          </w:tcPr>
          <w:p w:rsidR="006175A6" w:rsidRDefault="009B4BA7">
            <w:pPr>
              <w:pStyle w:val="TableParagraph"/>
              <w:rPr>
                <w:rFonts w:cs="Times New Roman"/>
                <w:sz w:val="21"/>
                <w:szCs w:val="21"/>
              </w:rPr>
            </w:pPr>
            <w:r>
              <w:rPr>
                <w:rFonts w:ascii="Times New Roman"/>
                <w:position w:val="2"/>
                <w:sz w:val="21"/>
                <w:szCs w:val="21"/>
              </w:rPr>
              <w:t>CO</w:t>
            </w:r>
            <w:r>
              <w:rPr>
                <w:rFonts w:cs="Times New Roman" w:hint="eastAsia"/>
                <w:position w:val="2"/>
                <w:sz w:val="21"/>
                <w:szCs w:val="21"/>
              </w:rPr>
              <w:t>、</w:t>
            </w:r>
            <w:r>
              <w:rPr>
                <w:rFonts w:ascii="Times New Roman"/>
                <w:position w:val="2"/>
                <w:sz w:val="21"/>
                <w:szCs w:val="21"/>
              </w:rPr>
              <w:t>NO</w:t>
            </w:r>
            <w:r>
              <w:rPr>
                <w:rFonts w:ascii="Times New Roman"/>
                <w:position w:val="2"/>
                <w:sz w:val="21"/>
                <w:szCs w:val="21"/>
                <w:vertAlign w:val="subscript"/>
              </w:rPr>
              <w:t>2</w:t>
            </w:r>
            <w:r>
              <w:rPr>
                <w:rFonts w:cs="Times New Roman" w:hint="eastAsia"/>
                <w:position w:val="2"/>
                <w:sz w:val="21"/>
                <w:szCs w:val="21"/>
              </w:rPr>
              <w:t>、粉尘</w:t>
            </w:r>
          </w:p>
        </w:tc>
        <w:tc>
          <w:tcPr>
            <w:tcW w:w="1465" w:type="pct"/>
            <w:vAlign w:val="center"/>
          </w:tcPr>
          <w:p w:rsidR="006175A6" w:rsidRDefault="009B4BA7">
            <w:pPr>
              <w:pStyle w:val="TableParagraph"/>
              <w:rPr>
                <w:rFonts w:cs="Times New Roman"/>
                <w:sz w:val="21"/>
                <w:szCs w:val="21"/>
              </w:rPr>
            </w:pPr>
            <w:r>
              <w:rPr>
                <w:rFonts w:cs="Times New Roman" w:hint="eastAsia"/>
                <w:sz w:val="21"/>
                <w:szCs w:val="21"/>
              </w:rPr>
              <w:t>间断散排，</w:t>
            </w:r>
            <w:r>
              <w:rPr>
                <w:rFonts w:ascii="Times New Roman" w:hAnsi="Times New Roman" w:cs="Times New Roman"/>
                <w:color w:val="000000"/>
                <w:sz w:val="21"/>
                <w:szCs w:val="21"/>
              </w:rPr>
              <w:t>2595.6</w:t>
            </w:r>
            <w:r>
              <w:rPr>
                <w:rFonts w:ascii="Times New Roman"/>
                <w:sz w:val="21"/>
                <w:szCs w:val="21"/>
              </w:rPr>
              <w:t>kg</w:t>
            </w:r>
            <w:r>
              <w:rPr>
                <w:rFonts w:cs="Times New Roman" w:hint="eastAsia"/>
                <w:sz w:val="21"/>
                <w:szCs w:val="21"/>
              </w:rPr>
              <w:t>、</w:t>
            </w:r>
          </w:p>
          <w:p w:rsidR="006175A6" w:rsidRDefault="009B4BA7">
            <w:pPr>
              <w:pStyle w:val="TableParagraph"/>
              <w:rPr>
                <w:rFonts w:ascii="Times New Roman"/>
                <w:sz w:val="21"/>
                <w:szCs w:val="21"/>
              </w:rPr>
            </w:pPr>
            <w:r>
              <w:rPr>
                <w:rFonts w:ascii="Times New Roman" w:hAnsi="Times New Roman" w:cs="Times New Roman"/>
                <w:color w:val="000000"/>
                <w:sz w:val="21"/>
                <w:szCs w:val="21"/>
              </w:rPr>
              <w:t>6015.2</w:t>
            </w:r>
            <w:r>
              <w:rPr>
                <w:rFonts w:ascii="Times New Roman"/>
                <w:sz w:val="21"/>
                <w:szCs w:val="21"/>
              </w:rPr>
              <w:t>kg</w:t>
            </w:r>
            <w:r>
              <w:rPr>
                <w:rFonts w:cs="Times New Roman" w:hint="eastAsia"/>
                <w:sz w:val="21"/>
                <w:szCs w:val="21"/>
              </w:rPr>
              <w:t>、</w:t>
            </w:r>
            <w:r>
              <w:rPr>
                <w:rFonts w:ascii="Times New Roman" w:hAnsi="Times New Roman" w:cs="Times New Roman"/>
                <w:color w:val="000000"/>
                <w:sz w:val="21"/>
                <w:szCs w:val="21"/>
              </w:rPr>
              <w:t xml:space="preserve">75606.1 </w:t>
            </w:r>
            <w:r>
              <w:rPr>
                <w:rFonts w:ascii="Times New Roman"/>
                <w:sz w:val="21"/>
                <w:szCs w:val="21"/>
              </w:rPr>
              <w:t>kg</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砂石加工粉尘</w:t>
            </w:r>
          </w:p>
        </w:tc>
        <w:tc>
          <w:tcPr>
            <w:tcW w:w="1317" w:type="pct"/>
            <w:vAlign w:val="center"/>
          </w:tcPr>
          <w:p w:rsidR="006175A6" w:rsidRDefault="009B4BA7">
            <w:pPr>
              <w:pStyle w:val="TableParagraph"/>
              <w:rPr>
                <w:rFonts w:ascii="Times New Roman"/>
                <w:sz w:val="21"/>
                <w:szCs w:val="21"/>
              </w:rPr>
            </w:pPr>
            <w:r>
              <w:rPr>
                <w:rFonts w:ascii="Times New Roman"/>
                <w:sz w:val="21"/>
                <w:szCs w:val="21"/>
              </w:rPr>
              <w:t>TSP</w:t>
            </w:r>
          </w:p>
        </w:tc>
        <w:tc>
          <w:tcPr>
            <w:tcW w:w="1465" w:type="pct"/>
            <w:vAlign w:val="center"/>
          </w:tcPr>
          <w:p w:rsidR="006175A6" w:rsidRDefault="009B4BA7">
            <w:pPr>
              <w:pStyle w:val="TableParagraph"/>
              <w:rPr>
                <w:rFonts w:ascii="Times New Roman"/>
                <w:sz w:val="21"/>
                <w:szCs w:val="21"/>
              </w:rPr>
            </w:pPr>
            <w:r>
              <w:rPr>
                <w:rFonts w:cs="Times New Roman" w:hint="eastAsia"/>
                <w:sz w:val="21"/>
                <w:szCs w:val="21"/>
              </w:rPr>
              <w:t>间断排放，</w:t>
            </w:r>
            <w:r>
              <w:rPr>
                <w:rFonts w:ascii="Times New Roman"/>
                <w:sz w:val="21"/>
                <w:szCs w:val="21"/>
              </w:rPr>
              <w:t>6kg/h</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混凝土拌合粉尘</w:t>
            </w:r>
          </w:p>
        </w:tc>
        <w:tc>
          <w:tcPr>
            <w:tcW w:w="1317" w:type="pct"/>
            <w:vAlign w:val="center"/>
          </w:tcPr>
          <w:p w:rsidR="006175A6" w:rsidRDefault="009B4BA7">
            <w:pPr>
              <w:pStyle w:val="TableParagraph"/>
              <w:rPr>
                <w:rFonts w:ascii="Times New Roman"/>
                <w:sz w:val="21"/>
                <w:szCs w:val="21"/>
              </w:rPr>
            </w:pPr>
            <w:r>
              <w:rPr>
                <w:rFonts w:ascii="Times New Roman"/>
                <w:sz w:val="21"/>
                <w:szCs w:val="21"/>
              </w:rPr>
              <w:t>TSP</w:t>
            </w:r>
          </w:p>
        </w:tc>
        <w:tc>
          <w:tcPr>
            <w:tcW w:w="1465" w:type="pct"/>
            <w:vAlign w:val="center"/>
          </w:tcPr>
          <w:p w:rsidR="006175A6" w:rsidRDefault="009B4BA7">
            <w:pPr>
              <w:pStyle w:val="TableParagraph"/>
              <w:rPr>
                <w:rFonts w:ascii="Times New Roman"/>
                <w:sz w:val="21"/>
                <w:szCs w:val="21"/>
              </w:rPr>
            </w:pPr>
            <w:r>
              <w:rPr>
                <w:rFonts w:cs="Times New Roman" w:hint="eastAsia"/>
                <w:sz w:val="21"/>
                <w:szCs w:val="21"/>
              </w:rPr>
              <w:t>间断排放，</w:t>
            </w:r>
            <w:r>
              <w:rPr>
                <w:rFonts w:ascii="Times New Roman" w:hint="eastAsia"/>
                <w:sz w:val="21"/>
                <w:szCs w:val="21"/>
                <w:lang w:eastAsia="zh-CN"/>
              </w:rPr>
              <w:t>110</w:t>
            </w:r>
            <w:r>
              <w:rPr>
                <w:rFonts w:ascii="Times New Roman"/>
                <w:sz w:val="21"/>
                <w:szCs w:val="21"/>
              </w:rPr>
              <w:t>kg</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机械燃油废气</w:t>
            </w:r>
          </w:p>
        </w:tc>
        <w:tc>
          <w:tcPr>
            <w:tcW w:w="1317" w:type="pct"/>
            <w:vAlign w:val="center"/>
          </w:tcPr>
          <w:p w:rsidR="006175A6" w:rsidRDefault="009B4BA7">
            <w:pPr>
              <w:pStyle w:val="TableParagraph"/>
              <w:rPr>
                <w:rFonts w:ascii="Times New Roman"/>
                <w:sz w:val="21"/>
                <w:szCs w:val="21"/>
              </w:rPr>
            </w:pPr>
            <w:r>
              <w:rPr>
                <w:rFonts w:ascii="Times New Roman"/>
                <w:position w:val="2"/>
                <w:sz w:val="21"/>
                <w:szCs w:val="21"/>
              </w:rPr>
              <w:t>CO</w:t>
            </w:r>
            <w:r>
              <w:rPr>
                <w:rFonts w:cs="Times New Roman" w:hint="eastAsia"/>
                <w:position w:val="2"/>
                <w:sz w:val="21"/>
                <w:szCs w:val="21"/>
              </w:rPr>
              <w:t>、</w:t>
            </w:r>
            <w:r>
              <w:rPr>
                <w:rFonts w:ascii="Times New Roman"/>
                <w:position w:val="2"/>
                <w:sz w:val="21"/>
                <w:szCs w:val="21"/>
              </w:rPr>
              <w:t>NO</w:t>
            </w:r>
            <w:r>
              <w:rPr>
                <w:rFonts w:ascii="Times New Roman"/>
                <w:position w:val="2"/>
                <w:sz w:val="21"/>
                <w:szCs w:val="21"/>
                <w:vertAlign w:val="subscript"/>
              </w:rPr>
              <w:t>X</w:t>
            </w:r>
            <w:r>
              <w:rPr>
                <w:rFonts w:cs="Times New Roman" w:hint="eastAsia"/>
                <w:position w:val="2"/>
                <w:sz w:val="21"/>
                <w:szCs w:val="21"/>
              </w:rPr>
              <w:t>、</w:t>
            </w:r>
            <w:r>
              <w:rPr>
                <w:rFonts w:ascii="Times New Roman"/>
                <w:position w:val="2"/>
                <w:sz w:val="21"/>
                <w:szCs w:val="21"/>
              </w:rPr>
              <w:t>SO</w:t>
            </w:r>
            <w:r>
              <w:rPr>
                <w:rFonts w:ascii="Times New Roman"/>
                <w:position w:val="2"/>
                <w:sz w:val="21"/>
                <w:szCs w:val="21"/>
                <w:vertAlign w:val="subscript"/>
              </w:rPr>
              <w:t>2</w:t>
            </w:r>
          </w:p>
        </w:tc>
        <w:tc>
          <w:tcPr>
            <w:tcW w:w="14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间断散排，</w:t>
            </w:r>
            <w:r>
              <w:rPr>
                <w:rFonts w:ascii="Times New Roman"/>
                <w:sz w:val="21"/>
                <w:szCs w:val="21"/>
                <w:lang w:eastAsia="zh-CN"/>
              </w:rPr>
              <w:t>8.81 t</w:t>
            </w:r>
            <w:r>
              <w:rPr>
                <w:rFonts w:cs="Times New Roman" w:hint="eastAsia"/>
                <w:sz w:val="21"/>
                <w:szCs w:val="21"/>
                <w:lang w:eastAsia="zh-CN"/>
              </w:rPr>
              <w:t>、</w:t>
            </w:r>
          </w:p>
          <w:p w:rsidR="006175A6" w:rsidRDefault="009B4BA7">
            <w:pPr>
              <w:pStyle w:val="TableParagraph"/>
              <w:rPr>
                <w:rFonts w:ascii="Times New Roman"/>
                <w:sz w:val="21"/>
                <w:szCs w:val="21"/>
                <w:lang w:eastAsia="zh-CN"/>
              </w:rPr>
            </w:pPr>
            <w:r>
              <w:rPr>
                <w:rFonts w:ascii="Times New Roman"/>
                <w:sz w:val="21"/>
                <w:szCs w:val="21"/>
                <w:lang w:eastAsia="zh-CN"/>
              </w:rPr>
              <w:t>14.48 t</w:t>
            </w:r>
            <w:r>
              <w:rPr>
                <w:rFonts w:cs="Times New Roman" w:hint="eastAsia"/>
                <w:sz w:val="21"/>
                <w:szCs w:val="21"/>
                <w:lang w:eastAsia="zh-CN"/>
              </w:rPr>
              <w:t>、</w:t>
            </w:r>
            <w:r>
              <w:rPr>
                <w:rFonts w:ascii="Times New Roman"/>
                <w:sz w:val="21"/>
                <w:szCs w:val="21"/>
                <w:lang w:eastAsia="zh-CN"/>
              </w:rPr>
              <w:t>1.06t</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lang w:eastAsia="zh-CN"/>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生活燃料废气</w:t>
            </w:r>
          </w:p>
        </w:tc>
        <w:tc>
          <w:tcPr>
            <w:tcW w:w="1317" w:type="pct"/>
            <w:vAlign w:val="center"/>
          </w:tcPr>
          <w:p w:rsidR="006175A6" w:rsidRDefault="009B4BA7">
            <w:pPr>
              <w:pStyle w:val="TableParagraph"/>
              <w:rPr>
                <w:rFonts w:cs="Times New Roman"/>
                <w:sz w:val="21"/>
                <w:szCs w:val="21"/>
              </w:rPr>
            </w:pPr>
            <w:r>
              <w:rPr>
                <w:rFonts w:cs="Times New Roman" w:hint="eastAsia"/>
                <w:sz w:val="21"/>
                <w:szCs w:val="21"/>
              </w:rPr>
              <w:t>油烟</w:t>
            </w:r>
          </w:p>
        </w:tc>
        <w:tc>
          <w:tcPr>
            <w:tcW w:w="1465" w:type="pct"/>
            <w:vAlign w:val="center"/>
          </w:tcPr>
          <w:p w:rsidR="006175A6" w:rsidRDefault="009B4BA7">
            <w:pPr>
              <w:pStyle w:val="TableParagraph"/>
              <w:rPr>
                <w:rFonts w:cs="Times New Roman"/>
                <w:sz w:val="21"/>
                <w:szCs w:val="21"/>
              </w:rPr>
            </w:pPr>
            <w:r>
              <w:rPr>
                <w:rFonts w:cs="Times New Roman" w:hint="eastAsia"/>
                <w:sz w:val="21"/>
                <w:szCs w:val="21"/>
              </w:rPr>
              <w:t>较小，间歇性排放</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交通运输扬尘</w:t>
            </w:r>
          </w:p>
        </w:tc>
        <w:tc>
          <w:tcPr>
            <w:tcW w:w="1317" w:type="pct"/>
            <w:vAlign w:val="center"/>
          </w:tcPr>
          <w:p w:rsidR="006175A6" w:rsidRDefault="009B4BA7">
            <w:pPr>
              <w:pStyle w:val="TableParagraph"/>
              <w:rPr>
                <w:rFonts w:ascii="Times New Roman"/>
                <w:sz w:val="21"/>
                <w:szCs w:val="21"/>
              </w:rPr>
            </w:pPr>
            <w:r>
              <w:rPr>
                <w:rFonts w:ascii="Times New Roman"/>
                <w:sz w:val="21"/>
                <w:szCs w:val="21"/>
              </w:rPr>
              <w:t>TSP</w:t>
            </w:r>
          </w:p>
        </w:tc>
        <w:tc>
          <w:tcPr>
            <w:tcW w:w="1465" w:type="pct"/>
            <w:vAlign w:val="center"/>
          </w:tcPr>
          <w:p w:rsidR="006175A6" w:rsidRDefault="009B4BA7">
            <w:pPr>
              <w:pStyle w:val="TableParagraph"/>
              <w:rPr>
                <w:rFonts w:ascii="Times New Roman"/>
                <w:sz w:val="21"/>
                <w:szCs w:val="21"/>
              </w:rPr>
            </w:pPr>
            <w:r>
              <w:rPr>
                <w:rFonts w:ascii="Times New Roman"/>
                <w:sz w:val="21"/>
                <w:szCs w:val="21"/>
              </w:rPr>
              <w:t>1.5mg/m</w:t>
            </w:r>
            <w:r>
              <w:rPr>
                <w:rFonts w:ascii="Times New Roman"/>
                <w:sz w:val="21"/>
                <w:szCs w:val="21"/>
                <w:vertAlign w:val="superscript"/>
              </w:rPr>
              <w:t>3</w:t>
            </w:r>
            <w:r>
              <w:rPr>
                <w:rFonts w:ascii="Times New Roman"/>
                <w:sz w:val="21"/>
                <w:szCs w:val="21"/>
              </w:rPr>
              <w:t>~30mg/m</w:t>
            </w:r>
            <w:r>
              <w:rPr>
                <w:rFonts w:ascii="Times New Roman"/>
                <w:sz w:val="21"/>
                <w:szCs w:val="21"/>
                <w:vertAlign w:val="superscript"/>
              </w:rPr>
              <w:t>3</w:t>
            </w:r>
          </w:p>
        </w:tc>
      </w:tr>
      <w:tr w:rsidR="006175A6">
        <w:trPr>
          <w:trHeight w:val="340"/>
        </w:trPr>
        <w:tc>
          <w:tcPr>
            <w:tcW w:w="685" w:type="pct"/>
            <w:vMerge w:val="restart"/>
            <w:vAlign w:val="center"/>
          </w:tcPr>
          <w:p w:rsidR="006175A6" w:rsidRDefault="009B4BA7">
            <w:pPr>
              <w:pStyle w:val="TableParagraph"/>
              <w:rPr>
                <w:rFonts w:cs="Times New Roman"/>
                <w:sz w:val="21"/>
                <w:szCs w:val="21"/>
              </w:rPr>
            </w:pPr>
            <w:r>
              <w:rPr>
                <w:rFonts w:cs="Times New Roman" w:hint="eastAsia"/>
                <w:sz w:val="21"/>
                <w:szCs w:val="21"/>
              </w:rPr>
              <w:t>施工废水</w:t>
            </w: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石料加工废水</w:t>
            </w:r>
          </w:p>
        </w:tc>
        <w:tc>
          <w:tcPr>
            <w:tcW w:w="1317" w:type="pct"/>
            <w:vAlign w:val="center"/>
          </w:tcPr>
          <w:p w:rsidR="006175A6" w:rsidRDefault="009B4BA7">
            <w:pPr>
              <w:pStyle w:val="TableParagraph"/>
              <w:rPr>
                <w:rFonts w:ascii="Times New Roman"/>
                <w:sz w:val="21"/>
                <w:szCs w:val="21"/>
              </w:rPr>
            </w:pPr>
            <w:r>
              <w:rPr>
                <w:rFonts w:ascii="Times New Roman"/>
                <w:sz w:val="21"/>
                <w:szCs w:val="21"/>
              </w:rPr>
              <w:t>SS</w:t>
            </w:r>
          </w:p>
        </w:tc>
        <w:tc>
          <w:tcPr>
            <w:tcW w:w="1465" w:type="pct"/>
            <w:vAlign w:val="center"/>
          </w:tcPr>
          <w:p w:rsidR="006175A6" w:rsidRDefault="009B4BA7">
            <w:pPr>
              <w:pStyle w:val="TableParagraph"/>
              <w:rPr>
                <w:rFonts w:ascii="Times New Roman"/>
                <w:sz w:val="21"/>
                <w:szCs w:val="21"/>
              </w:rPr>
            </w:pPr>
            <w:r>
              <w:rPr>
                <w:rFonts w:ascii="Times New Roman"/>
                <w:sz w:val="21"/>
                <w:szCs w:val="21"/>
              </w:rPr>
              <w:t>20000mg/L</w:t>
            </w:r>
            <w:r>
              <w:rPr>
                <w:rFonts w:cs="Times New Roman" w:hint="eastAsia"/>
                <w:sz w:val="21"/>
                <w:szCs w:val="21"/>
              </w:rPr>
              <w:t>，</w:t>
            </w:r>
            <w:r>
              <w:rPr>
                <w:rFonts w:ascii="Times New Roman"/>
                <w:sz w:val="21"/>
                <w:szCs w:val="21"/>
              </w:rPr>
              <w:t>80t/h</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混凝土拌合废水</w:t>
            </w:r>
          </w:p>
        </w:tc>
        <w:tc>
          <w:tcPr>
            <w:tcW w:w="1317" w:type="pct"/>
            <w:vAlign w:val="center"/>
          </w:tcPr>
          <w:p w:rsidR="006175A6" w:rsidRDefault="009B4BA7">
            <w:pPr>
              <w:pStyle w:val="TableParagraph"/>
              <w:rPr>
                <w:rFonts w:ascii="Times New Roman"/>
                <w:sz w:val="21"/>
                <w:szCs w:val="21"/>
              </w:rPr>
            </w:pPr>
            <w:r>
              <w:rPr>
                <w:rFonts w:ascii="Times New Roman"/>
                <w:sz w:val="21"/>
                <w:szCs w:val="21"/>
              </w:rPr>
              <w:t>SS</w:t>
            </w:r>
            <w:r>
              <w:rPr>
                <w:rFonts w:cs="Times New Roman" w:hint="eastAsia"/>
                <w:sz w:val="21"/>
                <w:szCs w:val="21"/>
              </w:rPr>
              <w:t>、</w:t>
            </w:r>
            <w:r>
              <w:rPr>
                <w:rFonts w:ascii="Times New Roman"/>
                <w:sz w:val="21"/>
                <w:szCs w:val="21"/>
              </w:rPr>
              <w:t>pH</w:t>
            </w:r>
          </w:p>
        </w:tc>
        <w:tc>
          <w:tcPr>
            <w:tcW w:w="1465" w:type="pct"/>
            <w:vAlign w:val="center"/>
          </w:tcPr>
          <w:p w:rsidR="006175A6" w:rsidRDefault="009B4BA7">
            <w:pPr>
              <w:pStyle w:val="TableParagraph"/>
              <w:rPr>
                <w:rFonts w:ascii="Times New Roman"/>
                <w:sz w:val="21"/>
                <w:szCs w:val="21"/>
              </w:rPr>
            </w:pPr>
            <w:r>
              <w:rPr>
                <w:rFonts w:ascii="Times New Roman"/>
                <w:sz w:val="21"/>
                <w:szCs w:val="21"/>
              </w:rPr>
              <w:t>5000mg/L</w:t>
            </w:r>
            <w:r>
              <w:rPr>
                <w:rFonts w:cs="Times New Roman" w:hint="eastAsia"/>
                <w:sz w:val="21"/>
                <w:szCs w:val="21"/>
              </w:rPr>
              <w:t>，</w:t>
            </w:r>
            <w:r>
              <w:rPr>
                <w:rFonts w:ascii="Times New Roman"/>
                <w:sz w:val="21"/>
                <w:szCs w:val="21"/>
              </w:rPr>
              <w:t>9~11</w:t>
            </w:r>
            <w:r>
              <w:rPr>
                <w:rFonts w:cs="Times New Roman" w:hint="eastAsia"/>
                <w:sz w:val="21"/>
                <w:szCs w:val="21"/>
              </w:rPr>
              <w:t>，</w:t>
            </w:r>
            <w:r>
              <w:rPr>
                <w:rFonts w:ascii="Times New Roman"/>
                <w:sz w:val="21"/>
                <w:szCs w:val="21"/>
              </w:rPr>
              <w:t>37.5t/h</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基坑废水</w:t>
            </w:r>
          </w:p>
        </w:tc>
        <w:tc>
          <w:tcPr>
            <w:tcW w:w="1317" w:type="pct"/>
            <w:vAlign w:val="center"/>
          </w:tcPr>
          <w:p w:rsidR="006175A6" w:rsidRDefault="009B4BA7">
            <w:pPr>
              <w:pStyle w:val="TableParagraph"/>
              <w:rPr>
                <w:rFonts w:ascii="Times New Roman"/>
                <w:sz w:val="21"/>
                <w:szCs w:val="21"/>
              </w:rPr>
            </w:pPr>
            <w:r>
              <w:rPr>
                <w:rFonts w:ascii="Times New Roman"/>
                <w:sz w:val="21"/>
                <w:szCs w:val="21"/>
              </w:rPr>
              <w:t>SS</w:t>
            </w:r>
          </w:p>
        </w:tc>
        <w:tc>
          <w:tcPr>
            <w:tcW w:w="1465" w:type="pct"/>
            <w:vAlign w:val="center"/>
          </w:tcPr>
          <w:p w:rsidR="006175A6" w:rsidRDefault="009B4BA7">
            <w:pPr>
              <w:pStyle w:val="TableParagraph"/>
              <w:rPr>
                <w:rFonts w:ascii="Times New Roman"/>
                <w:sz w:val="21"/>
                <w:szCs w:val="21"/>
                <w:lang w:eastAsia="zh-CN"/>
              </w:rPr>
            </w:pPr>
            <w:r>
              <w:rPr>
                <w:rFonts w:cs="Times New Roman" w:hint="eastAsia"/>
                <w:sz w:val="21"/>
                <w:szCs w:val="21"/>
                <w:lang w:eastAsia="zh-CN"/>
              </w:rPr>
              <w:t>初期排水和经常排水；经常排水</w:t>
            </w:r>
            <w:r>
              <w:rPr>
                <w:rFonts w:ascii="Times New Roman"/>
                <w:sz w:val="21"/>
                <w:szCs w:val="21"/>
                <w:lang w:eastAsia="zh-CN"/>
              </w:rPr>
              <w:t>5000mg/L</w:t>
            </w:r>
            <w:r>
              <w:rPr>
                <w:rFonts w:cs="Times New Roman" w:hint="eastAsia"/>
                <w:sz w:val="21"/>
                <w:szCs w:val="21"/>
                <w:lang w:eastAsia="zh-CN"/>
              </w:rPr>
              <w:t>，</w:t>
            </w:r>
            <w:r>
              <w:rPr>
                <w:rFonts w:ascii="Times New Roman"/>
                <w:sz w:val="21"/>
                <w:szCs w:val="21"/>
                <w:lang w:eastAsia="zh-CN"/>
              </w:rPr>
              <w:t>360m</w:t>
            </w:r>
            <w:r>
              <w:rPr>
                <w:rFonts w:ascii="Times New Roman"/>
                <w:position w:val="7"/>
                <w:sz w:val="13"/>
                <w:szCs w:val="13"/>
                <w:lang w:eastAsia="zh-CN"/>
              </w:rPr>
              <w:t>3</w:t>
            </w:r>
            <w:r>
              <w:rPr>
                <w:rFonts w:ascii="Times New Roman"/>
                <w:sz w:val="21"/>
                <w:szCs w:val="21"/>
                <w:lang w:eastAsia="zh-CN"/>
              </w:rPr>
              <w:t>/d</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lang w:eastAsia="zh-CN"/>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施工机械冲洗废水</w:t>
            </w:r>
          </w:p>
        </w:tc>
        <w:tc>
          <w:tcPr>
            <w:tcW w:w="1317" w:type="pct"/>
            <w:vAlign w:val="center"/>
          </w:tcPr>
          <w:p w:rsidR="006175A6" w:rsidRDefault="009B4BA7">
            <w:pPr>
              <w:pStyle w:val="TableParagraph"/>
              <w:rPr>
                <w:rFonts w:cs="Times New Roman"/>
                <w:sz w:val="21"/>
                <w:szCs w:val="21"/>
              </w:rPr>
            </w:pPr>
            <w:r>
              <w:rPr>
                <w:rFonts w:ascii="Times New Roman"/>
                <w:sz w:val="21"/>
                <w:szCs w:val="21"/>
              </w:rPr>
              <w:t>SS</w:t>
            </w:r>
            <w:r>
              <w:rPr>
                <w:rFonts w:cs="Times New Roman" w:hint="eastAsia"/>
                <w:sz w:val="21"/>
                <w:szCs w:val="21"/>
              </w:rPr>
              <w:t>、石油类</w:t>
            </w:r>
          </w:p>
        </w:tc>
        <w:tc>
          <w:tcPr>
            <w:tcW w:w="1465" w:type="pct"/>
            <w:vAlign w:val="center"/>
          </w:tcPr>
          <w:p w:rsidR="006175A6" w:rsidRDefault="009B4BA7">
            <w:pPr>
              <w:pStyle w:val="TableParagraph"/>
              <w:rPr>
                <w:rFonts w:ascii="Times New Roman"/>
                <w:sz w:val="21"/>
                <w:szCs w:val="21"/>
                <w:lang w:eastAsia="zh-CN"/>
              </w:rPr>
            </w:pPr>
            <w:r>
              <w:rPr>
                <w:rFonts w:ascii="Times New Roman" w:hint="eastAsia"/>
                <w:sz w:val="21"/>
                <w:szCs w:val="21"/>
                <w:lang w:eastAsia="zh-CN"/>
              </w:rPr>
              <w:t>间歇产生；</w:t>
            </w:r>
            <w:r>
              <w:rPr>
                <w:rFonts w:ascii="Times New Roman"/>
                <w:sz w:val="21"/>
                <w:szCs w:val="21"/>
                <w:lang w:eastAsia="zh-CN"/>
              </w:rPr>
              <w:t>3000mg/L</w:t>
            </w:r>
            <w:r>
              <w:rPr>
                <w:rFonts w:cs="Times New Roman" w:hint="eastAsia"/>
                <w:sz w:val="21"/>
                <w:szCs w:val="21"/>
                <w:lang w:eastAsia="zh-CN"/>
              </w:rPr>
              <w:t>、</w:t>
            </w:r>
            <w:r>
              <w:rPr>
                <w:rFonts w:ascii="Times New Roman"/>
                <w:sz w:val="21"/>
                <w:szCs w:val="21"/>
                <w:lang w:eastAsia="zh-CN"/>
              </w:rPr>
              <w:t>10~30mg/L</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lang w:eastAsia="zh-CN"/>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生活污水</w:t>
            </w:r>
          </w:p>
        </w:tc>
        <w:tc>
          <w:tcPr>
            <w:tcW w:w="1317" w:type="pct"/>
            <w:vAlign w:val="center"/>
          </w:tcPr>
          <w:p w:rsidR="006175A6" w:rsidRDefault="009B4BA7">
            <w:pPr>
              <w:pStyle w:val="TableParagraph"/>
              <w:rPr>
                <w:rFonts w:ascii="Times New Roman"/>
                <w:sz w:val="21"/>
                <w:szCs w:val="21"/>
              </w:rPr>
            </w:pPr>
            <w:r>
              <w:rPr>
                <w:rFonts w:ascii="Times New Roman"/>
                <w:position w:val="2"/>
                <w:sz w:val="21"/>
                <w:szCs w:val="21"/>
              </w:rPr>
              <w:t>COD</w:t>
            </w:r>
            <w:r>
              <w:rPr>
                <w:rFonts w:cs="Times New Roman" w:hint="eastAsia"/>
                <w:position w:val="2"/>
                <w:sz w:val="21"/>
                <w:szCs w:val="21"/>
              </w:rPr>
              <w:t>、</w:t>
            </w:r>
            <w:r>
              <w:rPr>
                <w:rFonts w:ascii="Times New Roman"/>
                <w:position w:val="2"/>
                <w:sz w:val="21"/>
                <w:szCs w:val="21"/>
              </w:rPr>
              <w:t>BOD</w:t>
            </w:r>
            <w:r>
              <w:rPr>
                <w:rFonts w:ascii="Times New Roman"/>
                <w:position w:val="2"/>
                <w:sz w:val="21"/>
                <w:szCs w:val="21"/>
                <w:vertAlign w:val="subscript"/>
              </w:rPr>
              <w:t>5</w:t>
            </w:r>
            <w:r>
              <w:rPr>
                <w:rFonts w:cs="Times New Roman" w:hint="eastAsia"/>
                <w:position w:val="2"/>
                <w:sz w:val="21"/>
                <w:szCs w:val="21"/>
              </w:rPr>
              <w:t>、</w:t>
            </w:r>
            <w:r>
              <w:rPr>
                <w:rFonts w:ascii="Times New Roman"/>
                <w:position w:val="2"/>
                <w:sz w:val="21"/>
                <w:szCs w:val="21"/>
              </w:rPr>
              <w:t>SS</w:t>
            </w:r>
            <w:r>
              <w:rPr>
                <w:rFonts w:cs="Times New Roman" w:hint="eastAsia"/>
                <w:position w:val="2"/>
                <w:sz w:val="21"/>
                <w:szCs w:val="21"/>
              </w:rPr>
              <w:t>、</w:t>
            </w:r>
            <w:r>
              <w:rPr>
                <w:rFonts w:ascii="Times New Roman"/>
                <w:position w:val="2"/>
                <w:sz w:val="21"/>
                <w:szCs w:val="21"/>
              </w:rPr>
              <w:t>NH</w:t>
            </w:r>
            <w:r>
              <w:rPr>
                <w:rFonts w:ascii="Times New Roman"/>
                <w:position w:val="2"/>
                <w:sz w:val="21"/>
                <w:szCs w:val="21"/>
                <w:vertAlign w:val="subscript"/>
              </w:rPr>
              <w:t>3</w:t>
            </w:r>
            <w:r>
              <w:rPr>
                <w:rFonts w:ascii="Times New Roman"/>
                <w:position w:val="2"/>
                <w:sz w:val="21"/>
                <w:szCs w:val="21"/>
              </w:rPr>
              <w:t>-N</w:t>
            </w:r>
            <w:r>
              <w:rPr>
                <w:rFonts w:cs="Times New Roman" w:hint="eastAsia"/>
                <w:position w:val="2"/>
                <w:sz w:val="21"/>
                <w:szCs w:val="21"/>
              </w:rPr>
              <w:t>、</w:t>
            </w:r>
            <w:r>
              <w:rPr>
                <w:rFonts w:ascii="Times New Roman"/>
                <w:position w:val="2"/>
                <w:sz w:val="21"/>
                <w:szCs w:val="21"/>
              </w:rPr>
              <w:t>TP</w:t>
            </w:r>
          </w:p>
        </w:tc>
        <w:tc>
          <w:tcPr>
            <w:tcW w:w="1465" w:type="pct"/>
            <w:vAlign w:val="center"/>
          </w:tcPr>
          <w:p w:rsidR="006175A6" w:rsidRDefault="009B4BA7">
            <w:pPr>
              <w:pStyle w:val="TableParagraph"/>
              <w:rPr>
                <w:rFonts w:ascii="Times New Roman"/>
                <w:sz w:val="21"/>
                <w:szCs w:val="21"/>
              </w:rPr>
            </w:pPr>
            <w:r>
              <w:rPr>
                <w:rFonts w:ascii="Times New Roman"/>
                <w:sz w:val="21"/>
                <w:szCs w:val="21"/>
              </w:rPr>
              <w:t>400mg/L</w:t>
            </w:r>
            <w:r>
              <w:rPr>
                <w:rFonts w:cs="Times New Roman" w:hint="eastAsia"/>
                <w:sz w:val="21"/>
                <w:szCs w:val="21"/>
              </w:rPr>
              <w:t>、</w:t>
            </w:r>
            <w:r>
              <w:rPr>
                <w:rFonts w:ascii="Times New Roman"/>
                <w:sz w:val="21"/>
                <w:szCs w:val="21"/>
              </w:rPr>
              <w:t>250mg/L</w:t>
            </w:r>
            <w:r>
              <w:rPr>
                <w:rFonts w:cs="Times New Roman" w:hint="eastAsia"/>
                <w:sz w:val="21"/>
                <w:szCs w:val="21"/>
              </w:rPr>
              <w:t>、</w:t>
            </w:r>
            <w:r>
              <w:rPr>
                <w:rFonts w:ascii="Times New Roman"/>
                <w:sz w:val="21"/>
                <w:szCs w:val="21"/>
              </w:rPr>
              <w:t>300mg/L</w:t>
            </w:r>
            <w:r>
              <w:rPr>
                <w:rFonts w:cs="Times New Roman" w:hint="eastAsia"/>
                <w:sz w:val="21"/>
                <w:szCs w:val="21"/>
              </w:rPr>
              <w:t>、</w:t>
            </w:r>
            <w:r>
              <w:rPr>
                <w:rFonts w:ascii="Times New Roman"/>
                <w:sz w:val="21"/>
                <w:szCs w:val="21"/>
              </w:rPr>
              <w:t>30mg/L</w:t>
            </w:r>
            <w:r>
              <w:rPr>
                <w:rFonts w:cs="Times New Roman" w:hint="eastAsia"/>
                <w:sz w:val="21"/>
                <w:szCs w:val="21"/>
              </w:rPr>
              <w:t>、</w:t>
            </w:r>
            <w:r>
              <w:rPr>
                <w:rFonts w:ascii="Times New Roman"/>
                <w:sz w:val="21"/>
                <w:szCs w:val="21"/>
              </w:rPr>
              <w:t>4.5mg/L</w:t>
            </w:r>
          </w:p>
        </w:tc>
      </w:tr>
      <w:tr w:rsidR="006175A6">
        <w:trPr>
          <w:trHeight w:val="340"/>
        </w:trPr>
        <w:tc>
          <w:tcPr>
            <w:tcW w:w="685" w:type="pct"/>
            <w:vAlign w:val="center"/>
          </w:tcPr>
          <w:p w:rsidR="006175A6" w:rsidRDefault="009B4BA7">
            <w:pPr>
              <w:pStyle w:val="TableParagraph"/>
              <w:rPr>
                <w:rFonts w:cs="Times New Roman"/>
                <w:sz w:val="21"/>
                <w:szCs w:val="21"/>
              </w:rPr>
            </w:pPr>
            <w:r>
              <w:rPr>
                <w:rFonts w:cs="Times New Roman" w:hint="eastAsia"/>
                <w:sz w:val="21"/>
                <w:szCs w:val="21"/>
              </w:rPr>
              <w:t>噪声</w:t>
            </w:r>
          </w:p>
        </w:tc>
        <w:tc>
          <w:tcPr>
            <w:tcW w:w="153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各类机械设备噪声、交通噪声等</w:t>
            </w:r>
          </w:p>
        </w:tc>
        <w:tc>
          <w:tcPr>
            <w:tcW w:w="1317" w:type="pct"/>
            <w:vAlign w:val="center"/>
          </w:tcPr>
          <w:p w:rsidR="006175A6" w:rsidRDefault="009B4BA7">
            <w:pPr>
              <w:pStyle w:val="TableParagraph"/>
              <w:rPr>
                <w:rFonts w:cs="Times New Roman"/>
                <w:sz w:val="21"/>
                <w:szCs w:val="21"/>
              </w:rPr>
            </w:pPr>
            <w:r>
              <w:rPr>
                <w:rFonts w:cs="Times New Roman" w:hint="eastAsia"/>
                <w:sz w:val="21"/>
                <w:szCs w:val="21"/>
              </w:rPr>
              <w:t>等效</w:t>
            </w:r>
            <w:r>
              <w:rPr>
                <w:rFonts w:ascii="Times New Roman"/>
                <w:sz w:val="21"/>
                <w:szCs w:val="21"/>
              </w:rPr>
              <w:t>A</w:t>
            </w:r>
            <w:r>
              <w:rPr>
                <w:rFonts w:cs="Times New Roman" w:hint="eastAsia"/>
                <w:sz w:val="21"/>
                <w:szCs w:val="21"/>
              </w:rPr>
              <w:t>声级</w:t>
            </w:r>
          </w:p>
        </w:tc>
        <w:tc>
          <w:tcPr>
            <w:tcW w:w="1465" w:type="pct"/>
            <w:vAlign w:val="center"/>
          </w:tcPr>
          <w:p w:rsidR="006175A6" w:rsidRDefault="009B4BA7">
            <w:pPr>
              <w:pStyle w:val="TableParagraph"/>
              <w:rPr>
                <w:rFonts w:cs="Times New Roman"/>
                <w:sz w:val="21"/>
                <w:szCs w:val="21"/>
              </w:rPr>
            </w:pPr>
            <w:r>
              <w:rPr>
                <w:rFonts w:ascii="Times New Roman"/>
                <w:sz w:val="21"/>
                <w:szCs w:val="21"/>
              </w:rPr>
              <w:t>81~95dB</w:t>
            </w:r>
            <w:r>
              <w:rPr>
                <w:rFonts w:cs="Times New Roman" w:hint="eastAsia"/>
                <w:sz w:val="21"/>
                <w:szCs w:val="21"/>
              </w:rPr>
              <w:t>（</w:t>
            </w:r>
            <w:r>
              <w:rPr>
                <w:rFonts w:ascii="Times New Roman"/>
                <w:sz w:val="21"/>
                <w:szCs w:val="21"/>
              </w:rPr>
              <w:t>A</w:t>
            </w:r>
            <w:r>
              <w:rPr>
                <w:rFonts w:cs="Times New Roman" w:hint="eastAsia"/>
                <w:sz w:val="21"/>
                <w:szCs w:val="21"/>
              </w:rPr>
              <w:t>）</w:t>
            </w:r>
          </w:p>
        </w:tc>
      </w:tr>
      <w:tr w:rsidR="006175A6">
        <w:trPr>
          <w:trHeight w:val="340"/>
        </w:trPr>
        <w:tc>
          <w:tcPr>
            <w:tcW w:w="685" w:type="pct"/>
            <w:vMerge w:val="restart"/>
            <w:vAlign w:val="center"/>
          </w:tcPr>
          <w:p w:rsidR="006175A6" w:rsidRDefault="009B4BA7">
            <w:pPr>
              <w:pStyle w:val="TableParagraph"/>
              <w:rPr>
                <w:rFonts w:cs="Times New Roman"/>
                <w:sz w:val="21"/>
                <w:szCs w:val="21"/>
              </w:rPr>
            </w:pPr>
            <w:r>
              <w:rPr>
                <w:rFonts w:cs="Times New Roman" w:hint="eastAsia"/>
                <w:sz w:val="21"/>
                <w:szCs w:val="21"/>
              </w:rPr>
              <w:t>固废</w:t>
            </w: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弃渣</w:t>
            </w:r>
          </w:p>
        </w:tc>
        <w:tc>
          <w:tcPr>
            <w:tcW w:w="1317" w:type="pct"/>
            <w:vAlign w:val="center"/>
          </w:tcPr>
          <w:p w:rsidR="006175A6" w:rsidRDefault="009B4BA7">
            <w:pPr>
              <w:pStyle w:val="TableParagraph"/>
              <w:rPr>
                <w:rFonts w:cs="Times New Roman"/>
                <w:sz w:val="21"/>
                <w:szCs w:val="21"/>
              </w:rPr>
            </w:pPr>
            <w:r>
              <w:rPr>
                <w:rFonts w:cs="Times New Roman" w:hint="eastAsia"/>
                <w:sz w:val="21"/>
                <w:szCs w:val="21"/>
              </w:rPr>
              <w:t>弃土渣</w:t>
            </w:r>
          </w:p>
        </w:tc>
        <w:tc>
          <w:tcPr>
            <w:tcW w:w="1465" w:type="pct"/>
            <w:vAlign w:val="center"/>
          </w:tcPr>
          <w:p w:rsidR="006175A6" w:rsidRDefault="009B4BA7">
            <w:pPr>
              <w:pStyle w:val="TableParagraph"/>
              <w:rPr>
                <w:rFonts w:ascii="Times New Roman"/>
                <w:sz w:val="13"/>
                <w:szCs w:val="13"/>
              </w:rPr>
            </w:pPr>
            <w:r>
              <w:rPr>
                <w:rFonts w:cs="Times New Roman" w:hint="eastAsia"/>
                <w:sz w:val="21"/>
                <w:szCs w:val="21"/>
              </w:rPr>
              <w:t>弃方量</w:t>
            </w:r>
            <w:r>
              <w:rPr>
                <w:rFonts w:ascii="Times New Roman" w:hint="eastAsia"/>
                <w:sz w:val="21"/>
                <w:szCs w:val="21"/>
                <w:lang w:eastAsia="zh-CN"/>
              </w:rPr>
              <w:t>32.84</w:t>
            </w:r>
            <w:r>
              <w:rPr>
                <w:rFonts w:cs="Times New Roman" w:hint="eastAsia"/>
                <w:sz w:val="21"/>
                <w:szCs w:val="21"/>
              </w:rPr>
              <w:t>万</w:t>
            </w:r>
            <w:r>
              <w:rPr>
                <w:rFonts w:ascii="Times New Roman"/>
                <w:sz w:val="21"/>
                <w:szCs w:val="21"/>
              </w:rPr>
              <w:t>m</w:t>
            </w:r>
            <w:r>
              <w:rPr>
                <w:rFonts w:ascii="Times New Roman"/>
                <w:position w:val="7"/>
                <w:sz w:val="13"/>
                <w:szCs w:val="13"/>
              </w:rPr>
              <w:t>3</w:t>
            </w:r>
          </w:p>
        </w:tc>
      </w:tr>
      <w:tr w:rsidR="006175A6">
        <w:trPr>
          <w:trHeight w:val="340"/>
        </w:trPr>
        <w:tc>
          <w:tcPr>
            <w:tcW w:w="68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1533" w:type="pct"/>
            <w:vAlign w:val="center"/>
          </w:tcPr>
          <w:p w:rsidR="006175A6" w:rsidRDefault="009B4BA7">
            <w:pPr>
              <w:pStyle w:val="TableParagraph"/>
              <w:rPr>
                <w:rFonts w:cs="Times New Roman"/>
                <w:sz w:val="21"/>
                <w:szCs w:val="21"/>
              </w:rPr>
            </w:pPr>
            <w:r>
              <w:rPr>
                <w:rFonts w:cs="Times New Roman" w:hint="eastAsia"/>
                <w:sz w:val="21"/>
                <w:szCs w:val="21"/>
              </w:rPr>
              <w:t>生活垃圾</w:t>
            </w:r>
          </w:p>
        </w:tc>
        <w:tc>
          <w:tcPr>
            <w:tcW w:w="1317" w:type="pct"/>
            <w:vAlign w:val="center"/>
          </w:tcPr>
          <w:p w:rsidR="006175A6" w:rsidRDefault="009B4BA7">
            <w:pPr>
              <w:pStyle w:val="TableParagraph"/>
              <w:rPr>
                <w:rFonts w:cs="Times New Roman"/>
                <w:sz w:val="21"/>
                <w:szCs w:val="21"/>
              </w:rPr>
            </w:pPr>
            <w:r>
              <w:rPr>
                <w:rFonts w:cs="Times New Roman" w:hint="eastAsia"/>
                <w:sz w:val="21"/>
                <w:szCs w:val="21"/>
              </w:rPr>
              <w:t>一般固体废物</w:t>
            </w:r>
          </w:p>
        </w:tc>
        <w:tc>
          <w:tcPr>
            <w:tcW w:w="1465" w:type="pct"/>
            <w:vAlign w:val="center"/>
          </w:tcPr>
          <w:p w:rsidR="006175A6" w:rsidRDefault="009B4BA7">
            <w:pPr>
              <w:pStyle w:val="TableParagraph"/>
              <w:rPr>
                <w:rFonts w:ascii="Times New Roman"/>
                <w:sz w:val="21"/>
                <w:szCs w:val="21"/>
                <w:lang w:eastAsia="zh-CN"/>
              </w:rPr>
            </w:pPr>
            <w:r>
              <w:rPr>
                <w:rFonts w:ascii="Times New Roman" w:hint="eastAsia"/>
                <w:sz w:val="21"/>
                <w:szCs w:val="21"/>
                <w:lang w:eastAsia="zh-CN"/>
              </w:rPr>
              <w:t>0.15</w:t>
            </w:r>
            <w:r>
              <w:rPr>
                <w:rFonts w:ascii="Times New Roman"/>
                <w:sz w:val="21"/>
                <w:szCs w:val="21"/>
              </w:rPr>
              <w:t>t/d</w:t>
            </w:r>
          </w:p>
        </w:tc>
      </w:tr>
    </w:tbl>
    <w:p w:rsidR="006175A6" w:rsidRDefault="009B4BA7">
      <w:pPr>
        <w:pStyle w:val="2"/>
      </w:pPr>
      <w:bookmarkStart w:id="53" w:name="_Toc80170104"/>
      <w:r>
        <w:rPr>
          <w:rFonts w:hint="eastAsia"/>
        </w:rPr>
        <w:t>运营期污染源强分析</w:t>
      </w:r>
      <w:bookmarkEnd w:id="53"/>
    </w:p>
    <w:p w:rsidR="006175A6" w:rsidRDefault="009B4BA7">
      <w:pPr>
        <w:ind w:firstLine="480"/>
      </w:pPr>
      <w:r>
        <w:rPr>
          <w:rFonts w:hint="eastAsia"/>
        </w:rPr>
        <w:t>水库营运期主要产污环节为水库管理房产生的污染物。</w:t>
      </w:r>
    </w:p>
    <w:p w:rsidR="006175A6" w:rsidRDefault="009B4BA7">
      <w:pPr>
        <w:pStyle w:val="3"/>
      </w:pPr>
      <w:r>
        <w:rPr>
          <w:rFonts w:hint="eastAsia"/>
        </w:rPr>
        <w:t>废气</w:t>
      </w:r>
    </w:p>
    <w:p w:rsidR="006175A6" w:rsidRDefault="009B4BA7">
      <w:pPr>
        <w:ind w:firstLine="480"/>
      </w:pPr>
      <w:r>
        <w:rPr>
          <w:rFonts w:hint="eastAsia"/>
        </w:rPr>
        <w:t>本项目运行过程中无工艺废气产生，运营期废气主要为少量食堂油烟。</w:t>
      </w:r>
    </w:p>
    <w:p w:rsidR="006175A6" w:rsidRDefault="009B4BA7">
      <w:pPr>
        <w:ind w:firstLine="480"/>
      </w:pPr>
      <w:r>
        <w:rPr>
          <w:rFonts w:hint="eastAsia"/>
        </w:rPr>
        <w:t>职工厨房安装有油烟净化器，产生的少量油烟经过净化后排放，对周边影响较小。</w:t>
      </w:r>
    </w:p>
    <w:p w:rsidR="006175A6" w:rsidRDefault="009B4BA7">
      <w:pPr>
        <w:pStyle w:val="3"/>
      </w:pPr>
      <w:r>
        <w:rPr>
          <w:rFonts w:hint="eastAsia"/>
        </w:rPr>
        <w:t>废水</w:t>
      </w:r>
    </w:p>
    <w:p w:rsidR="006175A6" w:rsidRDefault="009B4BA7">
      <w:pPr>
        <w:ind w:firstLine="480"/>
      </w:pPr>
      <w:r>
        <w:rPr>
          <w:rFonts w:hint="eastAsia"/>
        </w:rPr>
        <w:t>本项目营运期废水主要是水库管理房工作人员生活污水。</w:t>
      </w:r>
    </w:p>
    <w:p w:rsidR="006175A6" w:rsidRDefault="009B4BA7">
      <w:pPr>
        <w:ind w:firstLine="480"/>
      </w:pPr>
      <w:r>
        <w:rPr>
          <w:rFonts w:hint="eastAsia"/>
        </w:rPr>
        <w:t>项目运营期员工</w:t>
      </w:r>
      <w:r>
        <w:rPr>
          <w:rFonts w:hint="eastAsia"/>
        </w:rPr>
        <w:t>22</w:t>
      </w:r>
      <w:r>
        <w:rPr>
          <w:rFonts w:hint="eastAsia"/>
        </w:rPr>
        <w:t>人，营运期仅对工程运行进行生产管理，员工生活用水量以每人每天</w:t>
      </w:r>
      <w:r>
        <w:rPr>
          <w:rFonts w:hint="eastAsia"/>
        </w:rPr>
        <w:t>120L</w:t>
      </w:r>
      <w:r>
        <w:rPr>
          <w:rFonts w:hint="eastAsia"/>
        </w:rPr>
        <w:t>计，则用水量</w:t>
      </w:r>
      <w:r>
        <w:rPr>
          <w:rFonts w:hint="eastAsia"/>
        </w:rPr>
        <w:t>2.64t/d</w:t>
      </w:r>
      <w:r>
        <w:rPr>
          <w:rFonts w:hint="eastAsia"/>
        </w:rPr>
        <w:t>，</w:t>
      </w:r>
      <w:r>
        <w:rPr>
          <w:rFonts w:hint="eastAsia"/>
        </w:rPr>
        <w:t>963.6t/a</w:t>
      </w:r>
      <w:r>
        <w:rPr>
          <w:rFonts w:hint="eastAsia"/>
        </w:rPr>
        <w:t>。污水产生量按</w:t>
      </w:r>
      <w:r>
        <w:rPr>
          <w:rFonts w:hint="eastAsia"/>
        </w:rPr>
        <w:t>90%</w:t>
      </w:r>
      <w:r>
        <w:rPr>
          <w:rFonts w:hint="eastAsia"/>
        </w:rPr>
        <w:t>计，则每天产生生活污水</w:t>
      </w:r>
      <w:r>
        <w:rPr>
          <w:rFonts w:hint="eastAsia"/>
        </w:rPr>
        <w:t>2.4t</w:t>
      </w:r>
      <w:r>
        <w:rPr>
          <w:rFonts w:hint="eastAsia"/>
        </w:rPr>
        <w:t>，年排放量</w:t>
      </w:r>
      <w:r>
        <w:rPr>
          <w:rFonts w:hint="eastAsia"/>
        </w:rPr>
        <w:t>867.2t</w:t>
      </w:r>
      <w:r>
        <w:rPr>
          <w:rFonts w:hint="eastAsia"/>
        </w:rPr>
        <w:t>。污水水质参照城市污水水质（设三格式化粪池）为：</w:t>
      </w:r>
      <w:r>
        <w:rPr>
          <w:rFonts w:hint="eastAsia"/>
        </w:rPr>
        <w:t>pH6</w:t>
      </w:r>
      <w:r>
        <w:rPr>
          <w:rFonts w:hint="eastAsia"/>
        </w:rPr>
        <w:t>～</w:t>
      </w:r>
      <w:r>
        <w:rPr>
          <w:rFonts w:hint="eastAsia"/>
        </w:rPr>
        <w:t>9</w:t>
      </w:r>
      <w:r>
        <w:rPr>
          <w:rFonts w:hint="eastAsia"/>
        </w:rPr>
        <w:t>、</w:t>
      </w:r>
      <w:r>
        <w:rPr>
          <w:rFonts w:hint="eastAsia"/>
        </w:rPr>
        <w:t>COD 250mg/L</w:t>
      </w:r>
      <w:r>
        <w:rPr>
          <w:rFonts w:hint="eastAsia"/>
        </w:rPr>
        <w:t>、</w:t>
      </w:r>
      <w:r>
        <w:rPr>
          <w:rFonts w:hint="eastAsia"/>
        </w:rPr>
        <w:t>BOD</w:t>
      </w:r>
      <w:r>
        <w:rPr>
          <w:rFonts w:hint="eastAsia"/>
          <w:vertAlign w:val="subscript"/>
        </w:rPr>
        <w:t>5</w:t>
      </w:r>
      <w:r>
        <w:rPr>
          <w:rFonts w:hint="eastAsia"/>
        </w:rPr>
        <w:t>120mg/L</w:t>
      </w:r>
      <w:r>
        <w:rPr>
          <w:rFonts w:hint="eastAsia"/>
        </w:rPr>
        <w:t>、</w:t>
      </w:r>
      <w:r>
        <w:rPr>
          <w:rFonts w:hint="eastAsia"/>
        </w:rPr>
        <w:t>SS 200mg/L</w:t>
      </w:r>
      <w:r>
        <w:rPr>
          <w:rFonts w:hint="eastAsia"/>
        </w:rPr>
        <w:t>、</w:t>
      </w:r>
      <w:r>
        <w:rPr>
          <w:rFonts w:hint="eastAsia"/>
        </w:rPr>
        <w:t>NH</w:t>
      </w:r>
      <w:r>
        <w:rPr>
          <w:rFonts w:hint="eastAsia"/>
          <w:vertAlign w:val="subscript"/>
        </w:rPr>
        <w:t>3</w:t>
      </w:r>
      <w:r>
        <w:rPr>
          <w:rFonts w:hint="eastAsia"/>
        </w:rPr>
        <w:t>-N 30mg/L</w:t>
      </w:r>
      <w:r>
        <w:rPr>
          <w:rFonts w:hint="eastAsia"/>
        </w:rPr>
        <w:t>。</w:t>
      </w:r>
    </w:p>
    <w:p w:rsidR="006175A6" w:rsidRDefault="009B4BA7">
      <w:pPr>
        <w:ind w:firstLine="480"/>
      </w:pPr>
      <w:r>
        <w:rPr>
          <w:rFonts w:hint="eastAsia"/>
        </w:rPr>
        <w:t>运营期生活污水经三格化粪池预处理之后用于绿化灌溉，不外排。工程运营</w:t>
      </w:r>
      <w:r>
        <w:rPr>
          <w:rFonts w:hint="eastAsia"/>
        </w:rPr>
        <w:lastRenderedPageBreak/>
        <w:t>期污水产生及排放情况如下表所示。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4.4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工程运营期污水产生及排放情况</w:t>
      </w:r>
    </w:p>
    <w:tbl>
      <w:tblPr>
        <w:tblW w:w="5000" w:type="pct"/>
        <w:tblLook w:val="04A0" w:firstRow="1" w:lastRow="0" w:firstColumn="1" w:lastColumn="0" w:noHBand="0" w:noVBand="1"/>
      </w:tblPr>
      <w:tblGrid>
        <w:gridCol w:w="1588"/>
        <w:gridCol w:w="1931"/>
        <w:gridCol w:w="1114"/>
        <w:gridCol w:w="1161"/>
        <w:gridCol w:w="1566"/>
        <w:gridCol w:w="1162"/>
      </w:tblGrid>
      <w:tr w:rsidR="006175A6">
        <w:trPr>
          <w:trHeight w:val="340"/>
        </w:trPr>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类别</w:t>
            </w:r>
          </w:p>
        </w:tc>
        <w:tc>
          <w:tcPr>
            <w:tcW w:w="11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污染物</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COD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BOD</w:t>
            </w:r>
            <w:r>
              <w:rPr>
                <w:color w:val="000000"/>
                <w:kern w:val="0"/>
                <w:sz w:val="21"/>
                <w:vertAlign w:val="subscript"/>
              </w:rPr>
              <w:t>5</w:t>
            </w:r>
            <w:r>
              <w:rPr>
                <w:color w:val="000000"/>
                <w:kern w:val="0"/>
                <w:sz w:val="21"/>
              </w:rPr>
              <w:t xml:space="preserve"> </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SS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NH</w:t>
            </w:r>
            <w:r>
              <w:rPr>
                <w:color w:val="000000"/>
                <w:kern w:val="0"/>
                <w:sz w:val="21"/>
                <w:vertAlign w:val="subscript"/>
              </w:rPr>
              <w:t>3</w:t>
            </w:r>
            <w:r>
              <w:rPr>
                <w:color w:val="000000"/>
                <w:kern w:val="0"/>
                <w:sz w:val="21"/>
              </w:rPr>
              <w:t>-N</w:t>
            </w:r>
          </w:p>
        </w:tc>
      </w:tr>
      <w:tr w:rsidR="006175A6">
        <w:trPr>
          <w:trHeight w:val="340"/>
        </w:trPr>
        <w:tc>
          <w:tcPr>
            <w:tcW w:w="9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生活污水</w:t>
            </w:r>
            <w:r w:rsidR="00E97427">
              <w:rPr>
                <w:color w:val="000000"/>
                <w:kern w:val="0"/>
                <w:sz w:val="21"/>
              </w:rPr>
              <w:t>（</w:t>
            </w:r>
            <w:r>
              <w:rPr>
                <w:color w:val="000000"/>
                <w:kern w:val="0"/>
                <w:sz w:val="21"/>
              </w:rPr>
              <w:t>867.2m</w:t>
            </w:r>
            <w:r>
              <w:rPr>
                <w:color w:val="000000"/>
                <w:kern w:val="0"/>
                <w:sz w:val="21"/>
                <w:vertAlign w:val="superscript"/>
              </w:rPr>
              <w:t>3</w:t>
            </w:r>
            <w:r>
              <w:rPr>
                <w:color w:val="000000"/>
                <w:kern w:val="0"/>
                <w:sz w:val="21"/>
              </w:rPr>
              <w:t>/a</w:t>
            </w:r>
            <w:r>
              <w:rPr>
                <w:color w:val="000000"/>
                <w:kern w:val="0"/>
                <w:sz w:val="21"/>
              </w:rPr>
              <w:t>）</w:t>
            </w:r>
          </w:p>
        </w:tc>
        <w:tc>
          <w:tcPr>
            <w:tcW w:w="11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产生浓度（</w:t>
            </w:r>
            <w:r>
              <w:rPr>
                <w:color w:val="000000"/>
                <w:kern w:val="0"/>
                <w:sz w:val="21"/>
              </w:rPr>
              <w:t>mg/L</w:t>
            </w:r>
            <w:r>
              <w:rPr>
                <w:color w:val="000000"/>
                <w:kern w:val="0"/>
                <w:sz w:val="21"/>
              </w:rPr>
              <w:t>）</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250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120</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30</w:t>
            </w:r>
          </w:p>
        </w:tc>
      </w:tr>
      <w:tr w:rsidR="006175A6">
        <w:trPr>
          <w:trHeight w:val="340"/>
        </w:trPr>
        <w:tc>
          <w:tcPr>
            <w:tcW w:w="936"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left"/>
              <w:rPr>
                <w:color w:val="000000"/>
                <w:kern w:val="0"/>
                <w:sz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产生量（</w:t>
            </w:r>
            <w:r>
              <w:rPr>
                <w:color w:val="000000"/>
                <w:kern w:val="0"/>
                <w:sz w:val="21"/>
              </w:rPr>
              <w:t>t/a</w:t>
            </w:r>
            <w:r>
              <w:rPr>
                <w:color w:val="000000"/>
                <w:kern w:val="0"/>
                <w:sz w:val="21"/>
              </w:rPr>
              <w:t>）</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0.22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0.10 </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0.17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0.03 </w:t>
            </w:r>
          </w:p>
        </w:tc>
      </w:tr>
      <w:tr w:rsidR="006175A6">
        <w:trPr>
          <w:trHeight w:val="340"/>
        </w:trPr>
        <w:tc>
          <w:tcPr>
            <w:tcW w:w="20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化粪池去除率</w:t>
            </w:r>
            <w:r w:rsidR="00E97427">
              <w:rPr>
                <w:color w:val="000000"/>
                <w:kern w:val="0"/>
                <w:sz w:val="21"/>
              </w:rPr>
              <w:t>（</w:t>
            </w:r>
            <w:r>
              <w:rPr>
                <w:color w:val="000000"/>
                <w:kern w:val="0"/>
                <w:sz w:val="21"/>
              </w:rPr>
              <w:t>%</w:t>
            </w:r>
            <w:r w:rsidR="00E97427">
              <w:rPr>
                <w:color w:val="000000"/>
                <w:kern w:val="0"/>
                <w:sz w:val="21"/>
              </w:rPr>
              <w:t>）</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40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55</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3</w:t>
            </w:r>
          </w:p>
        </w:tc>
      </w:tr>
      <w:tr w:rsidR="006175A6">
        <w:trPr>
          <w:trHeight w:val="340"/>
        </w:trPr>
        <w:tc>
          <w:tcPr>
            <w:tcW w:w="9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生活污水</w:t>
            </w:r>
            <w:r w:rsidR="00E97427">
              <w:rPr>
                <w:color w:val="000000"/>
                <w:kern w:val="0"/>
                <w:sz w:val="21"/>
              </w:rPr>
              <w:t>（</w:t>
            </w:r>
            <w:r>
              <w:rPr>
                <w:color w:val="000000"/>
                <w:kern w:val="0"/>
                <w:sz w:val="21"/>
              </w:rPr>
              <w:t>867.2m</w:t>
            </w:r>
            <w:r>
              <w:rPr>
                <w:color w:val="000000"/>
                <w:kern w:val="0"/>
                <w:sz w:val="21"/>
                <w:vertAlign w:val="superscript"/>
              </w:rPr>
              <w:t>3</w:t>
            </w:r>
            <w:r>
              <w:rPr>
                <w:color w:val="000000"/>
                <w:kern w:val="0"/>
                <w:sz w:val="21"/>
              </w:rPr>
              <w:t>/a</w:t>
            </w:r>
            <w:r>
              <w:rPr>
                <w:color w:val="000000"/>
                <w:kern w:val="0"/>
                <w:sz w:val="21"/>
              </w:rPr>
              <w:t>）</w:t>
            </w:r>
          </w:p>
        </w:tc>
        <w:tc>
          <w:tcPr>
            <w:tcW w:w="11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排放浓度（</w:t>
            </w:r>
            <w:r>
              <w:rPr>
                <w:color w:val="000000"/>
                <w:kern w:val="0"/>
                <w:sz w:val="21"/>
              </w:rPr>
              <w:t>mg/L</w:t>
            </w:r>
            <w:r>
              <w:rPr>
                <w:color w:val="000000"/>
                <w:kern w:val="0"/>
                <w:sz w:val="21"/>
              </w:rPr>
              <w:t>）</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150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96</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90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29.1</w:t>
            </w:r>
          </w:p>
        </w:tc>
      </w:tr>
      <w:tr w:rsidR="006175A6">
        <w:trPr>
          <w:trHeight w:val="340"/>
        </w:trPr>
        <w:tc>
          <w:tcPr>
            <w:tcW w:w="936" w:type="pct"/>
            <w:vMerge/>
            <w:tcBorders>
              <w:top w:val="single" w:sz="4" w:space="0" w:color="000000"/>
              <w:left w:val="single" w:sz="4" w:space="0" w:color="000000"/>
              <w:bottom w:val="single" w:sz="4" w:space="0" w:color="000000"/>
              <w:right w:val="single" w:sz="4" w:space="0" w:color="000000"/>
            </w:tcBorders>
            <w:vAlign w:val="center"/>
          </w:tcPr>
          <w:p w:rsidR="006175A6" w:rsidRDefault="006175A6">
            <w:pPr>
              <w:widowControl/>
              <w:spacing w:line="240" w:lineRule="auto"/>
              <w:ind w:firstLineChars="0" w:firstLine="0"/>
              <w:jc w:val="left"/>
              <w:rPr>
                <w:color w:val="000000"/>
                <w:kern w:val="0"/>
                <w:sz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排放量（</w:t>
            </w:r>
            <w:r>
              <w:rPr>
                <w:color w:val="000000"/>
                <w:kern w:val="0"/>
                <w:sz w:val="21"/>
              </w:rPr>
              <w:t>t/a</w:t>
            </w:r>
            <w:r>
              <w:rPr>
                <w:color w:val="000000"/>
                <w:kern w:val="0"/>
                <w:sz w:val="21"/>
              </w:rPr>
              <w:t>）</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0.13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0.08 </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0.08 </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 xml:space="preserve">0.03 </w:t>
            </w:r>
          </w:p>
        </w:tc>
      </w:tr>
      <w:tr w:rsidR="006175A6">
        <w:trPr>
          <w:trHeight w:val="340"/>
        </w:trPr>
        <w:tc>
          <w:tcPr>
            <w:tcW w:w="20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175A6" w:rsidRDefault="009B4BA7">
            <w:pPr>
              <w:widowControl/>
              <w:spacing w:line="240" w:lineRule="auto"/>
              <w:ind w:firstLineChars="0" w:firstLine="0"/>
              <w:jc w:val="center"/>
              <w:rPr>
                <w:color w:val="000000"/>
                <w:kern w:val="0"/>
                <w:sz w:val="21"/>
              </w:rPr>
            </w:pPr>
            <w:r>
              <w:rPr>
                <w:color w:val="000000"/>
                <w:kern w:val="0"/>
                <w:sz w:val="21"/>
              </w:rPr>
              <w:t>GB5084-2021</w:t>
            </w:r>
            <w:r>
              <w:rPr>
                <w:color w:val="000000"/>
                <w:kern w:val="0"/>
                <w:sz w:val="21"/>
              </w:rPr>
              <w:t>《农田灌溉水质标准》旱作标准</w:t>
            </w:r>
          </w:p>
        </w:tc>
        <w:tc>
          <w:tcPr>
            <w:tcW w:w="6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200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100</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100</w:t>
            </w:r>
          </w:p>
        </w:tc>
        <w:tc>
          <w:tcPr>
            <w:tcW w:w="6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175A6" w:rsidRDefault="009B4BA7">
            <w:pPr>
              <w:widowControl/>
              <w:spacing w:line="240" w:lineRule="auto"/>
              <w:ind w:firstLineChars="0" w:firstLine="0"/>
              <w:jc w:val="center"/>
              <w:rPr>
                <w:color w:val="000000"/>
                <w:kern w:val="0"/>
                <w:sz w:val="21"/>
              </w:rPr>
            </w:pPr>
            <w:r>
              <w:rPr>
                <w:color w:val="000000"/>
                <w:kern w:val="0"/>
                <w:sz w:val="21"/>
              </w:rPr>
              <w:t>—</w:t>
            </w:r>
          </w:p>
        </w:tc>
      </w:tr>
    </w:tbl>
    <w:p w:rsidR="006175A6" w:rsidRDefault="006175A6">
      <w:pPr>
        <w:ind w:firstLine="480"/>
      </w:pPr>
    </w:p>
    <w:p w:rsidR="006175A6" w:rsidRDefault="009B4BA7">
      <w:pPr>
        <w:pStyle w:val="3"/>
      </w:pPr>
      <w:r>
        <w:rPr>
          <w:rFonts w:hint="eastAsia"/>
        </w:rPr>
        <w:t>固体废物</w:t>
      </w:r>
    </w:p>
    <w:p w:rsidR="006175A6" w:rsidRDefault="009B4BA7">
      <w:pPr>
        <w:ind w:firstLine="480"/>
      </w:pPr>
      <w:r>
        <w:rPr>
          <w:rFonts w:hint="eastAsia"/>
        </w:rPr>
        <w:t>本项目营运期间产生的固体废物主要是管理人员产生的生活垃圾。</w:t>
      </w:r>
    </w:p>
    <w:p w:rsidR="006175A6" w:rsidRDefault="009B4BA7">
      <w:pPr>
        <w:ind w:firstLine="480"/>
      </w:pPr>
      <w:r>
        <w:rPr>
          <w:rFonts w:hint="eastAsia"/>
        </w:rPr>
        <w:t>生活垃圾按每人每天产生垃圾</w:t>
      </w:r>
      <w:r>
        <w:rPr>
          <w:rFonts w:hint="eastAsia"/>
        </w:rPr>
        <w:t>0.5kg</w:t>
      </w:r>
      <w:r>
        <w:rPr>
          <w:rFonts w:hint="eastAsia"/>
        </w:rPr>
        <w:t>计，营运期共计</w:t>
      </w:r>
      <w:r>
        <w:rPr>
          <w:rFonts w:hint="eastAsia"/>
        </w:rPr>
        <w:t>22</w:t>
      </w:r>
      <w:r>
        <w:rPr>
          <w:rFonts w:hint="eastAsia"/>
        </w:rPr>
        <w:t>人，则垃圾产生量为</w:t>
      </w:r>
      <w:r>
        <w:rPr>
          <w:rFonts w:hint="eastAsia"/>
        </w:rPr>
        <w:t>11kg/d</w:t>
      </w:r>
      <w:r>
        <w:rPr>
          <w:rFonts w:hint="eastAsia"/>
        </w:rPr>
        <w:t>，约</w:t>
      </w:r>
      <w:r>
        <w:rPr>
          <w:rFonts w:hint="eastAsia"/>
        </w:rPr>
        <w:t>4.02t/a</w:t>
      </w:r>
      <w:r>
        <w:rPr>
          <w:rFonts w:hint="eastAsia"/>
        </w:rPr>
        <w:t>，统一收集后定期交由环卫部门统一清运。</w:t>
      </w:r>
    </w:p>
    <w:p w:rsidR="006175A6" w:rsidRDefault="006175A6">
      <w:pPr>
        <w:ind w:firstLine="480"/>
      </w:pPr>
    </w:p>
    <w:p w:rsidR="006175A6" w:rsidRDefault="006175A6">
      <w:pPr>
        <w:ind w:firstLine="48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54" w:name="_Toc80170106"/>
      <w:r>
        <w:rPr>
          <w:rFonts w:hint="eastAsia"/>
        </w:rPr>
        <w:lastRenderedPageBreak/>
        <w:t>环境现状</w:t>
      </w:r>
      <w:bookmarkEnd w:id="54"/>
    </w:p>
    <w:p w:rsidR="006175A6" w:rsidRDefault="009B4BA7">
      <w:pPr>
        <w:pStyle w:val="2"/>
      </w:pPr>
      <w:bookmarkStart w:id="55" w:name="_Toc80170107"/>
      <w:r>
        <w:rPr>
          <w:rFonts w:hint="eastAsia"/>
        </w:rPr>
        <w:t>流域环境概况</w:t>
      </w:r>
      <w:bookmarkEnd w:id="55"/>
    </w:p>
    <w:p w:rsidR="006175A6" w:rsidRDefault="009B4BA7">
      <w:pPr>
        <w:pStyle w:val="3"/>
      </w:pPr>
      <w:r>
        <w:rPr>
          <w:rFonts w:hint="eastAsia"/>
        </w:rPr>
        <w:t>自然地理概况</w:t>
      </w:r>
    </w:p>
    <w:p w:rsidR="006175A6" w:rsidRDefault="009B4BA7">
      <w:pPr>
        <w:ind w:firstLine="480"/>
      </w:pPr>
      <w:r>
        <w:rPr>
          <w:rFonts w:hint="eastAsia"/>
        </w:rPr>
        <w:t>兴山县位于湖北的西部，万里长江西陵峡北侧，西北方向与著名风景区神农架接壤，南部方向与屈原故里秭归县毗邻，县域东西长</w:t>
      </w:r>
      <w:r>
        <w:rPr>
          <w:rFonts w:hint="eastAsia"/>
        </w:rPr>
        <w:t xml:space="preserve"> 66 </w:t>
      </w:r>
      <w:r>
        <w:rPr>
          <w:rFonts w:hint="eastAsia"/>
        </w:rPr>
        <w:t>公里，南北宽</w:t>
      </w:r>
      <w:r>
        <w:rPr>
          <w:rFonts w:hint="eastAsia"/>
        </w:rPr>
        <w:t xml:space="preserve"> 54 </w:t>
      </w:r>
      <w:r>
        <w:rPr>
          <w:rFonts w:hint="eastAsia"/>
        </w:rPr>
        <w:t>公里，国土面积</w:t>
      </w:r>
      <w:r>
        <w:rPr>
          <w:rFonts w:hint="eastAsia"/>
        </w:rPr>
        <w:t>2327</w:t>
      </w:r>
      <w:r>
        <w:rPr>
          <w:rFonts w:hint="eastAsia"/>
        </w:rPr>
        <w:t>平方公里。距离长江西陵峡</w:t>
      </w:r>
      <w:r>
        <w:rPr>
          <w:rFonts w:hint="eastAsia"/>
        </w:rPr>
        <w:t xml:space="preserve"> 50km</w:t>
      </w:r>
      <w:r>
        <w:rPr>
          <w:rFonts w:hint="eastAsia"/>
        </w:rPr>
        <w:t>；距宜昌市</w:t>
      </w:r>
      <w:r>
        <w:rPr>
          <w:rFonts w:hint="eastAsia"/>
        </w:rPr>
        <w:t xml:space="preserve"> 153 </w:t>
      </w:r>
      <w:r>
        <w:rPr>
          <w:rFonts w:hint="eastAsia"/>
        </w:rPr>
        <w:t>公里，距三峡大坝</w:t>
      </w:r>
      <w:r>
        <w:rPr>
          <w:rFonts w:hint="eastAsia"/>
        </w:rPr>
        <w:t>80</w:t>
      </w:r>
      <w:r>
        <w:rPr>
          <w:rFonts w:hint="eastAsia"/>
        </w:rPr>
        <w:t>公里。兴山县人民政府及县直单位驻古夫镇，辖</w:t>
      </w:r>
      <w:r>
        <w:rPr>
          <w:rFonts w:hint="eastAsia"/>
        </w:rPr>
        <w:t xml:space="preserve"> 6 </w:t>
      </w:r>
      <w:r>
        <w:rPr>
          <w:rFonts w:hint="eastAsia"/>
        </w:rPr>
        <w:t>镇</w:t>
      </w:r>
      <w:r>
        <w:rPr>
          <w:rFonts w:hint="eastAsia"/>
        </w:rPr>
        <w:t xml:space="preserve"> 2 </w:t>
      </w:r>
      <w:r>
        <w:rPr>
          <w:rFonts w:hint="eastAsia"/>
        </w:rPr>
        <w:t>乡，共</w:t>
      </w:r>
      <w:r>
        <w:rPr>
          <w:rFonts w:hint="eastAsia"/>
        </w:rPr>
        <w:t xml:space="preserve"> 92 </w:t>
      </w:r>
      <w:r>
        <w:rPr>
          <w:rFonts w:hint="eastAsia"/>
        </w:rPr>
        <w:t>个村、</w:t>
      </w:r>
      <w:r w:rsidR="00BE5BF5">
        <w:rPr>
          <w:rFonts w:hint="eastAsia"/>
        </w:rPr>
        <w:t>4</w:t>
      </w:r>
      <w:r>
        <w:rPr>
          <w:rFonts w:hint="eastAsia"/>
        </w:rPr>
        <w:t>个社区。</w:t>
      </w:r>
    </w:p>
    <w:p w:rsidR="006175A6" w:rsidRDefault="009B4BA7">
      <w:pPr>
        <w:ind w:firstLine="480"/>
      </w:pPr>
      <w:r>
        <w:rPr>
          <w:rFonts w:hint="eastAsia"/>
        </w:rPr>
        <w:t>黄粮镇位于兴山县中东部，国土面积</w:t>
      </w:r>
      <w:r>
        <w:rPr>
          <w:rFonts w:hint="eastAsia"/>
        </w:rPr>
        <w:t xml:space="preserve">247.4 </w:t>
      </w:r>
      <w:r>
        <w:rPr>
          <w:rFonts w:hint="eastAsia"/>
        </w:rPr>
        <w:t>平方公里，距兴山县古夫县城镇</w:t>
      </w:r>
      <w:r>
        <w:rPr>
          <w:rFonts w:hint="eastAsia"/>
        </w:rPr>
        <w:t xml:space="preserve"> 25 </w:t>
      </w:r>
      <w:r>
        <w:rPr>
          <w:rFonts w:hint="eastAsia"/>
        </w:rPr>
        <w:t>公里，距宜昌市</w:t>
      </w:r>
      <w:r>
        <w:rPr>
          <w:rFonts w:hint="eastAsia"/>
        </w:rPr>
        <w:t xml:space="preserve"> 129 </w:t>
      </w:r>
      <w:r>
        <w:rPr>
          <w:rFonts w:hint="eastAsia"/>
        </w:rPr>
        <w:t>公里；黄粮镇下辖</w:t>
      </w:r>
      <w:r>
        <w:rPr>
          <w:rFonts w:hint="eastAsia"/>
        </w:rPr>
        <w:t xml:space="preserve"> 14 </w:t>
      </w:r>
      <w:r>
        <w:rPr>
          <w:rFonts w:hint="eastAsia"/>
        </w:rPr>
        <w:t>个行政村，</w:t>
      </w:r>
      <w:r>
        <w:rPr>
          <w:rFonts w:hint="eastAsia"/>
        </w:rPr>
        <w:t xml:space="preserve">82 </w:t>
      </w:r>
      <w:r>
        <w:rPr>
          <w:rFonts w:hint="eastAsia"/>
        </w:rPr>
        <w:t>个村民小组。两河口水库项目的受水区以黄粮镇为主。</w:t>
      </w:r>
    </w:p>
    <w:p w:rsidR="006175A6" w:rsidRDefault="009B4BA7">
      <w:pPr>
        <w:ind w:firstLine="480"/>
      </w:pPr>
      <w:r>
        <w:rPr>
          <w:rFonts w:hint="eastAsia"/>
        </w:rPr>
        <w:t>项目地理位置图见附图一。</w:t>
      </w:r>
    </w:p>
    <w:p w:rsidR="006175A6" w:rsidRDefault="009B4BA7">
      <w:pPr>
        <w:pStyle w:val="3"/>
      </w:pPr>
      <w:r>
        <w:rPr>
          <w:rFonts w:hint="eastAsia"/>
        </w:rPr>
        <w:t>河流水系情况</w:t>
      </w:r>
    </w:p>
    <w:p w:rsidR="006175A6" w:rsidRDefault="009B4BA7">
      <w:pPr>
        <w:ind w:firstLine="480"/>
      </w:pPr>
      <w:r>
        <w:rPr>
          <w:rFonts w:hint="eastAsia"/>
        </w:rPr>
        <w:t>香溪河为长江中上游西陵峡左岸支流，位于鄂西山地的巫山山脉和荆山山脉之间，地理位置为东经</w:t>
      </w:r>
      <w:r>
        <w:rPr>
          <w:rFonts w:hint="eastAsia"/>
        </w:rPr>
        <w:t xml:space="preserve"> 110</w:t>
      </w:r>
      <w:r>
        <w:rPr>
          <w:rFonts w:hint="eastAsia"/>
        </w:rPr>
        <w:t>°</w:t>
      </w:r>
      <w:r>
        <w:rPr>
          <w:rFonts w:hint="eastAsia"/>
        </w:rPr>
        <w:t>15</w:t>
      </w:r>
      <w:r>
        <w:rPr>
          <w:rFonts w:hint="eastAsia"/>
        </w:rPr>
        <w:t>´</w:t>
      </w:r>
      <w:r>
        <w:rPr>
          <w:rFonts w:hint="eastAsia"/>
        </w:rPr>
        <w:t>~111</w:t>
      </w:r>
      <w:r>
        <w:rPr>
          <w:rFonts w:hint="eastAsia"/>
        </w:rPr>
        <w:t>°</w:t>
      </w:r>
      <w:r>
        <w:rPr>
          <w:rFonts w:hint="eastAsia"/>
        </w:rPr>
        <w:t>05</w:t>
      </w:r>
      <w:r>
        <w:rPr>
          <w:rFonts w:hint="eastAsia"/>
        </w:rPr>
        <w:t>´，北纬</w:t>
      </w:r>
      <w:r>
        <w:rPr>
          <w:rFonts w:hint="eastAsia"/>
        </w:rPr>
        <w:t xml:space="preserve"> 30</w:t>
      </w:r>
      <w:r>
        <w:rPr>
          <w:rFonts w:hint="eastAsia"/>
        </w:rPr>
        <w:t>°</w:t>
      </w:r>
      <w:r>
        <w:rPr>
          <w:rFonts w:hint="eastAsia"/>
        </w:rPr>
        <w:t>57</w:t>
      </w:r>
      <w:r>
        <w:rPr>
          <w:rFonts w:hint="eastAsia"/>
        </w:rPr>
        <w:t>´</w:t>
      </w:r>
      <w:r>
        <w:rPr>
          <w:rFonts w:hint="eastAsia"/>
        </w:rPr>
        <w:t>~31</w:t>
      </w:r>
      <w:r>
        <w:rPr>
          <w:rFonts w:hint="eastAsia"/>
        </w:rPr>
        <w:t>°</w:t>
      </w:r>
      <w:r>
        <w:rPr>
          <w:rFonts w:hint="eastAsia"/>
        </w:rPr>
        <w:t>36</w:t>
      </w:r>
      <w:r>
        <w:rPr>
          <w:rFonts w:hint="eastAsia"/>
        </w:rPr>
        <w:t>´。源出神农架主峰南麓神农架领取木鱼镇红河，河流全长</w:t>
      </w:r>
      <w:r>
        <w:rPr>
          <w:rFonts w:hint="eastAsia"/>
        </w:rPr>
        <w:t xml:space="preserve"> 103km</w:t>
      </w:r>
      <w:r>
        <w:rPr>
          <w:rFonts w:hint="eastAsia"/>
        </w:rPr>
        <w:t>，集水面积</w:t>
      </w:r>
      <w:r>
        <w:rPr>
          <w:rFonts w:hint="eastAsia"/>
        </w:rPr>
        <w:t xml:space="preserve"> 3102km</w:t>
      </w:r>
      <w:r>
        <w:rPr>
          <w:rFonts w:hint="eastAsia"/>
        </w:rPr>
        <w:t>²，干流河道坡度</w:t>
      </w:r>
      <w:r>
        <w:rPr>
          <w:rFonts w:hint="eastAsia"/>
        </w:rPr>
        <w:t xml:space="preserve"> 9.0</w:t>
      </w:r>
      <w:r>
        <w:rPr>
          <w:rFonts w:hint="eastAsia"/>
        </w:rPr>
        <w:t>‰，流域平均海拔</w:t>
      </w:r>
      <w:r>
        <w:rPr>
          <w:rFonts w:hint="eastAsia"/>
        </w:rPr>
        <w:t xml:space="preserve"> 1196m</w:t>
      </w:r>
      <w:r>
        <w:rPr>
          <w:rFonts w:hint="eastAsia"/>
        </w:rPr>
        <w:t>，干流弯曲系数</w:t>
      </w:r>
      <w:r>
        <w:rPr>
          <w:rFonts w:hint="eastAsia"/>
        </w:rPr>
        <w:t xml:space="preserve"> 1.6</w:t>
      </w:r>
      <w:r>
        <w:rPr>
          <w:rFonts w:hint="eastAsia"/>
        </w:rPr>
        <w:t>，河网密度</w:t>
      </w:r>
      <w:r>
        <w:rPr>
          <w:rFonts w:hint="eastAsia"/>
        </w:rPr>
        <w:t xml:space="preserve"> 0.2km/ km</w:t>
      </w:r>
      <w:r>
        <w:rPr>
          <w:rFonts w:hint="eastAsia"/>
        </w:rPr>
        <w:t>²；流域内</w:t>
      </w:r>
      <w:r>
        <w:rPr>
          <w:rFonts w:hint="eastAsia"/>
        </w:rPr>
        <w:t xml:space="preserve"> 5km </w:t>
      </w:r>
      <w:r>
        <w:rPr>
          <w:rFonts w:hint="eastAsia"/>
        </w:rPr>
        <w:t>以上的支流</w:t>
      </w:r>
      <w:r>
        <w:rPr>
          <w:rFonts w:hint="eastAsia"/>
        </w:rPr>
        <w:t xml:space="preserve"> 53 </w:t>
      </w:r>
      <w:r>
        <w:rPr>
          <w:rFonts w:hint="eastAsia"/>
        </w:rPr>
        <w:t>条，其中</w:t>
      </w:r>
      <w:r>
        <w:rPr>
          <w:rFonts w:hint="eastAsia"/>
        </w:rPr>
        <w:t xml:space="preserve"> 20 </w:t>
      </w:r>
      <w:r>
        <w:rPr>
          <w:rFonts w:hint="eastAsia"/>
        </w:rPr>
        <w:t>公里以上的支流</w:t>
      </w:r>
      <w:r>
        <w:rPr>
          <w:rFonts w:hint="eastAsia"/>
        </w:rPr>
        <w:t xml:space="preserve"> 8 </w:t>
      </w:r>
      <w:r>
        <w:rPr>
          <w:rFonts w:hint="eastAsia"/>
        </w:rPr>
        <w:t>条，</w:t>
      </w:r>
      <w:r>
        <w:rPr>
          <w:rFonts w:hint="eastAsia"/>
        </w:rPr>
        <w:t xml:space="preserve">50 </w:t>
      </w:r>
      <w:r>
        <w:rPr>
          <w:rFonts w:hint="eastAsia"/>
        </w:rPr>
        <w:t>公里以上的支流</w:t>
      </w:r>
      <w:r>
        <w:rPr>
          <w:rFonts w:hint="eastAsia"/>
        </w:rPr>
        <w:t xml:space="preserve"> 2 </w:t>
      </w:r>
      <w:r>
        <w:rPr>
          <w:rFonts w:hint="eastAsia"/>
        </w:rPr>
        <w:t>条。香溪河总体流向为西北——东南，跨神农架林区、兴山县及秭归县，在秭归县香溪镇注入长江。流域内山峦起伏，峡谷相间，河流纵横，沟谷深邃。流域属亚热带季风气候，年平均气温</w:t>
      </w:r>
      <w:r>
        <w:rPr>
          <w:rFonts w:hint="eastAsia"/>
        </w:rPr>
        <w:t xml:space="preserve"> 17</w:t>
      </w:r>
      <w:r>
        <w:rPr>
          <w:rFonts w:hint="eastAsia"/>
        </w:rPr>
        <w:t>℃，多年平均降雨量</w:t>
      </w:r>
      <w:r>
        <w:rPr>
          <w:rFonts w:hint="eastAsia"/>
        </w:rPr>
        <w:t xml:space="preserve"> 1000mm </w:t>
      </w:r>
      <w:r>
        <w:rPr>
          <w:rFonts w:hint="eastAsia"/>
        </w:rPr>
        <w:t>左右。</w:t>
      </w:r>
    </w:p>
    <w:p w:rsidR="006175A6" w:rsidRDefault="009B4BA7">
      <w:pPr>
        <w:ind w:firstLine="480"/>
      </w:pPr>
      <w:r>
        <w:rPr>
          <w:rFonts w:hint="eastAsia"/>
        </w:rPr>
        <w:t>高岚河为香溪河左岸的一级支流，是香溪河</w:t>
      </w:r>
      <w:r>
        <w:rPr>
          <w:rFonts w:hint="eastAsia"/>
        </w:rPr>
        <w:t xml:space="preserve"> 2 </w:t>
      </w:r>
      <w:r>
        <w:rPr>
          <w:rFonts w:hint="eastAsia"/>
        </w:rPr>
        <w:t>条</w:t>
      </w:r>
      <w:r>
        <w:rPr>
          <w:rFonts w:hint="eastAsia"/>
        </w:rPr>
        <w:t xml:space="preserve"> 50km </w:t>
      </w:r>
      <w:r>
        <w:rPr>
          <w:rFonts w:hint="eastAsia"/>
        </w:rPr>
        <w:t>以上支流之中的</w:t>
      </w:r>
      <w:r>
        <w:rPr>
          <w:rFonts w:hint="eastAsia"/>
        </w:rPr>
        <w:t xml:space="preserve"> 1 </w:t>
      </w:r>
      <w:r>
        <w:rPr>
          <w:rFonts w:hint="eastAsia"/>
        </w:rPr>
        <w:t>条，河流全长</w:t>
      </w:r>
      <w:r>
        <w:rPr>
          <w:rFonts w:hint="eastAsia"/>
        </w:rPr>
        <w:t xml:space="preserve"> 63km</w:t>
      </w:r>
      <w:r>
        <w:rPr>
          <w:rFonts w:hint="eastAsia"/>
        </w:rPr>
        <w:t>，流域总面积</w:t>
      </w:r>
      <w:r>
        <w:rPr>
          <w:rFonts w:hint="eastAsia"/>
        </w:rPr>
        <w:t xml:space="preserve"> 833km</w:t>
      </w:r>
      <w:r>
        <w:rPr>
          <w:rFonts w:hint="eastAsia"/>
        </w:rPr>
        <w:t>²，天然落差</w:t>
      </w:r>
      <w:r>
        <w:rPr>
          <w:rFonts w:hint="eastAsia"/>
        </w:rPr>
        <w:t xml:space="preserve"> 1480m</w:t>
      </w:r>
      <w:r>
        <w:rPr>
          <w:rFonts w:hint="eastAsia"/>
        </w:rPr>
        <w:t>，平均坡降</w:t>
      </w:r>
      <w:r>
        <w:rPr>
          <w:rFonts w:hint="eastAsia"/>
        </w:rPr>
        <w:t xml:space="preserve"> 16.14</w:t>
      </w:r>
      <w:r>
        <w:rPr>
          <w:rFonts w:hint="eastAsia"/>
        </w:rPr>
        <w:t>‰。流经兴山县的榛子乡、水月寺镇、黄粮镇及峡口镇，在峡口镇集镇汇入香溪河。高岚河流域总体地势为东北高，西南低，山高坡陡、沟深谷幽、水流湍急，呈现出岩多坡陡的地貌特征；同时，山间台地，在高海拔地区，形成高山小平原及高</w:t>
      </w:r>
      <w:r>
        <w:rPr>
          <w:rFonts w:hint="eastAsia"/>
        </w:rPr>
        <w:lastRenderedPageBreak/>
        <w:t>山丘陵地貌，流域属典型的山区地形地貌。</w:t>
      </w:r>
    </w:p>
    <w:p w:rsidR="006175A6" w:rsidRDefault="009B4BA7">
      <w:pPr>
        <w:ind w:firstLine="480"/>
      </w:pPr>
      <w:r>
        <w:rPr>
          <w:rFonts w:hint="eastAsia"/>
        </w:rPr>
        <w:t>门家河为高岚河的上游右岸支流，发源于湖北省兴山县榛子乡海拔</w:t>
      </w:r>
      <w:r>
        <w:rPr>
          <w:rFonts w:hint="eastAsia"/>
        </w:rPr>
        <w:t xml:space="preserve"> 1826m </w:t>
      </w:r>
      <w:r>
        <w:rPr>
          <w:rFonts w:hint="eastAsia"/>
        </w:rPr>
        <w:t>的丁家斋，河道长度</w:t>
      </w:r>
      <w:r>
        <w:rPr>
          <w:rFonts w:hint="eastAsia"/>
        </w:rPr>
        <w:t xml:space="preserve"> 19km</w:t>
      </w:r>
      <w:r>
        <w:rPr>
          <w:rFonts w:hint="eastAsia"/>
        </w:rPr>
        <w:t>，控制承雨面积</w:t>
      </w:r>
      <w:r>
        <w:rPr>
          <w:rFonts w:hint="eastAsia"/>
        </w:rPr>
        <w:t xml:space="preserve"> 126km</w:t>
      </w:r>
      <w:r>
        <w:rPr>
          <w:rFonts w:hint="eastAsia"/>
        </w:rPr>
        <w:t>²；从河源至水月寺镇梅坪村两河口称为门家河；从此两河口以下至水月寺镇杉树坪村的朝天吼叫孔子河，纳入左岸重要支流王家河后，以下即称为高岚河，高岚河在峡口镇集镇汇入香溪河。</w:t>
      </w:r>
    </w:p>
    <w:p w:rsidR="006175A6" w:rsidRDefault="009B4BA7">
      <w:pPr>
        <w:ind w:firstLine="480"/>
      </w:pPr>
      <w:r>
        <w:rPr>
          <w:rFonts w:hint="eastAsia"/>
        </w:rPr>
        <w:t>工程所在区域水系</w:t>
      </w:r>
      <w:r w:rsidRPr="00BE5BF5">
        <w:rPr>
          <w:rFonts w:hint="eastAsia"/>
        </w:rPr>
        <w:t>图见附图。</w:t>
      </w:r>
    </w:p>
    <w:p w:rsidR="006175A6" w:rsidRDefault="009B4BA7">
      <w:pPr>
        <w:pStyle w:val="3"/>
      </w:pPr>
      <w:r>
        <w:rPr>
          <w:rFonts w:hint="eastAsia"/>
        </w:rPr>
        <w:t>地形地貌</w:t>
      </w:r>
    </w:p>
    <w:p w:rsidR="006175A6" w:rsidRDefault="009B4BA7">
      <w:pPr>
        <w:ind w:firstLine="480"/>
      </w:pPr>
      <w:r>
        <w:rPr>
          <w:rFonts w:hint="eastAsia"/>
        </w:rPr>
        <w:t>（</w:t>
      </w:r>
      <w:r>
        <w:rPr>
          <w:rFonts w:hint="eastAsia"/>
        </w:rPr>
        <w:t>1</w:t>
      </w:r>
      <w:r>
        <w:rPr>
          <w:rFonts w:hint="eastAsia"/>
        </w:rPr>
        <w:t>）地形地貌</w:t>
      </w:r>
    </w:p>
    <w:p w:rsidR="006175A6" w:rsidRDefault="009B4BA7">
      <w:pPr>
        <w:ind w:firstLine="480"/>
      </w:pPr>
      <w:r>
        <w:rPr>
          <w:rFonts w:hint="eastAsia"/>
        </w:rPr>
        <w:t>兴山县两河口水库工程，位于鄂西山地，属于大巴山东段延伸部分，山脉从北东至南西向展布，地势东北高，西南低，河谷两岸山高坡陡、峰峦叠嶂，白云岩、灰岩形成深切陡壁，一般高程</w:t>
      </w:r>
      <w:r>
        <w:rPr>
          <w:rFonts w:hint="eastAsia"/>
        </w:rPr>
        <w:t xml:space="preserve"> 1000~1200m</w:t>
      </w:r>
      <w:r>
        <w:rPr>
          <w:rFonts w:hint="eastAsia"/>
        </w:rPr>
        <w:t>，相对高差</w:t>
      </w:r>
      <w:r>
        <w:rPr>
          <w:rFonts w:hint="eastAsia"/>
        </w:rPr>
        <w:t xml:space="preserve"> 300~400m</w:t>
      </w:r>
      <w:r>
        <w:rPr>
          <w:rFonts w:hint="eastAsia"/>
        </w:rPr>
        <w:t>，河谷深切、侵蚀剧烈，与两岸陡峭山体构成典型的“</w:t>
      </w:r>
      <w:r>
        <w:rPr>
          <w:rFonts w:hint="eastAsia"/>
        </w:rPr>
        <w:t>V</w:t>
      </w:r>
      <w:r>
        <w:rPr>
          <w:rFonts w:hint="eastAsia"/>
        </w:rPr>
        <w:t>”型峡谷地貌景观，区域地貌的基本类型为构造剥蚀侵蚀中山区。山地斜坡坡角一般在</w:t>
      </w:r>
      <w:r>
        <w:rPr>
          <w:rFonts w:hint="eastAsia"/>
        </w:rPr>
        <w:t xml:space="preserve"> 25~55</w:t>
      </w:r>
      <w:r>
        <w:rPr>
          <w:rFonts w:hint="eastAsia"/>
        </w:rPr>
        <w:t>º，少部分地段坡角在</w:t>
      </w:r>
      <w:r>
        <w:rPr>
          <w:rFonts w:hint="eastAsia"/>
        </w:rPr>
        <w:t xml:space="preserve"> 80</w:t>
      </w:r>
      <w:r>
        <w:rPr>
          <w:rFonts w:hint="eastAsia"/>
        </w:rPr>
        <w:t>º</w:t>
      </w:r>
      <w:r>
        <w:rPr>
          <w:rFonts w:hint="eastAsia"/>
        </w:rPr>
        <w:t xml:space="preserve"> </w:t>
      </w:r>
      <w:r>
        <w:rPr>
          <w:rFonts w:hint="eastAsia"/>
        </w:rPr>
        <w:t>以上，形成峭壁。</w:t>
      </w:r>
    </w:p>
    <w:p w:rsidR="006175A6" w:rsidRDefault="009B4BA7">
      <w:pPr>
        <w:ind w:firstLine="480"/>
      </w:pPr>
      <w:r>
        <w:rPr>
          <w:rFonts w:hint="eastAsia"/>
        </w:rPr>
        <w:t>受地壳间歇性抬升的影响，区内形成多级台坎或层状地貌，台地地貌在区内出露明显：</w:t>
      </w:r>
    </w:p>
    <w:p w:rsidR="006175A6" w:rsidRDefault="009B4BA7">
      <w:pPr>
        <w:ind w:firstLine="480"/>
      </w:pPr>
      <w:r>
        <w:rPr>
          <w:rFonts w:hint="eastAsia"/>
        </w:rPr>
        <w:t xml:space="preserve">1000~1050m </w:t>
      </w:r>
      <w:r>
        <w:rPr>
          <w:rFonts w:hint="eastAsia"/>
        </w:rPr>
        <w:t>高程（</w:t>
      </w:r>
      <w:r>
        <w:rPr>
          <w:rFonts w:hint="eastAsia"/>
        </w:rPr>
        <w:t>I</w:t>
      </w:r>
      <w:r>
        <w:rPr>
          <w:rFonts w:hint="eastAsia"/>
        </w:rPr>
        <w:t>）：该高程台地发育规模小，主要顺河流、冲沟发育，台地较连续，呈缓坡状，台地上植被发育。</w:t>
      </w:r>
    </w:p>
    <w:p w:rsidR="006175A6" w:rsidRDefault="009B4BA7">
      <w:pPr>
        <w:ind w:firstLine="480"/>
      </w:pPr>
      <w:r>
        <w:rPr>
          <w:rFonts w:hint="eastAsia"/>
        </w:rPr>
        <w:t xml:space="preserve">1380~1430m </w:t>
      </w:r>
      <w:r>
        <w:rPr>
          <w:rFonts w:hint="eastAsia"/>
        </w:rPr>
        <w:t>高程（</w:t>
      </w:r>
      <w:r>
        <w:rPr>
          <w:rFonts w:hint="eastAsia"/>
        </w:rPr>
        <w:t>II</w:t>
      </w:r>
      <w:r>
        <w:rPr>
          <w:rFonts w:hint="eastAsia"/>
        </w:rPr>
        <w:t>）：该高程台地零星分布于河谷两岸，台地边缘为陡坎，台地边缘崩塌。</w:t>
      </w:r>
    </w:p>
    <w:p w:rsidR="006175A6" w:rsidRDefault="009B4BA7">
      <w:pPr>
        <w:ind w:firstLine="480"/>
      </w:pPr>
      <w:r>
        <w:rPr>
          <w:rFonts w:hint="eastAsia"/>
        </w:rPr>
        <w:t xml:space="preserve">1500~1620m </w:t>
      </w:r>
      <w:r>
        <w:rPr>
          <w:rFonts w:hint="eastAsia"/>
        </w:rPr>
        <w:t>高程（</w:t>
      </w:r>
      <w:r>
        <w:rPr>
          <w:rFonts w:hint="eastAsia"/>
        </w:rPr>
        <w:t>III</w:t>
      </w:r>
      <w:r>
        <w:rPr>
          <w:rFonts w:hint="eastAsia"/>
        </w:rPr>
        <w:t>）：该级台面在区内十分明显，地形坡度较缓，总体呈宽阔台状，与此高程以上地形形成明显反差，与区域对比，该高程相当于早更新世末喜山运动末期，即云盆期的产物。台面虽显宏观地貌特征，但经后期破坏改造，台面支离破碎，呈孤峰线状排列，峰谷高差</w:t>
      </w:r>
      <w:r>
        <w:rPr>
          <w:rFonts w:hint="eastAsia"/>
        </w:rPr>
        <w:t xml:space="preserve"> 100~200m</w:t>
      </w:r>
      <w:r>
        <w:rPr>
          <w:rFonts w:hint="eastAsia"/>
        </w:rPr>
        <w:t>。该高程台地左右岸均有分布，为两岸冲沟分水岭。</w:t>
      </w:r>
    </w:p>
    <w:p w:rsidR="006175A6" w:rsidRDefault="009B4BA7">
      <w:pPr>
        <w:ind w:firstLine="480"/>
      </w:pPr>
      <w:r>
        <w:rPr>
          <w:rFonts w:hint="eastAsia"/>
        </w:rPr>
        <w:t xml:space="preserve">1600~1800m </w:t>
      </w:r>
      <w:r>
        <w:rPr>
          <w:rFonts w:hint="eastAsia"/>
        </w:rPr>
        <w:t>高程（</w:t>
      </w:r>
      <w:r>
        <w:rPr>
          <w:rFonts w:hint="eastAsia"/>
        </w:rPr>
        <w:t>IV</w:t>
      </w:r>
      <w:r>
        <w:rPr>
          <w:rFonts w:hint="eastAsia"/>
        </w:rPr>
        <w:t>）：分布于测区外围，南岸分布于距门家河</w:t>
      </w:r>
      <w:r>
        <w:rPr>
          <w:rFonts w:hint="eastAsia"/>
        </w:rPr>
        <w:t xml:space="preserve"> 3~5km</w:t>
      </w:r>
      <w:r>
        <w:rPr>
          <w:rFonts w:hint="eastAsia"/>
        </w:rPr>
        <w:t>，排列方向与河流大致平行，呈圆弧状。峰顶连线隐现台貌特征，峰顶平缓浑园，峰间为侵蚀槽谷。与下一级台地呈中倾斜坡相接。两个台地间发育的冲沟展布上明显不协调。该台地不连续，宽度一般只有几百米，由此形成流域的最高一级地</w:t>
      </w:r>
      <w:r>
        <w:rPr>
          <w:rFonts w:hint="eastAsia"/>
        </w:rPr>
        <w:lastRenderedPageBreak/>
        <w:t>形分水岭。</w:t>
      </w:r>
    </w:p>
    <w:p w:rsidR="006175A6" w:rsidRDefault="009B4BA7">
      <w:pPr>
        <w:ind w:firstLine="480"/>
      </w:pPr>
      <w:r>
        <w:rPr>
          <w:rFonts w:hint="eastAsia"/>
        </w:rPr>
        <w:t>（</w:t>
      </w:r>
      <w:r>
        <w:rPr>
          <w:rFonts w:hint="eastAsia"/>
        </w:rPr>
        <w:t>2</w:t>
      </w:r>
      <w:r>
        <w:rPr>
          <w:rFonts w:hint="eastAsia"/>
        </w:rPr>
        <w:t>）地层岩性</w:t>
      </w:r>
    </w:p>
    <w:p w:rsidR="006175A6" w:rsidRDefault="009B4BA7">
      <w:pPr>
        <w:ind w:firstLine="480"/>
      </w:pPr>
      <w:r>
        <w:rPr>
          <w:rFonts w:hint="eastAsia"/>
        </w:rPr>
        <w:t>区域属黄陵小区的地层。区内地层除泥盆、石炭、侏罗、白垩系缺失外，自元古界至第四系均有出露。</w:t>
      </w:r>
    </w:p>
    <w:p w:rsidR="006175A6" w:rsidRDefault="009B4BA7">
      <w:pPr>
        <w:ind w:firstLine="480"/>
      </w:pPr>
      <w:r>
        <w:rPr>
          <w:rFonts w:hint="eastAsia"/>
        </w:rPr>
        <w:t>①震旦系（</w:t>
      </w:r>
      <w:r>
        <w:rPr>
          <w:rFonts w:hint="eastAsia"/>
        </w:rPr>
        <w:t>Z</w:t>
      </w:r>
      <w:r>
        <w:rPr>
          <w:rFonts w:hint="eastAsia"/>
        </w:rPr>
        <w:t>）</w:t>
      </w:r>
    </w:p>
    <w:p w:rsidR="006175A6" w:rsidRDefault="009B4BA7">
      <w:pPr>
        <w:ind w:firstLine="480"/>
      </w:pPr>
      <w:r>
        <w:rPr>
          <w:rFonts w:hint="eastAsia"/>
        </w:rPr>
        <w:t>为区内古老基底元古界神农架群之上第一个盖层。分布于区域内南部和东北部。上与寒武系为平行不整合接触，下与神农架群大角度不整合接触。</w:t>
      </w:r>
    </w:p>
    <w:p w:rsidR="006175A6" w:rsidRDefault="009B4BA7">
      <w:pPr>
        <w:ind w:firstLine="480"/>
      </w:pPr>
      <w:r>
        <w:rPr>
          <w:rFonts w:hint="eastAsia"/>
        </w:rPr>
        <w:t>上统</w:t>
      </w:r>
      <w:r>
        <w:rPr>
          <w:rFonts w:hint="eastAsia"/>
        </w:rPr>
        <w:t>~</w:t>
      </w:r>
      <w:r>
        <w:rPr>
          <w:rFonts w:hint="eastAsia"/>
        </w:rPr>
        <w:t>南沱组（</w:t>
      </w:r>
      <w:r>
        <w:rPr>
          <w:rFonts w:hint="eastAsia"/>
        </w:rPr>
        <w:t>Z2n</w:t>
      </w:r>
      <w:r>
        <w:rPr>
          <w:rFonts w:hint="eastAsia"/>
        </w:rPr>
        <w:t>）：出露于区域内西部和南部，环绕由神农架群构成的基底的边缘分布。为一套砂砾质碎屑岩、冰碛砾岩、冰碛泥岩等沉积物。厚</w:t>
      </w:r>
      <w:r>
        <w:rPr>
          <w:rFonts w:hint="eastAsia"/>
        </w:rPr>
        <w:t xml:space="preserve"> 0~693m</w:t>
      </w:r>
      <w:r>
        <w:rPr>
          <w:rFonts w:hint="eastAsia"/>
        </w:rPr>
        <w:t>。根据岩性和构造特征可划分为南沱砂岩段（</w:t>
      </w:r>
      <w:r>
        <w:rPr>
          <w:rFonts w:hint="eastAsia"/>
        </w:rPr>
        <w:t>Z2n1</w:t>
      </w:r>
      <w:r>
        <w:rPr>
          <w:rFonts w:hint="eastAsia"/>
        </w:rPr>
        <w:t>）和南沱冰碛岩（</w:t>
      </w:r>
      <w:r>
        <w:rPr>
          <w:rFonts w:hint="eastAsia"/>
        </w:rPr>
        <w:t>Z2n2</w:t>
      </w:r>
      <w:r>
        <w:rPr>
          <w:rFonts w:hint="eastAsia"/>
        </w:rPr>
        <w:t>）段。与下统马槽园组为角度不整合接触。</w:t>
      </w:r>
    </w:p>
    <w:p w:rsidR="006175A6" w:rsidRDefault="009B4BA7">
      <w:pPr>
        <w:ind w:firstLine="480"/>
      </w:pPr>
      <w:r>
        <w:rPr>
          <w:rFonts w:hint="eastAsia"/>
        </w:rPr>
        <w:t>下统（</w:t>
      </w:r>
      <w:r>
        <w:rPr>
          <w:rFonts w:hint="eastAsia"/>
        </w:rPr>
        <w:t>Z2</w:t>
      </w:r>
      <w:r>
        <w:rPr>
          <w:rFonts w:hint="eastAsia"/>
        </w:rPr>
        <w:t>）：</w:t>
      </w:r>
      <w:r>
        <w:rPr>
          <w:rFonts w:hint="eastAsia"/>
        </w:rPr>
        <w:t>1</w:t>
      </w:r>
      <w:r>
        <w:rPr>
          <w:rFonts w:hint="eastAsia"/>
        </w:rPr>
        <w:t>）陡山沱组（</w:t>
      </w:r>
      <w:r>
        <w:rPr>
          <w:rFonts w:hint="eastAsia"/>
        </w:rPr>
        <w:t>Z2d</w:t>
      </w:r>
      <w:r>
        <w:rPr>
          <w:rFonts w:hint="eastAsia"/>
        </w:rPr>
        <w:t>）：炭质页岩、板岩、硅质岩、白云岩及磷块岩。厚度</w:t>
      </w:r>
      <w:r>
        <w:rPr>
          <w:rFonts w:hint="eastAsia"/>
        </w:rPr>
        <w:t xml:space="preserve"> 26.1~57.8m</w:t>
      </w:r>
      <w:r>
        <w:rPr>
          <w:rFonts w:hint="eastAsia"/>
        </w:rPr>
        <w:t>。</w:t>
      </w:r>
      <w:r>
        <w:rPr>
          <w:rFonts w:hint="eastAsia"/>
        </w:rPr>
        <w:t>2</w:t>
      </w:r>
      <w:r>
        <w:rPr>
          <w:rFonts w:hint="eastAsia"/>
        </w:rPr>
        <w:t>）灯影组（</w:t>
      </w:r>
      <w:r>
        <w:rPr>
          <w:rFonts w:hint="eastAsia"/>
        </w:rPr>
        <w:t>Z2dn</w:t>
      </w:r>
      <w:r>
        <w:rPr>
          <w:rFonts w:hint="eastAsia"/>
        </w:rPr>
        <w:t>）：上部：灰色厚层粗晶白云岩、白云质硅质。中部：黑色薄层沥青质灰岩、页岩。下部：角砾状灰质白云岩。厚度</w:t>
      </w:r>
      <w:r>
        <w:rPr>
          <w:rFonts w:hint="eastAsia"/>
        </w:rPr>
        <w:t xml:space="preserve"> 189.2~716.4m</w:t>
      </w:r>
      <w:r>
        <w:rPr>
          <w:rFonts w:hint="eastAsia"/>
        </w:rPr>
        <w:t>。主要分布在工程区一带。</w:t>
      </w:r>
    </w:p>
    <w:p w:rsidR="006175A6" w:rsidRDefault="009B4BA7">
      <w:pPr>
        <w:ind w:firstLine="480"/>
      </w:pPr>
      <w:r>
        <w:rPr>
          <w:rFonts w:hint="eastAsia"/>
        </w:rPr>
        <w:t>②寒武系（</w:t>
      </w:r>
      <w:r>
        <w:rPr>
          <w:rFonts w:hint="cs"/>
        </w:rPr>
        <w:t>Є</w:t>
      </w:r>
      <w:r>
        <w:rPr>
          <w:rFonts w:hint="eastAsia"/>
        </w:rPr>
        <w:t>）</w:t>
      </w:r>
    </w:p>
    <w:p w:rsidR="006175A6" w:rsidRDefault="009B4BA7">
      <w:pPr>
        <w:ind w:firstLine="480"/>
      </w:pPr>
      <w:r>
        <w:rPr>
          <w:rFonts w:hint="eastAsia"/>
        </w:rPr>
        <w:t>为区域内分布较为广泛的地层。主要由以下地层构成：</w:t>
      </w:r>
      <w:r>
        <w:rPr>
          <w:rFonts w:hint="eastAsia"/>
        </w:rPr>
        <w:t>1</w:t>
      </w:r>
      <w:r>
        <w:rPr>
          <w:rFonts w:hint="eastAsia"/>
        </w:rPr>
        <w:t>）下统（</w:t>
      </w:r>
      <w:r>
        <w:rPr>
          <w:rFonts w:hint="cs"/>
        </w:rPr>
        <w:t>Є</w:t>
      </w:r>
      <w:r>
        <w:t>1</w:t>
      </w:r>
      <w:r>
        <w:rPr>
          <w:rFonts w:hint="eastAsia"/>
        </w:rPr>
        <w:t>）：水井沱组、石牌组。主要岩性为上部：灰岩、白云质灰岩，下部：砂质页岩夹灰岩，底部常有硅质灰岩或燧石层，含矾和磷。</w:t>
      </w:r>
      <w:r>
        <w:rPr>
          <w:rFonts w:hint="eastAsia"/>
        </w:rPr>
        <w:t>2</w:t>
      </w:r>
      <w:r>
        <w:rPr>
          <w:rFonts w:hint="eastAsia"/>
        </w:rPr>
        <w:t>）中统（</w:t>
      </w:r>
      <w:r>
        <w:rPr>
          <w:rFonts w:hint="cs"/>
        </w:rPr>
        <w:t>Є</w:t>
      </w:r>
      <w:r>
        <w:t>2</w:t>
      </w:r>
      <w:r>
        <w:rPr>
          <w:rFonts w:hint="eastAsia"/>
        </w:rPr>
        <w:t>）：覃家庙群：白云岩、白云质粉砂岩、页岩组成。</w:t>
      </w:r>
      <w:r>
        <w:t>3</w:t>
      </w:r>
      <w:r>
        <w:rPr>
          <w:rFonts w:hint="eastAsia"/>
        </w:rPr>
        <w:t>）上统（</w:t>
      </w:r>
      <w:r>
        <w:rPr>
          <w:rFonts w:hint="cs"/>
        </w:rPr>
        <w:t>Є</w:t>
      </w:r>
      <w:r>
        <w:t>3</w:t>
      </w:r>
      <w:r>
        <w:rPr>
          <w:rFonts w:hint="eastAsia"/>
        </w:rPr>
        <w:t>）：三游洞群：浅灰色厚层白云岩、含硅质结核。厚度</w:t>
      </w:r>
      <w:r>
        <w:rPr>
          <w:rFonts w:hint="eastAsia"/>
        </w:rPr>
        <w:t xml:space="preserve"> 35.9~100m</w:t>
      </w:r>
      <w:r>
        <w:rPr>
          <w:rFonts w:hint="eastAsia"/>
        </w:rPr>
        <w:t>。与下伏震旦系呈平行不整合接触。</w:t>
      </w:r>
    </w:p>
    <w:p w:rsidR="006175A6" w:rsidRDefault="009B4BA7">
      <w:pPr>
        <w:ind w:firstLine="480"/>
      </w:pPr>
      <w:r>
        <w:rPr>
          <w:rFonts w:hint="eastAsia"/>
        </w:rPr>
        <w:t>③奥陶系（</w:t>
      </w:r>
      <w:r>
        <w:rPr>
          <w:rFonts w:hint="eastAsia"/>
        </w:rPr>
        <w:t>O</w:t>
      </w:r>
      <w:r>
        <w:rPr>
          <w:rFonts w:hint="eastAsia"/>
        </w:rPr>
        <w:t>）</w:t>
      </w:r>
    </w:p>
    <w:p w:rsidR="006175A6" w:rsidRDefault="009B4BA7">
      <w:pPr>
        <w:ind w:firstLine="480"/>
      </w:pPr>
      <w:r>
        <w:rPr>
          <w:rFonts w:hint="eastAsia"/>
        </w:rPr>
        <w:t>下统（</w:t>
      </w:r>
      <w:r>
        <w:rPr>
          <w:rFonts w:hint="eastAsia"/>
        </w:rPr>
        <w:t>O</w:t>
      </w:r>
      <w:r>
        <w:rPr>
          <w:rFonts w:hint="eastAsia"/>
          <w:vertAlign w:val="subscript"/>
        </w:rPr>
        <w:t>1</w:t>
      </w:r>
      <w:r>
        <w:rPr>
          <w:rFonts w:hint="eastAsia"/>
        </w:rPr>
        <w:t>）：</w:t>
      </w:r>
    </w:p>
    <w:p w:rsidR="006175A6" w:rsidRDefault="009B4BA7">
      <w:pPr>
        <w:ind w:firstLine="480"/>
      </w:pPr>
      <w:r>
        <w:rPr>
          <w:rFonts w:hint="eastAsia"/>
        </w:rPr>
        <w:t>下段：下部灰色生物灰岩、瘤状灰岩、灰色薄至中厚层白云岩、生物灰岩、鲕状灰岩。上部为页岩。上段：灰色中厚层泥质瘤状灰岩夹页岩。总厚度</w:t>
      </w:r>
      <w:r>
        <w:rPr>
          <w:rFonts w:hint="eastAsia"/>
        </w:rPr>
        <w:t>55.3~70m</w:t>
      </w:r>
      <w:r>
        <w:rPr>
          <w:rFonts w:hint="eastAsia"/>
        </w:rPr>
        <w:t>。</w:t>
      </w:r>
    </w:p>
    <w:p w:rsidR="006175A6" w:rsidRDefault="009B4BA7">
      <w:pPr>
        <w:ind w:firstLine="480"/>
      </w:pPr>
      <w:r>
        <w:rPr>
          <w:rFonts w:hint="eastAsia"/>
        </w:rPr>
        <w:t>中、上统（</w:t>
      </w:r>
      <w:r>
        <w:rPr>
          <w:rFonts w:hint="eastAsia"/>
        </w:rPr>
        <w:t>O</w:t>
      </w:r>
      <w:r>
        <w:rPr>
          <w:rFonts w:hint="eastAsia"/>
          <w:vertAlign w:val="subscript"/>
        </w:rPr>
        <w:t>2+3</w:t>
      </w:r>
      <w:r>
        <w:rPr>
          <w:rFonts w:hint="eastAsia"/>
        </w:rPr>
        <w:t>）：</w:t>
      </w:r>
    </w:p>
    <w:p w:rsidR="006175A6" w:rsidRDefault="009B4BA7">
      <w:pPr>
        <w:ind w:firstLine="480"/>
      </w:pPr>
      <w:r>
        <w:rPr>
          <w:rFonts w:hint="eastAsia"/>
        </w:rPr>
        <w:t>黑色硅质岩夹硅质页岩，黄褐色、青灰色泥质瘤状灰岩和泥灰岩。厚度</w:t>
      </w:r>
      <w:r>
        <w:rPr>
          <w:rFonts w:hint="eastAsia"/>
        </w:rPr>
        <w:t xml:space="preserve"> 35.4~50m</w:t>
      </w:r>
      <w:r>
        <w:rPr>
          <w:rFonts w:hint="eastAsia"/>
        </w:rPr>
        <w:t>。</w:t>
      </w:r>
    </w:p>
    <w:p w:rsidR="006175A6" w:rsidRDefault="009B4BA7">
      <w:pPr>
        <w:ind w:firstLine="480"/>
      </w:pPr>
      <w:r>
        <w:rPr>
          <w:rFonts w:hint="eastAsia"/>
        </w:rPr>
        <w:t>④志留系（</w:t>
      </w:r>
      <w:r>
        <w:rPr>
          <w:rFonts w:hint="eastAsia"/>
        </w:rPr>
        <w:t>S</w:t>
      </w:r>
      <w:r>
        <w:rPr>
          <w:rFonts w:hint="eastAsia"/>
        </w:rPr>
        <w:t>）</w:t>
      </w:r>
    </w:p>
    <w:p w:rsidR="006175A6" w:rsidRDefault="009B4BA7">
      <w:pPr>
        <w:ind w:firstLine="480"/>
      </w:pPr>
      <w:r>
        <w:rPr>
          <w:rFonts w:hint="eastAsia"/>
        </w:rPr>
        <w:lastRenderedPageBreak/>
        <w:t>下统龙马溪群（</w:t>
      </w:r>
      <w:r>
        <w:rPr>
          <w:rFonts w:hint="eastAsia"/>
        </w:rPr>
        <w:t>S</w:t>
      </w:r>
      <w:r>
        <w:rPr>
          <w:rFonts w:hint="eastAsia"/>
          <w:vertAlign w:val="subscript"/>
        </w:rPr>
        <w:t>1</w:t>
      </w:r>
      <w:r>
        <w:rPr>
          <w:rFonts w:hint="eastAsia"/>
        </w:rPr>
        <w:t>ln</w:t>
      </w:r>
      <w:r>
        <w:rPr>
          <w:rFonts w:hint="eastAsia"/>
        </w:rPr>
        <w:t>）：</w:t>
      </w:r>
    </w:p>
    <w:p w:rsidR="006175A6" w:rsidRDefault="009B4BA7">
      <w:pPr>
        <w:ind w:firstLine="480"/>
      </w:pPr>
      <w:r>
        <w:rPr>
          <w:rFonts w:hint="eastAsia"/>
        </w:rPr>
        <w:t>下部为黑色页岩，中部为灰绿色中厚层细砂岩、粉砂岩夹页岩。上部粉砂质页岩、页岩夹粉砂岩。厚度</w:t>
      </w:r>
      <w:r>
        <w:rPr>
          <w:rFonts w:hint="eastAsia"/>
        </w:rPr>
        <w:t xml:space="preserve"> 305~1006m</w:t>
      </w:r>
      <w:r>
        <w:rPr>
          <w:rFonts w:hint="eastAsia"/>
        </w:rPr>
        <w:t>。</w:t>
      </w:r>
    </w:p>
    <w:p w:rsidR="006175A6" w:rsidRDefault="009B4BA7">
      <w:pPr>
        <w:ind w:firstLine="480"/>
      </w:pPr>
      <w:r>
        <w:rPr>
          <w:rFonts w:hint="eastAsia"/>
        </w:rPr>
        <w:t>中统罗惹坪群（</w:t>
      </w:r>
      <w:r>
        <w:rPr>
          <w:rFonts w:hint="eastAsia"/>
        </w:rPr>
        <w:t>S2lr</w:t>
      </w:r>
      <w:r>
        <w:rPr>
          <w:rFonts w:hint="eastAsia"/>
        </w:rPr>
        <w:t>）：</w:t>
      </w:r>
    </w:p>
    <w:p w:rsidR="006175A6" w:rsidRDefault="009B4BA7">
      <w:pPr>
        <w:ind w:firstLine="480"/>
      </w:pPr>
      <w:r>
        <w:rPr>
          <w:rFonts w:hint="eastAsia"/>
        </w:rPr>
        <w:t>灰、灰绿色粉砂质页岩、粉砂岩夹透镜状白云质灰岩，上部夹砂岩。厚度</w:t>
      </w:r>
      <w:r>
        <w:rPr>
          <w:rFonts w:hint="eastAsia"/>
        </w:rPr>
        <w:t>228~996m</w:t>
      </w:r>
      <w:r>
        <w:rPr>
          <w:rFonts w:hint="eastAsia"/>
        </w:rPr>
        <w:t>。</w:t>
      </w:r>
    </w:p>
    <w:p w:rsidR="006175A6" w:rsidRDefault="009B4BA7">
      <w:pPr>
        <w:ind w:firstLine="480"/>
      </w:pPr>
      <w:r>
        <w:rPr>
          <w:rFonts w:hint="eastAsia"/>
        </w:rPr>
        <w:t>志留系（</w:t>
      </w:r>
      <w:r>
        <w:rPr>
          <w:rFonts w:hint="eastAsia"/>
        </w:rPr>
        <w:t>S</w:t>
      </w:r>
      <w:r>
        <w:rPr>
          <w:rFonts w:hint="eastAsia"/>
        </w:rPr>
        <w:t>）与上覆二迭系（</w:t>
      </w:r>
      <w:r>
        <w:rPr>
          <w:rFonts w:hint="eastAsia"/>
        </w:rPr>
        <w:t>P</w:t>
      </w:r>
      <w:r>
        <w:rPr>
          <w:rFonts w:hint="eastAsia"/>
        </w:rPr>
        <w:t>）呈平行不整合接触。</w:t>
      </w:r>
    </w:p>
    <w:p w:rsidR="006175A6" w:rsidRDefault="009B4BA7">
      <w:pPr>
        <w:ind w:firstLine="480"/>
      </w:pPr>
      <w:r>
        <w:rPr>
          <w:rFonts w:hint="eastAsia"/>
        </w:rPr>
        <w:t>⑤第四系（</w:t>
      </w:r>
      <w:r>
        <w:rPr>
          <w:rFonts w:hint="eastAsia"/>
        </w:rPr>
        <w:t>Q4</w:t>
      </w:r>
      <w:r>
        <w:rPr>
          <w:rFonts w:hint="eastAsia"/>
        </w:rPr>
        <w:t>）</w:t>
      </w:r>
    </w:p>
    <w:p w:rsidR="006175A6" w:rsidRDefault="009B4BA7">
      <w:pPr>
        <w:ind w:firstLine="480"/>
      </w:pPr>
      <w:r>
        <w:rPr>
          <w:rFonts w:hint="eastAsia"/>
        </w:rPr>
        <w:t>坡残积层为粘土夹块石；冲洪积层为砂卵石；崩积层为巨块石夹块石。零星分布于山坡凹地及河岸，厚</w:t>
      </w:r>
      <w:r>
        <w:rPr>
          <w:rFonts w:hint="eastAsia"/>
        </w:rPr>
        <w:t>0~17m</w:t>
      </w:r>
      <w:r>
        <w:rPr>
          <w:rFonts w:hint="eastAsia"/>
        </w:rPr>
        <w:t>。</w:t>
      </w:r>
    </w:p>
    <w:p w:rsidR="006175A6" w:rsidRDefault="009B4BA7">
      <w:pPr>
        <w:ind w:firstLine="480"/>
      </w:pPr>
      <w:r>
        <w:rPr>
          <w:rFonts w:hint="eastAsia"/>
        </w:rPr>
        <w:t>（</w:t>
      </w:r>
      <w:r>
        <w:rPr>
          <w:rFonts w:hint="eastAsia"/>
        </w:rPr>
        <w:t>3</w:t>
      </w:r>
      <w:r>
        <w:rPr>
          <w:rFonts w:hint="eastAsia"/>
        </w:rPr>
        <w:t>）地震烈度</w:t>
      </w:r>
    </w:p>
    <w:p w:rsidR="006175A6" w:rsidRDefault="009B4BA7">
      <w:pPr>
        <w:ind w:firstLine="480"/>
      </w:pPr>
      <w:r>
        <w:rPr>
          <w:rFonts w:hint="eastAsia"/>
        </w:rPr>
        <w:t>据区域地震勘探资料，区内所见区域性大断层切割深度均不大，以基底断裂为主，并与地震断裂具有较好的一致性。主要断裂现今活动微弱，发展趋于稳定。工程区</w:t>
      </w:r>
      <w:r>
        <w:rPr>
          <w:rFonts w:hint="eastAsia"/>
        </w:rPr>
        <w:t xml:space="preserve"> 50km </w:t>
      </w:r>
      <w:r>
        <w:rPr>
          <w:rFonts w:hint="eastAsia"/>
        </w:rPr>
        <w:t>范围内地震活动微弱，以微震、小震为主。据研究，本区区域构造活动在地质时期的发展演化规律是由强转向微弱。断裂活动总水平均不高，处于由活跃期向平静期过渡的时期。</w:t>
      </w:r>
    </w:p>
    <w:p w:rsidR="006175A6" w:rsidRDefault="009B4BA7">
      <w:pPr>
        <w:ind w:firstLine="480"/>
      </w:pPr>
      <w:r>
        <w:rPr>
          <w:rFonts w:hint="eastAsia"/>
        </w:rPr>
        <w:t>区域上构造背景稳定性好，无大的活动性断裂通过。断裂不发育，所见断层规模很小。区域内的几条大断裂切割深度不大，活动微弱，且距离工程区均较远，地壳结构完整，地震活动微弱，今后发生破坏性地震的可能性很小。若区域上发生地震，相对的影响烈度一般都不超过Ⅵ度。因此可以认为工程区处于相对稳定的地块内，属于区域稳定性好或较好的地区。</w:t>
      </w:r>
    </w:p>
    <w:p w:rsidR="006175A6" w:rsidRDefault="009B4BA7">
      <w:pPr>
        <w:ind w:firstLine="480"/>
      </w:pPr>
      <w:r>
        <w:rPr>
          <w:rFonts w:hint="eastAsia"/>
        </w:rPr>
        <w:t>以工程区为中心</w:t>
      </w:r>
      <w:r>
        <w:rPr>
          <w:rFonts w:hint="eastAsia"/>
        </w:rPr>
        <w:t xml:space="preserve"> 300km </w:t>
      </w:r>
      <w:r>
        <w:rPr>
          <w:rFonts w:hint="eastAsia"/>
        </w:rPr>
        <w:t>范围内，从公元前</w:t>
      </w:r>
      <w:r>
        <w:rPr>
          <w:rFonts w:hint="eastAsia"/>
        </w:rPr>
        <w:t xml:space="preserve"> 143 </w:t>
      </w:r>
      <w:r>
        <w:rPr>
          <w:rFonts w:hint="eastAsia"/>
        </w:rPr>
        <w:t>至公元</w:t>
      </w:r>
      <w:r>
        <w:rPr>
          <w:rFonts w:hint="eastAsia"/>
        </w:rPr>
        <w:t xml:space="preserve"> 1959 </w:t>
      </w:r>
      <w:r>
        <w:rPr>
          <w:rFonts w:hint="eastAsia"/>
        </w:rPr>
        <w:t>年共记录到地震</w:t>
      </w:r>
      <w:r>
        <w:rPr>
          <w:rFonts w:hint="eastAsia"/>
        </w:rPr>
        <w:t xml:space="preserve"> 300</w:t>
      </w:r>
      <w:r>
        <w:rPr>
          <w:rFonts w:hint="eastAsia"/>
        </w:rPr>
        <w:t>余次，其中震级大于</w:t>
      </w:r>
      <w:r>
        <w:rPr>
          <w:rFonts w:hint="eastAsia"/>
        </w:rPr>
        <w:t xml:space="preserve"> 4.75 </w:t>
      </w:r>
      <w:r>
        <w:rPr>
          <w:rFonts w:hint="eastAsia"/>
        </w:rPr>
        <w:t>级的破坏性地震有</w:t>
      </w:r>
      <w:r>
        <w:rPr>
          <w:rFonts w:hint="eastAsia"/>
        </w:rPr>
        <w:t xml:space="preserve"> 40 </w:t>
      </w:r>
      <w:r>
        <w:rPr>
          <w:rFonts w:hint="eastAsia"/>
        </w:rPr>
        <w:t>余次，</w:t>
      </w:r>
      <w:r>
        <w:rPr>
          <w:rFonts w:hint="eastAsia"/>
        </w:rPr>
        <w:t xml:space="preserve">6 </w:t>
      </w:r>
      <w:r>
        <w:rPr>
          <w:rFonts w:hint="eastAsia"/>
        </w:rPr>
        <w:t>级以上的强震有</w:t>
      </w:r>
      <w:r>
        <w:rPr>
          <w:rFonts w:hint="eastAsia"/>
        </w:rPr>
        <w:t xml:space="preserve"> 3 </w:t>
      </w:r>
      <w:r>
        <w:rPr>
          <w:rFonts w:hint="eastAsia"/>
        </w:rPr>
        <w:t>次，它们分别是咸丰地震（</w:t>
      </w:r>
      <w:r>
        <w:rPr>
          <w:rFonts w:hint="eastAsia"/>
        </w:rPr>
        <w:t xml:space="preserve">6.25 </w:t>
      </w:r>
      <w:r>
        <w:rPr>
          <w:rFonts w:hint="eastAsia"/>
        </w:rPr>
        <w:t>级）、常德地震（</w:t>
      </w:r>
      <w:r>
        <w:rPr>
          <w:rFonts w:hint="eastAsia"/>
        </w:rPr>
        <w:t xml:space="preserve">6.75 </w:t>
      </w:r>
      <w:r>
        <w:rPr>
          <w:rFonts w:hint="eastAsia"/>
        </w:rPr>
        <w:t>级）及竹山地震（</w:t>
      </w:r>
      <w:r>
        <w:rPr>
          <w:rFonts w:hint="eastAsia"/>
        </w:rPr>
        <w:t xml:space="preserve">6.25 </w:t>
      </w:r>
      <w:r>
        <w:rPr>
          <w:rFonts w:hint="eastAsia"/>
        </w:rPr>
        <w:t>级），其中以常德地震震中距工程区最近约</w:t>
      </w:r>
      <w:r>
        <w:rPr>
          <w:rFonts w:hint="eastAsia"/>
        </w:rPr>
        <w:t xml:space="preserve"> 200km</w:t>
      </w:r>
      <w:r>
        <w:rPr>
          <w:rFonts w:hint="eastAsia"/>
        </w:rPr>
        <w:t>，其它均在</w:t>
      </w:r>
      <w:r>
        <w:rPr>
          <w:rFonts w:hint="eastAsia"/>
        </w:rPr>
        <w:t xml:space="preserve"> 250km </w:t>
      </w:r>
      <w:r>
        <w:rPr>
          <w:rFonts w:hint="eastAsia"/>
        </w:rPr>
        <w:t>以外。另外，在湖北秭归、枝江、宜都、公安、天门、钟祥及湖南常德、南县、安乡等地还发生过</w:t>
      </w:r>
      <w:r>
        <w:rPr>
          <w:rFonts w:hint="eastAsia"/>
        </w:rPr>
        <w:t xml:space="preserve"> 4.5~6.0 </w:t>
      </w:r>
      <w:r>
        <w:rPr>
          <w:rFonts w:hint="eastAsia"/>
        </w:rPr>
        <w:t>级地震，它们距坝区在</w:t>
      </w:r>
      <w:r>
        <w:rPr>
          <w:rFonts w:hint="eastAsia"/>
        </w:rPr>
        <w:t xml:space="preserve"> 50 </w:t>
      </w:r>
      <w:r>
        <w:rPr>
          <w:rFonts w:hint="eastAsia"/>
        </w:rPr>
        <w:t>至</w:t>
      </w:r>
      <w:r>
        <w:rPr>
          <w:rFonts w:hint="eastAsia"/>
        </w:rPr>
        <w:t xml:space="preserve"> 200 </w:t>
      </w:r>
      <w:r>
        <w:rPr>
          <w:rFonts w:hint="eastAsia"/>
        </w:rPr>
        <w:t>余</w:t>
      </w:r>
      <w:r>
        <w:rPr>
          <w:rFonts w:hint="eastAsia"/>
        </w:rPr>
        <w:t xml:space="preserve"> km </w:t>
      </w:r>
      <w:r>
        <w:rPr>
          <w:rFonts w:hint="eastAsia"/>
        </w:rPr>
        <w:t>左右，如枝江、宜都、公安等地震。区域上地震分布有如下特征：①区域地震主要受断层构造控制，其北部受</w:t>
      </w:r>
      <w:r>
        <w:rPr>
          <w:rFonts w:hint="eastAsia"/>
        </w:rPr>
        <w:t xml:space="preserve"> NNW </w:t>
      </w:r>
      <w:r>
        <w:rPr>
          <w:rFonts w:hint="eastAsia"/>
        </w:rPr>
        <w:t>向断层控制，东部及南部则受</w:t>
      </w:r>
      <w:r>
        <w:rPr>
          <w:rFonts w:hint="eastAsia"/>
        </w:rPr>
        <w:t xml:space="preserve"> NE</w:t>
      </w:r>
      <w:r>
        <w:rPr>
          <w:rFonts w:hint="eastAsia"/>
        </w:rPr>
        <w:t>、</w:t>
      </w:r>
      <w:r>
        <w:rPr>
          <w:rFonts w:hint="eastAsia"/>
        </w:rPr>
        <w:t xml:space="preserve">NNE </w:t>
      </w:r>
      <w:r>
        <w:rPr>
          <w:rFonts w:hint="eastAsia"/>
        </w:rPr>
        <w:t>向断层控制。</w:t>
      </w:r>
      <w:r>
        <w:rPr>
          <w:rFonts w:hint="eastAsia"/>
        </w:rPr>
        <w:lastRenderedPageBreak/>
        <w:t>②工程区是区域上地震频次最低的地区。根据《中国地震动参数区划图》（</w:t>
      </w:r>
      <w:r>
        <w:rPr>
          <w:rFonts w:hint="eastAsia"/>
        </w:rPr>
        <w:t>GB18306~2015</w:t>
      </w:r>
      <w:r>
        <w:rPr>
          <w:rFonts w:hint="eastAsia"/>
        </w:rPr>
        <w:t>），工程区地震动峰值加速度为</w:t>
      </w:r>
      <w:r>
        <w:rPr>
          <w:rFonts w:hint="eastAsia"/>
        </w:rPr>
        <w:t xml:space="preserve"> 0.05g</w:t>
      </w:r>
      <w:r>
        <w:rPr>
          <w:rFonts w:hint="eastAsia"/>
        </w:rPr>
        <w:t>，地震动反应谱特征周期</w:t>
      </w:r>
      <w:r>
        <w:rPr>
          <w:rFonts w:hint="eastAsia"/>
        </w:rPr>
        <w:t xml:space="preserve"> 0.35s</w:t>
      </w:r>
      <w:r>
        <w:rPr>
          <w:rFonts w:hint="eastAsia"/>
        </w:rPr>
        <w:t>（</w:t>
      </w:r>
      <w:r>
        <w:rPr>
          <w:rFonts w:hint="eastAsia"/>
        </w:rPr>
        <w:t xml:space="preserve">50 </w:t>
      </w:r>
      <w:r>
        <w:rPr>
          <w:rFonts w:hint="eastAsia"/>
        </w:rPr>
        <w:t>年超越概率</w:t>
      </w:r>
      <w:r>
        <w:rPr>
          <w:rFonts w:hint="eastAsia"/>
        </w:rPr>
        <w:t xml:space="preserve"> 10%</w:t>
      </w:r>
      <w:r>
        <w:rPr>
          <w:rFonts w:hint="eastAsia"/>
        </w:rPr>
        <w:t>），相应的地震基本烈度为Ⅵ度。</w:t>
      </w:r>
    </w:p>
    <w:p w:rsidR="006175A6" w:rsidRDefault="009B4BA7">
      <w:pPr>
        <w:pStyle w:val="3"/>
      </w:pPr>
      <w:r>
        <w:rPr>
          <w:rFonts w:hint="eastAsia"/>
        </w:rPr>
        <w:t>水文地质</w:t>
      </w:r>
    </w:p>
    <w:p w:rsidR="006175A6" w:rsidRDefault="009B4BA7">
      <w:pPr>
        <w:ind w:firstLine="480"/>
      </w:pPr>
      <w:r>
        <w:rPr>
          <w:rFonts w:hint="eastAsia"/>
        </w:rPr>
        <w:t>（</w:t>
      </w:r>
      <w:r>
        <w:rPr>
          <w:rFonts w:hint="eastAsia"/>
        </w:rPr>
        <w:t>1</w:t>
      </w:r>
      <w:r>
        <w:rPr>
          <w:rFonts w:hint="eastAsia"/>
        </w:rPr>
        <w:t>）水文地质岩组划分</w:t>
      </w:r>
    </w:p>
    <w:p w:rsidR="006175A6" w:rsidRDefault="009B4BA7">
      <w:pPr>
        <w:ind w:firstLine="480"/>
      </w:pPr>
      <w:r>
        <w:rPr>
          <w:rFonts w:hint="eastAsia"/>
        </w:rPr>
        <w:t>区内相对隔水岩组：</w:t>
      </w:r>
    </w:p>
    <w:p w:rsidR="006175A6" w:rsidRDefault="009B4BA7">
      <w:pPr>
        <w:ind w:firstLine="480"/>
      </w:pPr>
      <w:r>
        <w:rPr>
          <w:rFonts w:hint="eastAsia"/>
        </w:rPr>
        <w:t>①寒武系下统下部：页岩、砂岩；②寒武系中统：白云岩夹页岩；③震旦系上统陡山沱组（</w:t>
      </w:r>
      <w:r>
        <w:rPr>
          <w:rFonts w:hint="eastAsia"/>
        </w:rPr>
        <w:t>Z</w:t>
      </w:r>
      <w:r>
        <w:rPr>
          <w:rFonts w:hint="eastAsia"/>
          <w:vertAlign w:val="subscript"/>
        </w:rPr>
        <w:t>2</w:t>
      </w:r>
      <w:r>
        <w:rPr>
          <w:rFonts w:hint="eastAsia"/>
        </w:rPr>
        <w:t>d</w:t>
      </w:r>
      <w:r>
        <w:rPr>
          <w:rFonts w:hint="eastAsia"/>
        </w:rPr>
        <w:t>）：硅质灰岩、页岩夹磷块岩；④震旦系上统灯影组。中段：石板滩段（</w:t>
      </w:r>
      <w:r>
        <w:rPr>
          <w:rFonts w:hint="eastAsia"/>
        </w:rPr>
        <w:t>Z</w:t>
      </w:r>
      <w:r>
        <w:rPr>
          <w:rFonts w:hint="eastAsia"/>
          <w:vertAlign w:val="subscript"/>
        </w:rPr>
        <w:t>2</w:t>
      </w:r>
      <w:r>
        <w:rPr>
          <w:rFonts w:hint="eastAsia"/>
        </w:rPr>
        <w:t>dn</w:t>
      </w:r>
      <w:r>
        <w:rPr>
          <w:rFonts w:hint="eastAsia"/>
          <w:vertAlign w:val="subscript"/>
        </w:rPr>
        <w:t>2</w:t>
      </w:r>
      <w:r>
        <w:rPr>
          <w:rFonts w:hint="eastAsia"/>
        </w:rPr>
        <w:t>）：黑色沥青质页岩、薄层硅质灰岩。</w:t>
      </w:r>
    </w:p>
    <w:p w:rsidR="006175A6" w:rsidRDefault="009B4BA7">
      <w:pPr>
        <w:ind w:firstLine="480"/>
      </w:pPr>
      <w:r>
        <w:rPr>
          <w:rFonts w:hint="eastAsia"/>
        </w:rPr>
        <w:t>相对透水岩组：</w:t>
      </w:r>
    </w:p>
    <w:p w:rsidR="006175A6" w:rsidRDefault="009B4BA7">
      <w:pPr>
        <w:ind w:firstLine="480"/>
      </w:pPr>
      <w:r>
        <w:rPr>
          <w:rFonts w:hint="eastAsia"/>
        </w:rPr>
        <w:t>①第四系松散体，包括崩积物（</w:t>
      </w:r>
      <w:r>
        <w:rPr>
          <w:rFonts w:hint="eastAsia"/>
        </w:rPr>
        <w:t>Q</w:t>
      </w:r>
      <w:r>
        <w:rPr>
          <w:rFonts w:hint="eastAsia"/>
          <w:vertAlign w:val="subscript"/>
        </w:rPr>
        <w:t>4</w:t>
      </w:r>
      <w:r>
        <w:rPr>
          <w:rFonts w:hint="eastAsia"/>
        </w:rPr>
        <w:t>col</w:t>
      </w:r>
      <w:r>
        <w:rPr>
          <w:rFonts w:hint="eastAsia"/>
        </w:rPr>
        <w:t>），残坡积物（</w:t>
      </w:r>
      <w:r>
        <w:rPr>
          <w:rFonts w:hint="eastAsia"/>
        </w:rPr>
        <w:t>Q</w:t>
      </w:r>
      <w:r>
        <w:rPr>
          <w:rFonts w:hint="eastAsia"/>
          <w:vertAlign w:val="subscript"/>
        </w:rPr>
        <w:t>4</w:t>
      </w:r>
      <w:r>
        <w:rPr>
          <w:rFonts w:hint="eastAsia"/>
        </w:rPr>
        <w:t>edl</w:t>
      </w:r>
      <w:r>
        <w:rPr>
          <w:rFonts w:hint="eastAsia"/>
        </w:rPr>
        <w:t>），洪积物（</w:t>
      </w:r>
      <w:r>
        <w:rPr>
          <w:rFonts w:hint="eastAsia"/>
        </w:rPr>
        <w:t>Q</w:t>
      </w:r>
      <w:r>
        <w:rPr>
          <w:rFonts w:hint="eastAsia"/>
          <w:vertAlign w:val="subscript"/>
        </w:rPr>
        <w:t>4</w:t>
      </w:r>
      <w:r>
        <w:rPr>
          <w:rFonts w:hint="eastAsia"/>
        </w:rPr>
        <w:t>al</w:t>
      </w:r>
      <w:r>
        <w:rPr>
          <w:rFonts w:hint="eastAsia"/>
        </w:rPr>
        <w:t>）；②寒武系中统、下统上部灰岩、白云质灰岩、白云岩；③震旦系灯影组硅质条带白云岩，白云质灰岩。</w:t>
      </w:r>
    </w:p>
    <w:p w:rsidR="006175A6" w:rsidRDefault="009B4BA7">
      <w:pPr>
        <w:ind w:firstLine="480"/>
      </w:pPr>
      <w:r>
        <w:rPr>
          <w:rFonts w:hint="eastAsia"/>
        </w:rPr>
        <w:t>（</w:t>
      </w:r>
      <w:r>
        <w:rPr>
          <w:rFonts w:hint="eastAsia"/>
        </w:rPr>
        <w:t>2</w:t>
      </w:r>
      <w:r>
        <w:rPr>
          <w:rFonts w:hint="eastAsia"/>
        </w:rPr>
        <w:t>）地下水类型及补给、排泄条件</w:t>
      </w:r>
    </w:p>
    <w:p w:rsidR="006175A6" w:rsidRDefault="009B4BA7">
      <w:pPr>
        <w:ind w:firstLine="480"/>
      </w:pPr>
      <w:r>
        <w:rPr>
          <w:rFonts w:hint="eastAsia"/>
        </w:rPr>
        <w:t>地下水按其含水介质特征，可分为构造基岩裂隙水和第四系松散介质孔隙水。基岩构造裂隙水主要赋存于强风化带及弱风化带裂隙中，受大气降水和同一含水层中地下水的补给，赋存和运移在断层破碎带和基岩裂隙中，起着运移与泉水通道的作用，以泉水和渗透水形式向下游排泄。第四系孔隙水主要赋存于第四系残坡积层和河床堆积物中，主要受大气降水和河水水位的影响，残坡积层中地下水顺坡运移，并于堆积物前缘排泄，在流量大小上具有时段性和季节性。河床地下水水位主要受河水水位影响，砂卵石孔隙率大，分布范围广，埋深大，当水位雍高后，砂卵石将成为强透水层。</w:t>
      </w:r>
    </w:p>
    <w:p w:rsidR="006175A6" w:rsidRDefault="009B4BA7">
      <w:pPr>
        <w:ind w:firstLine="480"/>
      </w:pPr>
      <w:r>
        <w:rPr>
          <w:rFonts w:hint="eastAsia"/>
        </w:rPr>
        <w:t>（</w:t>
      </w:r>
      <w:r>
        <w:rPr>
          <w:rFonts w:hint="eastAsia"/>
        </w:rPr>
        <w:t>3</w:t>
      </w:r>
      <w:r>
        <w:rPr>
          <w:rFonts w:hint="eastAsia"/>
        </w:rPr>
        <w:t>）地下水水化学类型</w:t>
      </w:r>
    </w:p>
    <w:p w:rsidR="006175A6" w:rsidRDefault="009B4BA7">
      <w:pPr>
        <w:ind w:firstLine="480"/>
      </w:pPr>
      <w:r>
        <w:rPr>
          <w:rFonts w:hint="eastAsia"/>
        </w:rPr>
        <w:t>因岩性和循环条件的制约而有所不同，除小范围流经寒武系下统下部地层水化学成分较复杂外，绝大部分地表、地下水体化学成分较简单，多属弱碱性、低矿化度的重碳酸钙、镁型水，水质较好，适合饮用，对混凝土无腐蚀性。</w:t>
      </w:r>
    </w:p>
    <w:p w:rsidR="006175A6" w:rsidRDefault="009B4BA7">
      <w:pPr>
        <w:ind w:firstLine="480"/>
      </w:pPr>
      <w:r>
        <w:rPr>
          <w:rFonts w:hint="eastAsia"/>
        </w:rPr>
        <w:t>（</w:t>
      </w:r>
      <w:r>
        <w:rPr>
          <w:rFonts w:hint="eastAsia"/>
        </w:rPr>
        <w:t>4</w:t>
      </w:r>
      <w:r>
        <w:rPr>
          <w:rFonts w:hint="eastAsia"/>
        </w:rPr>
        <w:t>）岩溶发育规律</w:t>
      </w:r>
    </w:p>
    <w:p w:rsidR="006175A6" w:rsidRDefault="009B4BA7">
      <w:pPr>
        <w:ind w:firstLine="480"/>
      </w:pPr>
      <w:r>
        <w:rPr>
          <w:rFonts w:hint="eastAsia"/>
        </w:rPr>
        <w:t>本区岩溶与岩石矿物成份、隔水层及构造关系密切，按岩石矿物成份分析，岩溶发育强弱顺序为：寒武系上统（∈</w:t>
      </w:r>
      <w:r>
        <w:rPr>
          <w:rFonts w:hint="eastAsia"/>
        </w:rPr>
        <w:t>3</w:t>
      </w:r>
      <w:r>
        <w:rPr>
          <w:rFonts w:hint="eastAsia"/>
        </w:rPr>
        <w:t>）三游洞群灰岩、白云质灰岩、白云岩，</w:t>
      </w:r>
      <w:r>
        <w:rPr>
          <w:rFonts w:hint="eastAsia"/>
        </w:rPr>
        <w:lastRenderedPageBreak/>
        <w:t>岩溶发育强烈；寒武系下统（∈</w:t>
      </w:r>
      <w:r>
        <w:rPr>
          <w:rFonts w:hint="eastAsia"/>
        </w:rPr>
        <w:t>1</w:t>
      </w:r>
      <w:r>
        <w:rPr>
          <w:rFonts w:hint="eastAsia"/>
        </w:rPr>
        <w:t>）上部：灰岩、白云质灰岩及灰岩、寒武系中统（∈</w:t>
      </w:r>
      <w:r>
        <w:rPr>
          <w:rFonts w:hint="eastAsia"/>
        </w:rPr>
        <w:t>2</w:t>
      </w:r>
      <w:r>
        <w:rPr>
          <w:rFonts w:hint="eastAsia"/>
        </w:rPr>
        <w:t>）覃家庙群灰岩、白云岩夹页岩，岩溶发育较强；灯影组下段哈蟆井段角砾状白云岩（</w:t>
      </w:r>
      <w:r>
        <w:rPr>
          <w:rFonts w:hint="eastAsia"/>
        </w:rPr>
        <w:t>Z</w:t>
      </w:r>
      <w:r>
        <w:rPr>
          <w:rFonts w:hint="eastAsia"/>
          <w:vertAlign w:val="subscript"/>
        </w:rPr>
        <w:t>2</w:t>
      </w:r>
      <w:r>
        <w:rPr>
          <w:rFonts w:hint="eastAsia"/>
        </w:rPr>
        <w:t>dn1</w:t>
      </w:r>
      <w:r>
        <w:rPr>
          <w:rFonts w:hint="eastAsia"/>
        </w:rPr>
        <w:t>）、灯影组上段白马沱段硅质白云岩（</w:t>
      </w:r>
      <w:r>
        <w:rPr>
          <w:rFonts w:hint="eastAsia"/>
        </w:rPr>
        <w:t>Z</w:t>
      </w:r>
      <w:r>
        <w:rPr>
          <w:rFonts w:hint="eastAsia"/>
          <w:vertAlign w:val="subscript"/>
        </w:rPr>
        <w:t>2</w:t>
      </w:r>
      <w:r>
        <w:rPr>
          <w:rFonts w:hint="eastAsia"/>
        </w:rPr>
        <w:t>dn3</w:t>
      </w:r>
      <w:r>
        <w:rPr>
          <w:rFonts w:hint="eastAsia"/>
        </w:rPr>
        <w:t>），岩溶发育较弱。</w:t>
      </w:r>
    </w:p>
    <w:p w:rsidR="006175A6" w:rsidRDefault="009B4BA7">
      <w:pPr>
        <w:ind w:firstLine="480"/>
      </w:pPr>
      <w:r>
        <w:rPr>
          <w:rFonts w:hint="eastAsia"/>
        </w:rPr>
        <w:t>区内岩溶水的特征取决于岩性、构造、地形地貌和现代水文网等诸因素的组合关系。根据以上对流域内岩溶泉水统计与分析，流域内岩溶发育呈现以下基本规律：</w:t>
      </w:r>
    </w:p>
    <w:p w:rsidR="006175A6" w:rsidRDefault="009B4BA7">
      <w:pPr>
        <w:ind w:firstLine="480"/>
      </w:pPr>
      <w:r>
        <w:rPr>
          <w:rFonts w:hint="eastAsia"/>
        </w:rPr>
        <w:t>①岩溶水的丰富程度、运移等与岩溶的发育程度密切相关，而溶蚀程度的强</w:t>
      </w:r>
      <w:r>
        <w:rPr>
          <w:rFonts w:hint="eastAsia"/>
        </w:rPr>
        <w:t xml:space="preserve"> </w:t>
      </w:r>
      <w:r>
        <w:rPr>
          <w:rFonts w:hint="eastAsia"/>
        </w:rPr>
        <w:t>弱，与碳酸盐岩类岩石的物理特征和化学性质密切相关。一般来讲，石灰岩类的相</w:t>
      </w:r>
      <w:r>
        <w:rPr>
          <w:rFonts w:hint="eastAsia"/>
        </w:rPr>
        <w:t xml:space="preserve"> </w:t>
      </w:r>
      <w:r>
        <w:rPr>
          <w:rFonts w:hint="eastAsia"/>
        </w:rPr>
        <w:t>对溶解度最大，垂直和倾斜岩溶裂隙为大气降水的下渗补给创造了极为有利的条件；碳酸盐岩中的泥质条带和页岩夹层不仅阻碍了岩溶发育，而且起隔水作用，使岩溶</w:t>
      </w:r>
      <w:r>
        <w:rPr>
          <w:rFonts w:hint="eastAsia"/>
        </w:rPr>
        <w:t xml:space="preserve"> </w:t>
      </w:r>
      <w:r>
        <w:rPr>
          <w:rFonts w:hint="eastAsia"/>
        </w:rPr>
        <w:t>水汇集其上而排出地表，形成悬挂水。区内三股岩溶泉水均发育在寒武系地层中，高程在</w:t>
      </w:r>
      <w:r>
        <w:rPr>
          <w:rFonts w:hint="eastAsia"/>
        </w:rPr>
        <w:t>1095m</w:t>
      </w:r>
      <w:r>
        <w:rPr>
          <w:rFonts w:hint="eastAsia"/>
        </w:rPr>
        <w:t>以上，在库内高程</w:t>
      </w:r>
      <w:r>
        <w:rPr>
          <w:rFonts w:hint="eastAsia"/>
        </w:rPr>
        <w:t>1095m</w:t>
      </w:r>
      <w:r>
        <w:rPr>
          <w:rFonts w:hint="eastAsia"/>
        </w:rPr>
        <w:t>以下的震旦系地层中无泉点出露。</w:t>
      </w:r>
    </w:p>
    <w:p w:rsidR="006175A6" w:rsidRDefault="009B4BA7">
      <w:pPr>
        <w:ind w:firstLine="480"/>
      </w:pPr>
      <w:r>
        <w:rPr>
          <w:rFonts w:hint="eastAsia"/>
        </w:rPr>
        <w:t>②地下水对碳酸盐岩的溶解作用常沿断裂或层间裂隙进行，因此断裂构造和层间裂隙控制着岩溶发育的方向、形态特征和发育程度。如</w:t>
      </w:r>
      <w:r>
        <w:rPr>
          <w:rFonts w:hint="eastAsia"/>
        </w:rPr>
        <w:t xml:space="preserve"> Q2 </w:t>
      </w:r>
      <w:r>
        <w:rPr>
          <w:rFonts w:hint="eastAsia"/>
        </w:rPr>
        <w:t>号泉沿层间裂隙发育，泉流量较小。</w:t>
      </w:r>
    </w:p>
    <w:p w:rsidR="006175A6" w:rsidRDefault="009B4BA7">
      <w:pPr>
        <w:ind w:firstLine="480"/>
      </w:pPr>
      <w:r>
        <w:rPr>
          <w:rFonts w:hint="eastAsia"/>
        </w:rPr>
        <w:t>③本区属岩溶不十分发育地区，岩溶主要分布在高程</w:t>
      </w:r>
      <w:r>
        <w:rPr>
          <w:rFonts w:hint="eastAsia"/>
        </w:rPr>
        <w:t>1200m</w:t>
      </w:r>
      <w:r>
        <w:rPr>
          <w:rFonts w:hint="eastAsia"/>
        </w:rPr>
        <w:t>以上寒武系地层中，岩溶地表形态如天坑、落水洞极少，水平岩溶管道发育如</w:t>
      </w:r>
      <w:r>
        <w:rPr>
          <w:rFonts w:hint="eastAsia"/>
        </w:rPr>
        <w:t>Q1</w:t>
      </w:r>
      <w:r>
        <w:rPr>
          <w:rFonts w:hint="eastAsia"/>
        </w:rPr>
        <w:t>泉，均来自于寒武系地层中。库区范围内岩溶基本不发育。</w:t>
      </w:r>
    </w:p>
    <w:p w:rsidR="006175A6" w:rsidRDefault="009B4BA7">
      <w:pPr>
        <w:ind w:firstLine="480"/>
      </w:pPr>
      <w:r>
        <w:rPr>
          <w:rFonts w:hint="eastAsia"/>
        </w:rPr>
        <w:t>（</w:t>
      </w:r>
      <w:r>
        <w:rPr>
          <w:rFonts w:hint="eastAsia"/>
        </w:rPr>
        <w:t>5</w:t>
      </w:r>
      <w:r>
        <w:rPr>
          <w:rFonts w:hint="eastAsia"/>
        </w:rPr>
        <w:t>）水库渗漏</w:t>
      </w:r>
    </w:p>
    <w:p w:rsidR="006175A6" w:rsidRDefault="009B4BA7">
      <w:pPr>
        <w:ind w:firstLine="480"/>
      </w:pPr>
      <w:r>
        <w:rPr>
          <w:rFonts w:hint="eastAsia"/>
        </w:rPr>
        <w:t>两河口水库属于中高山区水库，水库两岸山体雄厚。门家河由北东向南西径流，</w:t>
      </w:r>
      <w:r>
        <w:rPr>
          <w:rFonts w:hint="eastAsia"/>
        </w:rPr>
        <w:t xml:space="preserve"> </w:t>
      </w:r>
      <w:r>
        <w:rPr>
          <w:rFonts w:hint="eastAsia"/>
        </w:rPr>
        <w:t>在青龙沟口转向南，河床高程</w:t>
      </w:r>
      <w:r>
        <w:rPr>
          <w:rFonts w:hint="eastAsia"/>
        </w:rPr>
        <w:t xml:space="preserve"> 985.0~1100m</w:t>
      </w:r>
      <w:r>
        <w:rPr>
          <w:rFonts w:hint="eastAsia"/>
        </w:rPr>
        <w:t>。库内发育的青龙沟坡降达</w:t>
      </w:r>
      <w:r>
        <w:rPr>
          <w:rFonts w:hint="eastAsia"/>
        </w:rPr>
        <w:t xml:space="preserve"> 45</w:t>
      </w:r>
      <w:r>
        <w:rPr>
          <w:rFonts w:hint="eastAsia"/>
        </w:rPr>
        <w:t>‰，在沟口与门家河河床高程齐平，沟内底部高程均高于门家河。库区邻谷相距较远，分水岭雄厚，水库封闭条件较好。</w:t>
      </w:r>
    </w:p>
    <w:p w:rsidR="006175A6" w:rsidRDefault="009B4BA7">
      <w:pPr>
        <w:ind w:firstLine="480"/>
      </w:pPr>
      <w:r>
        <w:rPr>
          <w:rFonts w:hint="eastAsia"/>
        </w:rPr>
        <w:t>构成库盆及库岸地层均为震旦系灯影组上段白马沱段（</w:t>
      </w:r>
      <w:r>
        <w:rPr>
          <w:rFonts w:hint="eastAsia"/>
        </w:rPr>
        <w:t>Z</w:t>
      </w:r>
      <w:r>
        <w:rPr>
          <w:rFonts w:hint="eastAsia"/>
          <w:vertAlign w:val="subscript"/>
        </w:rPr>
        <w:t>2</w:t>
      </w:r>
      <w:r>
        <w:rPr>
          <w:rFonts w:hint="eastAsia"/>
        </w:rPr>
        <w:t>dn</w:t>
      </w:r>
      <w:r>
        <w:rPr>
          <w:rFonts w:hint="eastAsia"/>
          <w:vertAlign w:val="subscript"/>
        </w:rPr>
        <w:t>3</w:t>
      </w:r>
      <w:r>
        <w:rPr>
          <w:rFonts w:hint="eastAsia"/>
        </w:rPr>
        <w:t>）硅质白云岩、中段石板滩段（</w:t>
      </w:r>
      <w:r>
        <w:rPr>
          <w:rFonts w:hint="eastAsia"/>
        </w:rPr>
        <w:t>Z</w:t>
      </w:r>
      <w:r>
        <w:rPr>
          <w:rFonts w:hint="eastAsia"/>
          <w:vertAlign w:val="subscript"/>
        </w:rPr>
        <w:t>2</w:t>
      </w:r>
      <w:r>
        <w:rPr>
          <w:rFonts w:hint="eastAsia"/>
        </w:rPr>
        <w:t>dn</w:t>
      </w:r>
      <w:r>
        <w:rPr>
          <w:rFonts w:hint="eastAsia"/>
          <w:vertAlign w:val="subscript"/>
        </w:rPr>
        <w:t>2</w:t>
      </w:r>
      <w:r>
        <w:rPr>
          <w:rFonts w:hint="eastAsia"/>
        </w:rPr>
        <w:t>）黑色薄层沥青质灰岩、页岩，寒武系下统下部（∈</w:t>
      </w:r>
      <w:r>
        <w:rPr>
          <w:rFonts w:hint="eastAsia"/>
        </w:rPr>
        <w:t>11</w:t>
      </w:r>
      <w:r>
        <w:rPr>
          <w:rFonts w:hint="eastAsia"/>
        </w:rPr>
        <w:t>）砂质页</w:t>
      </w:r>
      <w:r>
        <w:rPr>
          <w:rFonts w:hint="eastAsia"/>
        </w:rPr>
        <w:t xml:space="preserve">  </w:t>
      </w:r>
      <w:r>
        <w:rPr>
          <w:rFonts w:hint="eastAsia"/>
        </w:rPr>
        <w:t>岩夹灰岩，均为可溶蚀性较差的岩石。岩体渗透性微弱，为相对不透水性岩体，形成了相对封闭的库盆。青龙沟来水主要为</w:t>
      </w:r>
      <w:r>
        <w:rPr>
          <w:rFonts w:hint="eastAsia"/>
        </w:rPr>
        <w:t>Q3</w:t>
      </w:r>
      <w:r>
        <w:rPr>
          <w:rFonts w:hint="eastAsia"/>
        </w:rPr>
        <w:t>泉，从地下岩溶管道出</w:t>
      </w:r>
      <w:r>
        <w:rPr>
          <w:rFonts w:hint="eastAsia"/>
        </w:rPr>
        <w:lastRenderedPageBreak/>
        <w:t>水形成。</w:t>
      </w:r>
      <w:r>
        <w:rPr>
          <w:rFonts w:hint="eastAsia"/>
        </w:rPr>
        <w:t>Q</w:t>
      </w:r>
      <w:r>
        <w:rPr>
          <w:rFonts w:hint="eastAsia"/>
          <w:vertAlign w:val="subscript"/>
        </w:rPr>
        <w:t>3</w:t>
      </w:r>
      <w:r>
        <w:rPr>
          <w:rFonts w:hint="eastAsia"/>
        </w:rPr>
        <w:t>泉形成于寒武系中统上统的灰岩、白云质灰岩中。</w:t>
      </w:r>
    </w:p>
    <w:p w:rsidR="006175A6" w:rsidRDefault="009B4BA7">
      <w:pPr>
        <w:ind w:firstLine="480"/>
      </w:pPr>
      <w:r>
        <w:rPr>
          <w:rFonts w:hint="eastAsia"/>
        </w:rPr>
        <w:t>库区发育的</w:t>
      </w:r>
      <w:r>
        <w:rPr>
          <w:rFonts w:hint="eastAsia"/>
        </w:rPr>
        <w:t xml:space="preserve"> F1 </w:t>
      </w:r>
      <w:r>
        <w:rPr>
          <w:rFonts w:hint="eastAsia"/>
        </w:rPr>
        <w:t>断裂，沿库区右岸延伸。其它如</w:t>
      </w:r>
      <w:r>
        <w:rPr>
          <w:rFonts w:hint="eastAsia"/>
        </w:rPr>
        <w:t xml:space="preserve"> F2</w:t>
      </w:r>
      <w:r>
        <w:rPr>
          <w:rFonts w:hint="eastAsia"/>
        </w:rPr>
        <w:t>、</w:t>
      </w:r>
      <w:r>
        <w:rPr>
          <w:rFonts w:hint="eastAsia"/>
        </w:rPr>
        <w:t>F3</w:t>
      </w:r>
      <w:r>
        <w:rPr>
          <w:rFonts w:hint="eastAsia"/>
        </w:rPr>
        <w:t>、</w:t>
      </w:r>
      <w:r>
        <w:rPr>
          <w:rFonts w:hint="eastAsia"/>
        </w:rPr>
        <w:t xml:space="preserve">F4 </w:t>
      </w:r>
      <w:r>
        <w:rPr>
          <w:rFonts w:hint="eastAsia"/>
        </w:rPr>
        <w:t>等断裂虽具有一定的破碎带，但规模不大，延伸范围均在库区汇水区域，成库后，不会产生沿断裂外渗的可能。</w:t>
      </w:r>
    </w:p>
    <w:p w:rsidR="006175A6" w:rsidRDefault="009B4BA7">
      <w:pPr>
        <w:ind w:firstLine="480"/>
      </w:pPr>
      <w:r>
        <w:rPr>
          <w:rFonts w:hint="eastAsia"/>
        </w:rPr>
        <w:t>综合以上分析，水库建成蓄水后，向库外产生渗漏的可能性小。</w:t>
      </w:r>
    </w:p>
    <w:p w:rsidR="006175A6" w:rsidRDefault="009B4BA7">
      <w:pPr>
        <w:pStyle w:val="3"/>
      </w:pPr>
      <w:r>
        <w:rPr>
          <w:rFonts w:hint="eastAsia"/>
        </w:rPr>
        <w:t>气象</w:t>
      </w:r>
    </w:p>
    <w:p w:rsidR="006175A6" w:rsidRDefault="009B4BA7">
      <w:pPr>
        <w:ind w:firstLine="480"/>
      </w:pPr>
      <w:r>
        <w:rPr>
          <w:rFonts w:hint="eastAsia"/>
        </w:rPr>
        <w:t>两河口水库工程所在的门家河流域内无气象台站。在整个香溪河流域，仅在兴山县的昭君镇（原高阳镇）设有兴山县气象站，海拔高度</w:t>
      </w:r>
      <w:r>
        <w:rPr>
          <w:rFonts w:hint="eastAsia"/>
        </w:rPr>
        <w:t xml:space="preserve"> 350m</w:t>
      </w:r>
      <w:r>
        <w:rPr>
          <w:rFonts w:hint="eastAsia"/>
        </w:rPr>
        <w:t>，开展的观测项目有气温、风速、日照、湿度、降水、蒸发等项目的观测；根据本工程初步设计报告，观测年限为</w:t>
      </w:r>
      <w:r>
        <w:rPr>
          <w:rFonts w:hint="eastAsia"/>
        </w:rPr>
        <w:t xml:space="preserve"> 1970 </w:t>
      </w:r>
      <w:r>
        <w:rPr>
          <w:rFonts w:hint="eastAsia"/>
        </w:rPr>
        <w:t>年</w:t>
      </w:r>
      <w:r>
        <w:rPr>
          <w:rFonts w:hint="eastAsia"/>
        </w:rPr>
        <w:t>~2012</w:t>
      </w:r>
      <w:r>
        <w:rPr>
          <w:rFonts w:hint="eastAsia"/>
        </w:rPr>
        <w:t>年共计</w:t>
      </w:r>
      <w:r>
        <w:rPr>
          <w:rFonts w:hint="eastAsia"/>
        </w:rPr>
        <w:t>43</w:t>
      </w:r>
      <w:r>
        <w:rPr>
          <w:rFonts w:hint="eastAsia"/>
        </w:rPr>
        <w:t>年。</w:t>
      </w:r>
    </w:p>
    <w:p w:rsidR="006175A6" w:rsidRDefault="009B4BA7">
      <w:pPr>
        <w:ind w:firstLine="480"/>
      </w:pPr>
      <w:r>
        <w:rPr>
          <w:rFonts w:hint="eastAsia"/>
        </w:rPr>
        <w:t>（</w:t>
      </w:r>
      <w:r>
        <w:rPr>
          <w:rFonts w:hint="eastAsia"/>
        </w:rPr>
        <w:t>1</w:t>
      </w:r>
      <w:r>
        <w:rPr>
          <w:rFonts w:hint="eastAsia"/>
        </w:rPr>
        <w:t>）温度：兴山气象站位于兴山县昭君镇、香溪河左岸的山坡上，气象站周围视野开阔，海拔高度为</w:t>
      </w:r>
      <w:r>
        <w:rPr>
          <w:rFonts w:hint="eastAsia"/>
        </w:rPr>
        <w:t>350m</w:t>
      </w:r>
      <w:r>
        <w:rPr>
          <w:rFonts w:hint="eastAsia"/>
        </w:rPr>
        <w:t>。而工程所在地海拔</w:t>
      </w:r>
      <w:r>
        <w:rPr>
          <w:rFonts w:hint="eastAsia"/>
        </w:rPr>
        <w:t>985m</w:t>
      </w:r>
      <w:r>
        <w:rPr>
          <w:rFonts w:hint="eastAsia"/>
        </w:rPr>
        <w:t>；按海拔没身高</w:t>
      </w:r>
      <w:r>
        <w:rPr>
          <w:rFonts w:hint="eastAsia"/>
        </w:rPr>
        <w:t xml:space="preserve"> 100m</w:t>
      </w:r>
      <w:r>
        <w:rPr>
          <w:rFonts w:hint="eastAsia"/>
        </w:rPr>
        <w:t>，温度降低</w:t>
      </w:r>
      <w:r>
        <w:rPr>
          <w:rFonts w:hint="eastAsia"/>
        </w:rPr>
        <w:t>0.6</w:t>
      </w:r>
      <w:r>
        <w:rPr>
          <w:rFonts w:hint="eastAsia"/>
        </w:rPr>
        <w:t>℃推算工程所在地的温度数值。</w:t>
      </w:r>
    </w:p>
    <w:p w:rsidR="006175A6" w:rsidRDefault="009B4BA7">
      <w:pPr>
        <w:ind w:firstLine="480"/>
      </w:pPr>
      <w:r>
        <w:rPr>
          <w:rFonts w:hint="eastAsia"/>
        </w:rPr>
        <w:t>（</w:t>
      </w:r>
      <w:r>
        <w:rPr>
          <w:rFonts w:hint="eastAsia"/>
        </w:rPr>
        <w:t>2</w:t>
      </w:r>
      <w:r>
        <w:rPr>
          <w:rFonts w:hint="eastAsia"/>
        </w:rPr>
        <w:t>）相对湿度：根据现场实测，工程所在地相对湿度要比兴山气象站增大约</w:t>
      </w:r>
      <w:r>
        <w:rPr>
          <w:rFonts w:hint="eastAsia"/>
        </w:rPr>
        <w:t xml:space="preserve"> 30%</w:t>
      </w:r>
      <w:r>
        <w:rPr>
          <w:rFonts w:hint="eastAsia"/>
        </w:rPr>
        <w:t>。</w:t>
      </w:r>
    </w:p>
    <w:p w:rsidR="006175A6" w:rsidRDefault="009B4BA7">
      <w:pPr>
        <w:ind w:firstLine="480"/>
      </w:pPr>
      <w:r>
        <w:rPr>
          <w:rFonts w:hint="eastAsia"/>
        </w:rPr>
        <w:t>（</w:t>
      </w:r>
      <w:r>
        <w:rPr>
          <w:rFonts w:hint="eastAsia"/>
        </w:rPr>
        <w:t>3</w:t>
      </w:r>
      <w:r>
        <w:rPr>
          <w:rFonts w:hint="eastAsia"/>
        </w:rPr>
        <w:t>）风速：虽然兴山气象站所处地形地貌与工程所在地相差不大，采用兴山气象站的风速。</w:t>
      </w:r>
    </w:p>
    <w:p w:rsidR="006175A6" w:rsidRDefault="009B4BA7">
      <w:pPr>
        <w:ind w:firstLine="480"/>
      </w:pPr>
      <w:r>
        <w:rPr>
          <w:rFonts w:hint="eastAsia"/>
        </w:rPr>
        <w:t>（</w:t>
      </w:r>
      <w:r>
        <w:rPr>
          <w:rFonts w:hint="eastAsia"/>
        </w:rPr>
        <w:t>4</w:t>
      </w:r>
      <w:r>
        <w:rPr>
          <w:rFonts w:hint="eastAsia"/>
        </w:rPr>
        <w:t>）日照：兴山气象站地处开阔的坡地，日照时间长；工程所在地地处峡谷地带，且河流大致为南北走向，因此，日照时间短。以夏季为例分析，据观察，兴山气象站的夏季一日的日照时间约为</w:t>
      </w:r>
      <w:r>
        <w:rPr>
          <w:rFonts w:hint="eastAsia"/>
        </w:rPr>
        <w:t>10h</w:t>
      </w:r>
      <w:r>
        <w:rPr>
          <w:rFonts w:hint="eastAsia"/>
        </w:rPr>
        <w:t>，而工程所在地河道的日照时间月为</w:t>
      </w:r>
      <w:r>
        <w:rPr>
          <w:rFonts w:hint="eastAsia"/>
        </w:rPr>
        <w:t xml:space="preserve"> 6h</w:t>
      </w:r>
      <w:r>
        <w:rPr>
          <w:rFonts w:hint="eastAsia"/>
        </w:rPr>
        <w:t>。因此，工程所在地的日照时间约为兴山气象站的</w:t>
      </w:r>
      <w:r>
        <w:rPr>
          <w:rFonts w:hint="eastAsia"/>
        </w:rPr>
        <w:t>3/5</w:t>
      </w:r>
      <w:r>
        <w:rPr>
          <w:rFonts w:hint="eastAsia"/>
        </w:rPr>
        <w:t>。</w:t>
      </w:r>
    </w:p>
    <w:p w:rsidR="006175A6" w:rsidRDefault="009B4BA7">
      <w:pPr>
        <w:ind w:firstLine="480"/>
      </w:pPr>
      <w:r>
        <w:rPr>
          <w:rFonts w:hint="eastAsia"/>
        </w:rPr>
        <w:t>（</w:t>
      </w:r>
      <w:r>
        <w:rPr>
          <w:rFonts w:hint="eastAsia"/>
        </w:rPr>
        <w:t>5</w:t>
      </w:r>
      <w:r>
        <w:rPr>
          <w:rFonts w:hint="eastAsia"/>
        </w:rPr>
        <w:t>）无霜期：工程所在地的无霜期，按平均温度的降幅比例确定。</w:t>
      </w:r>
    </w:p>
    <w:p w:rsidR="006175A6" w:rsidRDefault="009B4BA7">
      <w:pPr>
        <w:ind w:firstLine="480"/>
      </w:pPr>
      <w:r>
        <w:rPr>
          <w:rFonts w:hint="eastAsia"/>
        </w:rPr>
        <w:t>（</w:t>
      </w:r>
      <w:r>
        <w:rPr>
          <w:rFonts w:hint="eastAsia"/>
        </w:rPr>
        <w:t>6</w:t>
      </w:r>
      <w:r>
        <w:rPr>
          <w:rFonts w:hint="eastAsia"/>
        </w:rPr>
        <w:t>）蒸发：很明显，兴山气象站的蒸发量比工程所在地的蒸发量要大，偏于安全，仍采用兴山气象站的蒸发量。</w:t>
      </w:r>
    </w:p>
    <w:p w:rsidR="006175A6" w:rsidRDefault="009B4BA7">
      <w:pPr>
        <w:ind w:firstLine="480"/>
      </w:pPr>
      <w:r>
        <w:rPr>
          <w:rFonts w:hint="eastAsia"/>
        </w:rPr>
        <w:t>兴山县气象站及门家河流域气象特征值见</w:t>
      </w:r>
      <w:r>
        <w:fldChar w:fldCharType="begin"/>
      </w:r>
      <w:r>
        <w:instrText xml:space="preserve"> </w:instrText>
      </w:r>
      <w:r>
        <w:rPr>
          <w:rFonts w:hint="eastAsia"/>
        </w:rPr>
        <w:instrText>REF _Ref77603646 \h</w:instrText>
      </w:r>
      <w:r>
        <w:instrText xml:space="preserve"> </w:instrText>
      </w:r>
      <w:r>
        <w:fldChar w:fldCharType="separate"/>
      </w:r>
      <w:r w:rsidR="00E97427">
        <w:rPr>
          <w:rFonts w:hint="eastAsia"/>
        </w:rPr>
        <w:t>表</w:t>
      </w:r>
      <w:r w:rsidR="00E97427">
        <w:rPr>
          <w:rFonts w:hint="eastAsia"/>
        </w:rPr>
        <w:t xml:space="preserve"> </w:t>
      </w:r>
      <w:r w:rsidR="00E97427">
        <w:rPr>
          <w:noProof/>
        </w:rPr>
        <w:t>5.1</w:t>
      </w:r>
      <w:r w:rsidR="00E97427">
        <w:noBreakHyphen/>
      </w:r>
      <w:r w:rsidR="00E97427">
        <w:rPr>
          <w:noProof/>
        </w:rPr>
        <w:t>1</w:t>
      </w:r>
      <w:r>
        <w:fldChar w:fldCharType="end"/>
      </w:r>
      <w:r>
        <w:rPr>
          <w:rFonts w:hint="eastAsia"/>
        </w:rPr>
        <w:t>。</w:t>
      </w:r>
    </w:p>
    <w:p w:rsidR="006175A6" w:rsidRDefault="009B4BA7">
      <w:pPr>
        <w:pStyle w:val="a3"/>
      </w:pPr>
      <w:bookmarkStart w:id="56" w:name="_Ref77603646"/>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56"/>
      <w:r>
        <w:rPr>
          <w:rFonts w:hint="eastAsia"/>
        </w:rPr>
        <w:t xml:space="preserve">  </w:t>
      </w:r>
      <w:r>
        <w:rPr>
          <w:rFonts w:hint="eastAsia"/>
        </w:rPr>
        <w:t>兴山气象站及工程所在地流域气象特征值表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07"/>
        <w:gridCol w:w="2319"/>
        <w:gridCol w:w="1008"/>
        <w:gridCol w:w="1991"/>
        <w:gridCol w:w="1991"/>
      </w:tblGrid>
      <w:tr w:rsidR="006175A6">
        <w:trPr>
          <w:trHeight w:val="340"/>
        </w:trPr>
        <w:tc>
          <w:tcPr>
            <w:tcW w:w="605" w:type="pct"/>
            <w:vMerge w:val="restar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序号</w:t>
            </w:r>
          </w:p>
        </w:tc>
        <w:tc>
          <w:tcPr>
            <w:tcW w:w="1394" w:type="pct"/>
            <w:vMerge w:val="restar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项目</w:t>
            </w:r>
          </w:p>
        </w:tc>
        <w:tc>
          <w:tcPr>
            <w:tcW w:w="606" w:type="pct"/>
            <w:vMerge w:val="restar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单位</w:t>
            </w:r>
          </w:p>
        </w:tc>
        <w:tc>
          <w:tcPr>
            <w:tcW w:w="2394" w:type="pct"/>
            <w:gridSpan w:val="2"/>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数值</w:t>
            </w:r>
          </w:p>
        </w:tc>
      </w:tr>
      <w:tr w:rsidR="006175A6">
        <w:trPr>
          <w:trHeight w:val="340"/>
        </w:trPr>
        <w:tc>
          <w:tcPr>
            <w:tcW w:w="605" w:type="pct"/>
            <w:vMerge/>
            <w:vAlign w:val="center"/>
          </w:tcPr>
          <w:p w:rsidR="006175A6" w:rsidRDefault="006175A6">
            <w:pPr>
              <w:widowControl/>
              <w:spacing w:line="240" w:lineRule="auto"/>
              <w:ind w:firstLineChars="0" w:firstLine="0"/>
              <w:jc w:val="center"/>
              <w:rPr>
                <w:rFonts w:eastAsiaTheme="majorEastAsia"/>
                <w:sz w:val="21"/>
              </w:rPr>
            </w:pPr>
          </w:p>
        </w:tc>
        <w:tc>
          <w:tcPr>
            <w:tcW w:w="1394" w:type="pct"/>
            <w:vMerge/>
            <w:vAlign w:val="center"/>
          </w:tcPr>
          <w:p w:rsidR="006175A6" w:rsidRDefault="006175A6">
            <w:pPr>
              <w:widowControl/>
              <w:spacing w:line="240" w:lineRule="auto"/>
              <w:ind w:firstLineChars="0" w:firstLine="0"/>
              <w:jc w:val="center"/>
              <w:rPr>
                <w:rFonts w:eastAsiaTheme="majorEastAsia"/>
                <w:sz w:val="21"/>
              </w:rPr>
            </w:pPr>
          </w:p>
        </w:tc>
        <w:tc>
          <w:tcPr>
            <w:tcW w:w="606" w:type="pct"/>
            <w:vMerge/>
            <w:vAlign w:val="center"/>
          </w:tcPr>
          <w:p w:rsidR="006175A6" w:rsidRDefault="006175A6">
            <w:pPr>
              <w:widowControl/>
              <w:spacing w:line="240" w:lineRule="auto"/>
              <w:ind w:firstLineChars="0" w:firstLine="0"/>
              <w:jc w:val="center"/>
              <w:rPr>
                <w:rFonts w:eastAsiaTheme="majorEastAsia"/>
                <w:sz w:val="21"/>
              </w:rPr>
            </w:pP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兴山气象站</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门家河流域</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年平均气温</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hint="eastAsia"/>
                <w:sz w:val="21"/>
                <w:szCs w:val="21"/>
              </w:rPr>
              <w:t>℃</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17.1</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13.2</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极端最高气温</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hint="eastAsia"/>
                <w:sz w:val="21"/>
                <w:szCs w:val="21"/>
              </w:rPr>
              <w:t>℃</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43.1</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39.2</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3</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极端最低气温</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hint="eastAsia"/>
                <w:sz w:val="21"/>
                <w:szCs w:val="21"/>
              </w:rPr>
              <w:t>℃</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-5.9</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-9.8</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年均绝对湿度</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mb</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15</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18</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年均相对湿度</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73</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88</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6</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年均风速</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m/s</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最大风速</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m/s</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平均最大风速</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m/s</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15</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15</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盛行风向</w:t>
            </w:r>
          </w:p>
        </w:tc>
        <w:tc>
          <w:tcPr>
            <w:tcW w:w="606" w:type="pct"/>
            <w:vAlign w:val="center"/>
          </w:tcPr>
          <w:p w:rsidR="006175A6" w:rsidRDefault="006175A6">
            <w:pPr>
              <w:pStyle w:val="TableParagraph"/>
              <w:rPr>
                <w:rFonts w:ascii="Times New Roman" w:eastAsiaTheme="majorEastAsia" w:hAnsi="Times New Roman" w:cs="Times New Roman"/>
                <w:sz w:val="21"/>
                <w:szCs w:val="21"/>
              </w:rPr>
            </w:pP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E</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E</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10</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年均日照时数</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h</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1708</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1025</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11</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无霜期</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d</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269</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208</w:t>
            </w:r>
          </w:p>
        </w:tc>
      </w:tr>
      <w:tr w:rsidR="006175A6">
        <w:trPr>
          <w:trHeight w:val="340"/>
        </w:trPr>
        <w:tc>
          <w:tcPr>
            <w:tcW w:w="60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12</w:t>
            </w:r>
          </w:p>
        </w:tc>
        <w:tc>
          <w:tcPr>
            <w:tcW w:w="1394"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蒸发</w:t>
            </w:r>
          </w:p>
        </w:tc>
        <w:tc>
          <w:tcPr>
            <w:tcW w:w="606"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mm</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800</w:t>
            </w:r>
          </w:p>
        </w:tc>
        <w:tc>
          <w:tcPr>
            <w:tcW w:w="1197"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800</w:t>
            </w:r>
          </w:p>
        </w:tc>
      </w:tr>
    </w:tbl>
    <w:p w:rsidR="006175A6" w:rsidRDefault="009B4BA7">
      <w:pPr>
        <w:ind w:firstLine="480"/>
      </w:pPr>
      <w:r>
        <w:rPr>
          <w:rFonts w:hint="eastAsia"/>
        </w:rPr>
        <w:t>兴山县气象站及门家河流域多年逐旬平均气温见</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兴山气象站及工程所在地流域月旬平均气温值表</w:t>
      </w:r>
    </w:p>
    <w:tbl>
      <w:tblP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643"/>
        <w:gridCol w:w="1316"/>
        <w:gridCol w:w="1391"/>
        <w:gridCol w:w="703"/>
        <w:gridCol w:w="644"/>
        <w:gridCol w:w="1401"/>
        <w:gridCol w:w="1393"/>
      </w:tblGrid>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月份</w:t>
            </w:r>
          </w:p>
        </w:tc>
        <w:tc>
          <w:tcPr>
            <w:tcW w:w="395"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逐旬</w:t>
            </w:r>
          </w:p>
        </w:tc>
        <w:tc>
          <w:tcPr>
            <w:tcW w:w="1664" w:type="pct"/>
            <w:gridSpan w:val="2"/>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平均气温</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月份</w:t>
            </w:r>
          </w:p>
        </w:tc>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逐旬</w:t>
            </w:r>
          </w:p>
        </w:tc>
        <w:tc>
          <w:tcPr>
            <w:tcW w:w="1717" w:type="pct"/>
            <w:gridSpan w:val="2"/>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平均气温</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Merge/>
            <w:vAlign w:val="center"/>
          </w:tcPr>
          <w:p w:rsidR="006175A6" w:rsidRDefault="006175A6">
            <w:pPr>
              <w:widowControl/>
              <w:spacing w:line="240" w:lineRule="auto"/>
              <w:ind w:firstLineChars="0" w:firstLine="0"/>
              <w:jc w:val="center"/>
              <w:rPr>
                <w:rFonts w:eastAsiaTheme="minorEastAsia"/>
                <w:sz w:val="21"/>
              </w:rPr>
            </w:pP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兴山气象站</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门家河流域</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兴山气象站</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门家河流域</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5.4</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7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27.2</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23.3</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5.4</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28.8</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24.9</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5.7</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29.4</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25.5</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2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6.2</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8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28.8</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24.9</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7.5</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3.6</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27.8</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23.9</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4.1</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27.2</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23.3</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3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10.2</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6.3</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9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25.4</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21.5</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12.7</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8.8</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22.8</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18.9</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13.3</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9.4</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21.6</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17.7</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4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15.1</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11.2</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10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19.4</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15.5</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17.4</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13.5</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14.1</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19.1</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15.2</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16.3</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12.4</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5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19.6</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15.7</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11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13.9</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20.8</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16.9</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12.4</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8.5</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22.8</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18.9</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9.6</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5.7</w:t>
            </w:r>
          </w:p>
        </w:tc>
      </w:tr>
      <w:tr w:rsidR="006175A6">
        <w:trPr>
          <w:trHeight w:val="340"/>
        </w:trPr>
        <w:tc>
          <w:tcPr>
            <w:tcW w:w="39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6 </w:t>
            </w:r>
            <w:r>
              <w:rPr>
                <w:rFonts w:ascii="Times New Roman" w:eastAsiaTheme="minorEastAsia" w:hAnsi="Times New Roman" w:cs="Times New Roman"/>
                <w:sz w:val="21"/>
                <w:szCs w:val="21"/>
              </w:rPr>
              <w:t>月</w:t>
            </w: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23.9</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432"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12 </w:t>
            </w:r>
            <w:r>
              <w:rPr>
                <w:rFonts w:ascii="Times New Roman" w:eastAsiaTheme="minorEastAsia" w:hAnsi="Times New Roman" w:cs="Times New Roman"/>
                <w:sz w:val="21"/>
                <w:szCs w:val="21"/>
              </w:rPr>
              <w:t>月</w:t>
            </w: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上</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8.5</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4.6</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25.5</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21.6</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中</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7.6</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3.7</w:t>
            </w:r>
          </w:p>
        </w:tc>
      </w:tr>
      <w:tr w:rsidR="006175A6">
        <w:trPr>
          <w:trHeight w:val="340"/>
        </w:trPr>
        <w:tc>
          <w:tcPr>
            <w:tcW w:w="396" w:type="pct"/>
            <w:vMerge/>
            <w:vAlign w:val="center"/>
          </w:tcPr>
          <w:p w:rsidR="006175A6" w:rsidRDefault="006175A6">
            <w:pPr>
              <w:widowControl/>
              <w:spacing w:line="240" w:lineRule="auto"/>
              <w:ind w:firstLineChars="0" w:firstLine="0"/>
              <w:jc w:val="center"/>
              <w:rPr>
                <w:rFonts w:eastAsiaTheme="minorEastAsia"/>
                <w:sz w:val="21"/>
              </w:rPr>
            </w:pPr>
          </w:p>
        </w:tc>
        <w:tc>
          <w:tcPr>
            <w:tcW w:w="39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09"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26.4</w:t>
            </w:r>
          </w:p>
        </w:tc>
        <w:tc>
          <w:tcPr>
            <w:tcW w:w="85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22.5</w:t>
            </w:r>
          </w:p>
        </w:tc>
        <w:tc>
          <w:tcPr>
            <w:tcW w:w="432" w:type="pct"/>
            <w:vMerge/>
            <w:vAlign w:val="center"/>
          </w:tcPr>
          <w:p w:rsidR="006175A6" w:rsidRDefault="006175A6">
            <w:pPr>
              <w:widowControl/>
              <w:spacing w:line="240" w:lineRule="auto"/>
              <w:ind w:firstLineChars="0" w:firstLine="0"/>
              <w:jc w:val="center"/>
              <w:rPr>
                <w:rFonts w:eastAsiaTheme="minorEastAsia"/>
                <w:sz w:val="21"/>
              </w:rPr>
            </w:pPr>
          </w:p>
        </w:tc>
        <w:tc>
          <w:tcPr>
            <w:tcW w:w="39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下</w:t>
            </w:r>
          </w:p>
        </w:tc>
        <w:tc>
          <w:tcPr>
            <w:tcW w:w="86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6.1</w:t>
            </w:r>
          </w:p>
        </w:tc>
        <w:tc>
          <w:tcPr>
            <w:tcW w:w="85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p>
        </w:tc>
      </w:tr>
    </w:tbl>
    <w:p w:rsidR="006175A6" w:rsidRDefault="009B4BA7">
      <w:pPr>
        <w:pStyle w:val="3"/>
      </w:pPr>
      <w:r>
        <w:rPr>
          <w:rFonts w:hint="eastAsia"/>
        </w:rPr>
        <w:t>水资源利用现状</w:t>
      </w:r>
    </w:p>
    <w:p w:rsidR="006175A6" w:rsidRDefault="009B4BA7">
      <w:pPr>
        <w:ind w:firstLine="480"/>
      </w:pPr>
      <w:r>
        <w:rPr>
          <w:rFonts w:hint="eastAsia"/>
        </w:rPr>
        <w:t>（</w:t>
      </w:r>
      <w:r>
        <w:rPr>
          <w:rFonts w:hint="eastAsia"/>
        </w:rPr>
        <w:t>1</w:t>
      </w:r>
      <w:r>
        <w:rPr>
          <w:rFonts w:hint="eastAsia"/>
        </w:rPr>
        <w:t>）县域水资源开发现状</w:t>
      </w:r>
    </w:p>
    <w:p w:rsidR="006175A6" w:rsidRDefault="009B4BA7">
      <w:pPr>
        <w:ind w:firstLine="480"/>
      </w:pPr>
      <w:r>
        <w:rPr>
          <w:rFonts w:hint="eastAsia"/>
        </w:rPr>
        <w:t>兴山县国土总面积为</w:t>
      </w:r>
      <w:r>
        <w:rPr>
          <w:rFonts w:hint="eastAsia"/>
        </w:rPr>
        <w:t>2327km</w:t>
      </w:r>
      <w:r>
        <w:rPr>
          <w:rFonts w:hint="eastAsia"/>
        </w:rPr>
        <w:t>²，县域水资源总量</w:t>
      </w:r>
      <w:r>
        <w:rPr>
          <w:rFonts w:hint="eastAsia"/>
        </w:rPr>
        <w:t xml:space="preserve"> 12.4 </w:t>
      </w:r>
      <w:r>
        <w:rPr>
          <w:rFonts w:hint="eastAsia"/>
        </w:rPr>
        <w:t>亿</w:t>
      </w:r>
      <w:r>
        <w:rPr>
          <w:rFonts w:hint="eastAsia"/>
        </w:rPr>
        <w:t xml:space="preserve"> m</w:t>
      </w:r>
      <w:r>
        <w:rPr>
          <w:rFonts w:hint="eastAsia"/>
        </w:rPr>
        <w:t>³；其中湘坪、古夫及高桥片区（</w:t>
      </w:r>
      <w:r>
        <w:rPr>
          <w:rFonts w:hint="eastAsia"/>
        </w:rPr>
        <w:t>1434km</w:t>
      </w:r>
      <w:r>
        <w:rPr>
          <w:rFonts w:hint="eastAsia"/>
        </w:rPr>
        <w:t>²）水资源总量为</w:t>
      </w:r>
      <w:r>
        <w:rPr>
          <w:rFonts w:hint="eastAsia"/>
        </w:rPr>
        <w:t xml:space="preserve"> 7.9 </w:t>
      </w:r>
      <w:r>
        <w:rPr>
          <w:rFonts w:hint="eastAsia"/>
        </w:rPr>
        <w:t>亿</w:t>
      </w:r>
      <w:r>
        <w:rPr>
          <w:rFonts w:hint="eastAsia"/>
        </w:rPr>
        <w:t xml:space="preserve"> m</w:t>
      </w:r>
      <w:r>
        <w:rPr>
          <w:rFonts w:hint="eastAsia"/>
        </w:rPr>
        <w:t>³，产水模数</w:t>
      </w:r>
      <w:r>
        <w:rPr>
          <w:rFonts w:hint="eastAsia"/>
        </w:rPr>
        <w:t xml:space="preserve"> 55.0</w:t>
      </w:r>
      <w:r>
        <w:rPr>
          <w:rFonts w:hint="eastAsia"/>
        </w:rPr>
        <w:t>×</w:t>
      </w:r>
      <w:r>
        <w:rPr>
          <w:rFonts w:hint="eastAsia"/>
        </w:rPr>
        <w:t>104m</w:t>
      </w:r>
      <w:r>
        <w:rPr>
          <w:rFonts w:hint="eastAsia"/>
        </w:rPr>
        <w:t>³</w:t>
      </w:r>
      <w:r>
        <w:rPr>
          <w:rFonts w:hint="eastAsia"/>
        </w:rPr>
        <w:t>/km</w:t>
      </w:r>
      <w:r>
        <w:rPr>
          <w:rFonts w:hint="eastAsia"/>
        </w:rPr>
        <w:t>²</w:t>
      </w:r>
      <w:r>
        <w:rPr>
          <w:rFonts w:hint="eastAsia"/>
        </w:rPr>
        <w:t>.</w:t>
      </w:r>
      <w:r>
        <w:rPr>
          <w:rFonts w:hint="eastAsia"/>
        </w:rPr>
        <w:t>年；高岚河流域片区（</w:t>
      </w:r>
      <w:r>
        <w:rPr>
          <w:rFonts w:hint="eastAsia"/>
        </w:rPr>
        <w:t>893km</w:t>
      </w:r>
      <w:r>
        <w:rPr>
          <w:rFonts w:hint="eastAsia"/>
        </w:rPr>
        <w:t>²）为</w:t>
      </w:r>
      <w:r>
        <w:rPr>
          <w:rFonts w:hint="eastAsia"/>
        </w:rPr>
        <w:t xml:space="preserve"> 4.5 </w:t>
      </w:r>
      <w:r>
        <w:rPr>
          <w:rFonts w:hint="eastAsia"/>
        </w:rPr>
        <w:t>亿</w:t>
      </w:r>
      <w:r>
        <w:rPr>
          <w:rFonts w:hint="eastAsia"/>
        </w:rPr>
        <w:t xml:space="preserve"> m</w:t>
      </w:r>
      <w:r>
        <w:rPr>
          <w:rFonts w:hint="eastAsia"/>
        </w:rPr>
        <w:t>³，产水模数</w:t>
      </w:r>
      <w:r>
        <w:rPr>
          <w:rFonts w:hint="eastAsia"/>
        </w:rPr>
        <w:t xml:space="preserve"> 50.5</w:t>
      </w:r>
      <w:r>
        <w:rPr>
          <w:rFonts w:hint="eastAsia"/>
        </w:rPr>
        <w:t>×</w:t>
      </w:r>
      <w:r>
        <w:rPr>
          <w:rFonts w:hint="eastAsia"/>
        </w:rPr>
        <w:t>104m</w:t>
      </w:r>
      <w:r>
        <w:rPr>
          <w:rFonts w:hint="eastAsia"/>
        </w:rPr>
        <w:t>³</w:t>
      </w:r>
      <w:r>
        <w:rPr>
          <w:rFonts w:hint="eastAsia"/>
        </w:rPr>
        <w:t>/k</w:t>
      </w:r>
      <w:r>
        <w:rPr>
          <w:rFonts w:hint="eastAsia"/>
          <w:vertAlign w:val="superscript"/>
        </w:rPr>
        <w:t>2</w:t>
      </w:r>
      <w:r>
        <w:rPr>
          <w:rFonts w:hint="eastAsia"/>
        </w:rPr>
        <w:lastRenderedPageBreak/>
        <w:t>年。</w:t>
      </w:r>
    </w:p>
    <w:p w:rsidR="006175A6" w:rsidRDefault="009B4BA7">
      <w:pPr>
        <w:ind w:firstLine="480"/>
      </w:pPr>
      <w:r>
        <w:rPr>
          <w:rFonts w:hint="eastAsia"/>
        </w:rPr>
        <w:t>从总的水资源量来看，整个兴山县的水资源并不十分匮乏；但是，由于兴山县是个大山区县，自然地理条件恶劣，降雨在时空分布上严重不均匀，造成水资源在年内分布严重不均匀，加之经济条件差，水利工程基础设施建设落后；使得兴山县的水资源利用率极低，而成为全省缺水严重的地区之一。因此，总体说来，兴山县缺水主要为工程性缺水。</w:t>
      </w:r>
    </w:p>
    <w:p w:rsidR="006175A6" w:rsidRDefault="009B4BA7">
      <w:pPr>
        <w:ind w:firstLine="480"/>
      </w:pPr>
      <w:r>
        <w:rPr>
          <w:rFonts w:hint="eastAsia"/>
        </w:rPr>
        <w:t>全县现有规模以上水库</w:t>
      </w:r>
      <w:r>
        <w:rPr>
          <w:rFonts w:hint="eastAsia"/>
        </w:rPr>
        <w:t xml:space="preserve"> 2 </w:t>
      </w:r>
      <w:r>
        <w:rPr>
          <w:rFonts w:hint="eastAsia"/>
        </w:rPr>
        <w:t>座，分别为大（</w:t>
      </w:r>
      <w:r>
        <w:rPr>
          <w:rFonts w:hint="eastAsia"/>
        </w:rPr>
        <w:t>2</w:t>
      </w:r>
      <w:r>
        <w:rPr>
          <w:rFonts w:hint="eastAsia"/>
        </w:rPr>
        <w:t>）型的古洞口Ⅰ级水电工程水库，库容</w:t>
      </w:r>
      <w:r>
        <w:rPr>
          <w:rFonts w:hint="eastAsia"/>
        </w:rPr>
        <w:t xml:space="preserve"> 1.5 </w:t>
      </w:r>
      <w:r>
        <w:rPr>
          <w:rFonts w:hint="eastAsia"/>
        </w:rPr>
        <w:t>亿</w:t>
      </w:r>
      <w:r>
        <w:rPr>
          <w:rFonts w:hint="eastAsia"/>
        </w:rPr>
        <w:t xml:space="preserve"> m</w:t>
      </w:r>
      <w:r>
        <w:rPr>
          <w:rFonts w:hint="eastAsia"/>
        </w:rPr>
        <w:t>³；古洞口Ⅱ</w:t>
      </w:r>
      <w:r>
        <w:rPr>
          <w:rFonts w:hint="eastAsia"/>
        </w:rPr>
        <w:t xml:space="preserve">2 </w:t>
      </w:r>
      <w:r>
        <w:rPr>
          <w:rFonts w:hint="eastAsia"/>
        </w:rPr>
        <w:t>级水电工程，小（</w:t>
      </w:r>
      <w:r>
        <w:rPr>
          <w:rFonts w:hint="eastAsia"/>
        </w:rPr>
        <w:t>2</w:t>
      </w:r>
      <w:r>
        <w:rPr>
          <w:rFonts w:hint="eastAsia"/>
        </w:rPr>
        <w:t>）水库，总库容</w:t>
      </w:r>
      <w:r>
        <w:rPr>
          <w:rFonts w:hint="eastAsia"/>
        </w:rPr>
        <w:t xml:space="preserve"> 515 </w:t>
      </w:r>
      <w:r>
        <w:rPr>
          <w:rFonts w:hint="eastAsia"/>
        </w:rPr>
        <w:t>万</w:t>
      </w:r>
      <w:r>
        <w:rPr>
          <w:rFonts w:hint="eastAsia"/>
        </w:rPr>
        <w:t xml:space="preserve"> m</w:t>
      </w:r>
      <w:r>
        <w:rPr>
          <w:rFonts w:hint="eastAsia"/>
        </w:rPr>
        <w:t>³，这两个水库主要任务为发电，兼顾古夫新县城防洪及古夫新县城供水等。</w:t>
      </w:r>
    </w:p>
    <w:p w:rsidR="006175A6" w:rsidRDefault="009B4BA7">
      <w:pPr>
        <w:ind w:firstLine="480"/>
      </w:pPr>
      <w:r>
        <w:rPr>
          <w:rFonts w:hint="eastAsia"/>
        </w:rPr>
        <w:t>全县现有小型水库</w:t>
      </w:r>
      <w:r>
        <w:rPr>
          <w:rFonts w:hint="eastAsia"/>
        </w:rPr>
        <w:t xml:space="preserve"> 10 </w:t>
      </w:r>
      <w:r>
        <w:rPr>
          <w:rFonts w:hint="eastAsia"/>
        </w:rPr>
        <w:t>座，总库容</w:t>
      </w:r>
      <w:r>
        <w:rPr>
          <w:rFonts w:hint="eastAsia"/>
        </w:rPr>
        <w:t xml:space="preserve"> 512 </w:t>
      </w:r>
      <w:r>
        <w:rPr>
          <w:rFonts w:hint="eastAsia"/>
        </w:rPr>
        <w:t>万</w:t>
      </w:r>
      <w:r>
        <w:rPr>
          <w:rFonts w:hint="eastAsia"/>
        </w:rPr>
        <w:t xml:space="preserve"> m</w:t>
      </w:r>
      <w:r>
        <w:rPr>
          <w:rFonts w:hint="eastAsia"/>
        </w:rPr>
        <w:t>³，兴利库容</w:t>
      </w:r>
      <w:r>
        <w:rPr>
          <w:rFonts w:hint="eastAsia"/>
        </w:rPr>
        <w:t xml:space="preserve"> 421 </w:t>
      </w:r>
      <w:r>
        <w:rPr>
          <w:rFonts w:hint="eastAsia"/>
        </w:rPr>
        <w:t>万</w:t>
      </w:r>
      <w:r>
        <w:rPr>
          <w:rFonts w:hint="eastAsia"/>
        </w:rPr>
        <w:t xml:space="preserve"> m</w:t>
      </w:r>
      <w:r>
        <w:rPr>
          <w:rFonts w:hint="eastAsia"/>
        </w:rPr>
        <w:t>³；现有塘堰</w:t>
      </w:r>
      <w:r>
        <w:rPr>
          <w:rFonts w:hint="eastAsia"/>
        </w:rPr>
        <w:t xml:space="preserve"> 497</w:t>
      </w:r>
      <w:r>
        <w:rPr>
          <w:rFonts w:hint="eastAsia"/>
        </w:rPr>
        <w:t>口，总容量</w:t>
      </w:r>
      <w:r>
        <w:rPr>
          <w:rFonts w:hint="eastAsia"/>
        </w:rPr>
        <w:t xml:space="preserve"> 252 </w:t>
      </w:r>
      <w:r>
        <w:rPr>
          <w:rFonts w:hint="eastAsia"/>
        </w:rPr>
        <w:t>万</w:t>
      </w:r>
      <w:r>
        <w:rPr>
          <w:rFonts w:hint="eastAsia"/>
        </w:rPr>
        <w:t xml:space="preserve"> m</w:t>
      </w:r>
      <w:r>
        <w:rPr>
          <w:rFonts w:hint="eastAsia"/>
        </w:rPr>
        <w:t>³。</w:t>
      </w:r>
    </w:p>
    <w:p w:rsidR="006175A6" w:rsidRDefault="009B4BA7">
      <w:pPr>
        <w:ind w:firstLine="480"/>
      </w:pPr>
      <w:r>
        <w:rPr>
          <w:rFonts w:hint="eastAsia"/>
        </w:rPr>
        <w:t>（</w:t>
      </w:r>
      <w:r>
        <w:rPr>
          <w:rFonts w:hint="eastAsia"/>
        </w:rPr>
        <w:t>2</w:t>
      </w:r>
      <w:r>
        <w:rPr>
          <w:rFonts w:hint="eastAsia"/>
        </w:rPr>
        <w:t>）黄粮镇等受水区水资源概况及水利工程现状</w:t>
      </w:r>
    </w:p>
    <w:p w:rsidR="006175A6" w:rsidRDefault="009B4BA7">
      <w:pPr>
        <w:ind w:firstLine="480"/>
      </w:pPr>
      <w:r>
        <w:rPr>
          <w:rFonts w:hint="eastAsia"/>
        </w:rPr>
        <w:t>以黄粮镇为中心，包括峡口、昭君及古夫共</w:t>
      </w:r>
      <w:r>
        <w:rPr>
          <w:rFonts w:hint="eastAsia"/>
        </w:rPr>
        <w:t xml:space="preserve"> 4 </w:t>
      </w:r>
      <w:r>
        <w:rPr>
          <w:rFonts w:hint="eastAsia"/>
        </w:rPr>
        <w:t>镇</w:t>
      </w:r>
      <w:r>
        <w:rPr>
          <w:rFonts w:hint="eastAsia"/>
        </w:rPr>
        <w:t xml:space="preserve"> 13 </w:t>
      </w:r>
      <w:r>
        <w:rPr>
          <w:rFonts w:hint="eastAsia"/>
        </w:rPr>
        <w:t>个村的受水区，涉及国土总面积</w:t>
      </w:r>
      <w:r>
        <w:rPr>
          <w:rFonts w:hint="eastAsia"/>
        </w:rPr>
        <w:t xml:space="preserve"> 55.8km</w:t>
      </w:r>
      <w:r>
        <w:rPr>
          <w:rFonts w:hint="eastAsia"/>
        </w:rPr>
        <w:t>²，现状耕地总面积</w:t>
      </w:r>
      <w:r>
        <w:rPr>
          <w:rFonts w:hint="eastAsia"/>
        </w:rPr>
        <w:t xml:space="preserve"> 35446 </w:t>
      </w:r>
      <w:r>
        <w:rPr>
          <w:rFonts w:hint="eastAsia"/>
        </w:rPr>
        <w:t>亩，总人口</w:t>
      </w:r>
      <w:r>
        <w:rPr>
          <w:rFonts w:hint="eastAsia"/>
        </w:rPr>
        <w:t xml:space="preserve"> 26089 </w:t>
      </w:r>
      <w:r>
        <w:rPr>
          <w:rFonts w:hint="eastAsia"/>
        </w:rPr>
        <w:t>人。受水区绝大部分属于高岚河流域，因此，按高岚河流域片区计算，产水模数</w:t>
      </w:r>
      <w:r>
        <w:rPr>
          <w:rFonts w:hint="eastAsia"/>
        </w:rPr>
        <w:t xml:space="preserve"> 50.5</w:t>
      </w:r>
      <w:r>
        <w:rPr>
          <w:rFonts w:hint="eastAsia"/>
        </w:rPr>
        <w:t>×</w:t>
      </w:r>
      <w:r>
        <w:rPr>
          <w:rFonts w:hint="eastAsia"/>
        </w:rPr>
        <w:t>104m</w:t>
      </w:r>
      <w:r>
        <w:rPr>
          <w:rFonts w:hint="eastAsia"/>
        </w:rPr>
        <w:t>³</w:t>
      </w:r>
      <w:r>
        <w:rPr>
          <w:rFonts w:hint="eastAsia"/>
        </w:rPr>
        <w:t>/km</w:t>
      </w:r>
      <w:r>
        <w:rPr>
          <w:rFonts w:hint="eastAsia"/>
        </w:rPr>
        <w:t>²</w:t>
      </w:r>
      <w:r>
        <w:rPr>
          <w:rFonts w:hint="eastAsia"/>
        </w:rPr>
        <w:t xml:space="preserve">. </w:t>
      </w:r>
      <w:r>
        <w:rPr>
          <w:rFonts w:hint="eastAsia"/>
        </w:rPr>
        <w:t>年，受水区水资源总量为</w:t>
      </w:r>
      <w:r>
        <w:rPr>
          <w:rFonts w:hint="eastAsia"/>
        </w:rPr>
        <w:t xml:space="preserve"> 2820 </w:t>
      </w:r>
      <w:r>
        <w:rPr>
          <w:rFonts w:hint="eastAsia"/>
        </w:rPr>
        <w:t>万</w:t>
      </w:r>
      <w:r>
        <w:rPr>
          <w:rFonts w:hint="eastAsia"/>
        </w:rPr>
        <w:t xml:space="preserve"> m</w:t>
      </w:r>
      <w:r>
        <w:rPr>
          <w:rFonts w:hint="eastAsia"/>
        </w:rPr>
        <w:t>³。因此，总体来说，水资源是充足的。</w:t>
      </w:r>
    </w:p>
    <w:p w:rsidR="006175A6" w:rsidRDefault="009B4BA7">
      <w:pPr>
        <w:ind w:firstLine="480"/>
      </w:pPr>
      <w:r>
        <w:rPr>
          <w:rFonts w:hint="eastAsia"/>
        </w:rPr>
        <w:t>但是，由于水资源在时空分布上很不均匀。且区内地表土层较薄，出露地层为奥陶纪灰岩，地下岩溶遍布，天坑多，不能形成河流湖泊，土壤保水性较差，地表径流直接进入岩溶渗入深层地下，不能在地表形成稳定的地表径流，旱灾频繁发生；</w:t>
      </w:r>
      <w:r>
        <w:rPr>
          <w:rFonts w:hint="eastAsia"/>
        </w:rPr>
        <w:t xml:space="preserve"> </w:t>
      </w:r>
      <w:r>
        <w:rPr>
          <w:rFonts w:hint="eastAsia"/>
        </w:rPr>
        <w:t>因此，受水区缺水性质缺水属典型的工程性缺水。</w:t>
      </w:r>
    </w:p>
    <w:p w:rsidR="006175A6" w:rsidRDefault="009B4BA7">
      <w:pPr>
        <w:ind w:firstLine="480"/>
      </w:pPr>
      <w:r>
        <w:rPr>
          <w:rFonts w:hint="eastAsia"/>
        </w:rPr>
        <w:t>为解决严重缺水的问题，经过几十年艰苦不懈的奋斗，黄粮等乡镇受水区的水利工程建设有一些发展，主要体现在水源工程的建设上。根据</w:t>
      </w:r>
      <w:r>
        <w:rPr>
          <w:rFonts w:hint="eastAsia"/>
        </w:rPr>
        <w:t xml:space="preserve"> 2011 </w:t>
      </w:r>
      <w:r>
        <w:rPr>
          <w:rFonts w:hint="eastAsia"/>
        </w:rPr>
        <w:t>年度水利普查，黄粮等乡镇受水区内现有水源工程为：小（二）型水库</w:t>
      </w:r>
      <w:r>
        <w:rPr>
          <w:rFonts w:hint="eastAsia"/>
        </w:rPr>
        <w:t xml:space="preserve"> 4 </w:t>
      </w:r>
      <w:r>
        <w:rPr>
          <w:rFonts w:hint="eastAsia"/>
        </w:rPr>
        <w:t>座、堰塘</w:t>
      </w:r>
      <w:r>
        <w:rPr>
          <w:rFonts w:hint="eastAsia"/>
        </w:rPr>
        <w:t xml:space="preserve"> 110 </w:t>
      </w:r>
      <w:r>
        <w:rPr>
          <w:rFonts w:hint="eastAsia"/>
        </w:rPr>
        <w:t>口、自建水池、水窖</w:t>
      </w:r>
      <w:r>
        <w:rPr>
          <w:rFonts w:hint="eastAsia"/>
        </w:rPr>
        <w:t xml:space="preserve"> 187 </w:t>
      </w:r>
      <w:r>
        <w:rPr>
          <w:rFonts w:hint="eastAsia"/>
        </w:rPr>
        <w:t>口。受水区黄粮集镇的生活用水，是引用仙女山的彭家墩和龙洞坡水源，现有水厂</w:t>
      </w:r>
      <w:r>
        <w:rPr>
          <w:rFonts w:hint="eastAsia"/>
        </w:rPr>
        <w:t xml:space="preserve"> 2 </w:t>
      </w:r>
      <w:r>
        <w:rPr>
          <w:rFonts w:hint="eastAsia"/>
        </w:rPr>
        <w:t>座，根据</w:t>
      </w:r>
      <w:r>
        <w:rPr>
          <w:rFonts w:hint="eastAsia"/>
        </w:rPr>
        <w:t xml:space="preserve"> 2007~2009 </w:t>
      </w:r>
      <w:r>
        <w:rPr>
          <w:rFonts w:hint="eastAsia"/>
        </w:rPr>
        <w:t>三年统计资料，三年平均供水</w:t>
      </w:r>
      <w:r>
        <w:rPr>
          <w:rFonts w:hint="eastAsia"/>
        </w:rPr>
        <w:t xml:space="preserve"> 6.00 </w:t>
      </w:r>
      <w:r>
        <w:rPr>
          <w:rFonts w:hint="eastAsia"/>
        </w:rPr>
        <w:t>万吨。黄粮等乡镇受水区现状水源工程见下表。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黄粮等乡镇受水区水源工程现状一览表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92"/>
        <w:gridCol w:w="591"/>
        <w:gridCol w:w="724"/>
        <w:gridCol w:w="762"/>
        <w:gridCol w:w="791"/>
        <w:gridCol w:w="991"/>
        <w:gridCol w:w="882"/>
        <w:gridCol w:w="992"/>
        <w:gridCol w:w="1391"/>
      </w:tblGrid>
      <w:tr w:rsidR="006175A6">
        <w:trPr>
          <w:trHeight w:val="340"/>
        </w:trPr>
        <w:tc>
          <w:tcPr>
            <w:tcW w:w="725"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水利工程名称</w:t>
            </w:r>
          </w:p>
        </w:tc>
        <w:tc>
          <w:tcPr>
            <w:tcW w:w="36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数量</w:t>
            </w:r>
          </w:p>
        </w:tc>
        <w:tc>
          <w:tcPr>
            <w:tcW w:w="44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工程等别</w:t>
            </w:r>
          </w:p>
        </w:tc>
        <w:tc>
          <w:tcPr>
            <w:tcW w:w="393"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pacing w:val="-8"/>
                <w:sz w:val="21"/>
                <w:szCs w:val="21"/>
              </w:rPr>
              <w:t>承雨</w:t>
            </w:r>
            <w:r>
              <w:rPr>
                <w:rFonts w:ascii="Times New Roman" w:eastAsiaTheme="minorEastAsia" w:hAnsi="Times New Roman" w:cs="Times New Roman"/>
                <w:spacing w:val="-9"/>
                <w:sz w:val="21"/>
                <w:szCs w:val="21"/>
              </w:rPr>
              <w:t>面积</w:t>
            </w:r>
          </w:p>
          <w:p w:rsidR="006175A6" w:rsidRDefault="00E9742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w:t>
            </w:r>
            <w:r w:rsidR="009B4BA7">
              <w:rPr>
                <w:rFonts w:ascii="Times New Roman" w:eastAsiaTheme="minorEastAsia" w:hAnsi="Times New Roman" w:cs="Times New Roman"/>
                <w:sz w:val="21"/>
                <w:szCs w:val="21"/>
              </w:rPr>
              <w:t>km²</w:t>
            </w:r>
            <w:r>
              <w:rPr>
                <w:rFonts w:ascii="Times New Roman" w:eastAsiaTheme="minorEastAsia" w:hAnsi="Times New Roman" w:cs="Times New Roman"/>
                <w:sz w:val="21"/>
                <w:szCs w:val="21"/>
              </w:rPr>
              <w:t>）</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总库容</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兴利库容</w:t>
            </w: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坝顶</w:t>
            </w:r>
          </w:p>
        </w:tc>
        <w:tc>
          <w:tcPr>
            <w:tcW w:w="60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所在村</w:t>
            </w:r>
          </w:p>
        </w:tc>
        <w:tc>
          <w:tcPr>
            <w:tcW w:w="84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备注</w:t>
            </w:r>
          </w:p>
        </w:tc>
      </w:tr>
      <w:tr w:rsidR="006175A6">
        <w:trPr>
          <w:trHeight w:val="340"/>
        </w:trPr>
        <w:tc>
          <w:tcPr>
            <w:tcW w:w="725" w:type="pct"/>
            <w:vMerge/>
            <w:vAlign w:val="center"/>
          </w:tcPr>
          <w:p w:rsidR="006175A6" w:rsidRDefault="006175A6">
            <w:pPr>
              <w:widowControl/>
              <w:spacing w:line="240" w:lineRule="auto"/>
              <w:ind w:firstLineChars="0" w:firstLine="0"/>
              <w:jc w:val="center"/>
              <w:rPr>
                <w:rFonts w:eastAsiaTheme="minorEastAsia"/>
                <w:sz w:val="21"/>
              </w:rPr>
            </w:pPr>
          </w:p>
        </w:tc>
        <w:tc>
          <w:tcPr>
            <w:tcW w:w="364" w:type="pct"/>
            <w:vMerge/>
            <w:vAlign w:val="center"/>
          </w:tcPr>
          <w:p w:rsidR="006175A6" w:rsidRDefault="006175A6">
            <w:pPr>
              <w:widowControl/>
              <w:spacing w:line="240" w:lineRule="auto"/>
              <w:ind w:firstLineChars="0" w:firstLine="0"/>
              <w:jc w:val="center"/>
              <w:rPr>
                <w:rFonts w:eastAsiaTheme="minorEastAsia"/>
                <w:sz w:val="21"/>
              </w:rPr>
            </w:pPr>
          </w:p>
        </w:tc>
        <w:tc>
          <w:tcPr>
            <w:tcW w:w="444" w:type="pct"/>
            <w:vMerge/>
            <w:vAlign w:val="center"/>
          </w:tcPr>
          <w:p w:rsidR="006175A6" w:rsidRDefault="006175A6">
            <w:pPr>
              <w:widowControl/>
              <w:spacing w:line="240" w:lineRule="auto"/>
              <w:ind w:firstLineChars="0" w:firstLine="0"/>
              <w:jc w:val="center"/>
              <w:rPr>
                <w:rFonts w:eastAsiaTheme="minorEastAsia"/>
                <w:sz w:val="21"/>
              </w:rPr>
            </w:pPr>
          </w:p>
        </w:tc>
        <w:tc>
          <w:tcPr>
            <w:tcW w:w="393" w:type="pct"/>
            <w:vMerge/>
            <w:vAlign w:val="center"/>
          </w:tcPr>
          <w:p w:rsidR="006175A6" w:rsidRDefault="006175A6">
            <w:pPr>
              <w:widowControl/>
              <w:spacing w:line="240" w:lineRule="auto"/>
              <w:ind w:firstLineChars="0" w:firstLine="0"/>
              <w:jc w:val="center"/>
              <w:rPr>
                <w:rFonts w:eastAsiaTheme="minorEastAsia"/>
                <w:sz w:val="21"/>
              </w:rPr>
            </w:pPr>
          </w:p>
        </w:tc>
        <w:tc>
          <w:tcPr>
            <w:tcW w:w="484" w:type="pct"/>
            <w:vAlign w:val="center"/>
          </w:tcPr>
          <w:p w:rsidR="006175A6" w:rsidRDefault="00E9742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r w:rsidR="009B4BA7">
              <w:rPr>
                <w:rFonts w:ascii="Times New Roman" w:eastAsiaTheme="minorEastAsia" w:hAnsi="Times New Roman" w:cs="Times New Roman"/>
                <w:sz w:val="21"/>
                <w:szCs w:val="21"/>
              </w:rPr>
              <w:t>万</w:t>
            </w:r>
            <w:r w:rsidR="009B4BA7">
              <w:rPr>
                <w:rFonts w:ascii="Times New Roman" w:eastAsiaTheme="minorEastAsia" w:hAnsi="Times New Roman" w:cs="Times New Roman"/>
                <w:sz w:val="21"/>
                <w:szCs w:val="21"/>
              </w:rPr>
              <w:t xml:space="preserve"> </w:t>
            </w:r>
            <w:r w:rsidR="009B4BA7">
              <w:rPr>
                <w:rFonts w:ascii="Times New Roman" w:eastAsiaTheme="minorEastAsia" w:hAnsi="Times New Roman" w:cs="Times New Roman"/>
                <w:sz w:val="21"/>
                <w:szCs w:val="21"/>
              </w:rPr>
              <w:lastRenderedPageBreak/>
              <w:t>m³</w:t>
            </w:r>
            <w:r>
              <w:rPr>
                <w:rFonts w:ascii="Times New Roman" w:eastAsiaTheme="minorEastAsia" w:hAnsi="Times New Roman" w:cs="Times New Roman"/>
                <w:sz w:val="21"/>
                <w:szCs w:val="21"/>
              </w:rPr>
              <w:t>）</w:t>
            </w:r>
          </w:p>
        </w:tc>
        <w:tc>
          <w:tcPr>
            <w:tcW w:w="604" w:type="pct"/>
            <w:vAlign w:val="center"/>
          </w:tcPr>
          <w:p w:rsidR="006175A6" w:rsidRDefault="00E9742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w:t>
            </w:r>
            <w:r w:rsidR="009B4BA7">
              <w:rPr>
                <w:rFonts w:ascii="Times New Roman" w:eastAsiaTheme="minorEastAsia" w:hAnsi="Times New Roman" w:cs="Times New Roman"/>
                <w:sz w:val="21"/>
                <w:szCs w:val="21"/>
              </w:rPr>
              <w:t>万</w:t>
            </w:r>
            <w:r w:rsidR="009B4BA7">
              <w:rPr>
                <w:rFonts w:ascii="Times New Roman" w:eastAsiaTheme="minorEastAsia" w:hAnsi="Times New Roman" w:cs="Times New Roman"/>
                <w:sz w:val="21"/>
                <w:szCs w:val="21"/>
              </w:rPr>
              <w:t xml:space="preserve"> m³</w:t>
            </w:r>
            <w:r>
              <w:rPr>
                <w:rFonts w:ascii="Times New Roman" w:eastAsiaTheme="minorEastAsia" w:hAnsi="Times New Roman" w:cs="Times New Roman"/>
                <w:sz w:val="21"/>
                <w:szCs w:val="21"/>
              </w:rPr>
              <w:t>）</w:t>
            </w: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高程</w:t>
            </w:r>
            <w:r w:rsidR="00E97427">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m</w:t>
            </w:r>
            <w:r w:rsidR="00E97427">
              <w:rPr>
                <w:rFonts w:ascii="Times New Roman" w:eastAsiaTheme="minorEastAsia" w:hAnsi="Times New Roman" w:cs="Times New Roman"/>
                <w:sz w:val="21"/>
                <w:szCs w:val="21"/>
              </w:rPr>
              <w:t>）</w:t>
            </w:r>
          </w:p>
        </w:tc>
        <w:tc>
          <w:tcPr>
            <w:tcW w:w="604" w:type="pct"/>
            <w:vMerge/>
            <w:vAlign w:val="center"/>
          </w:tcPr>
          <w:p w:rsidR="006175A6" w:rsidRDefault="006175A6">
            <w:pPr>
              <w:widowControl/>
              <w:spacing w:line="240" w:lineRule="auto"/>
              <w:ind w:firstLineChars="0" w:firstLine="0"/>
              <w:jc w:val="center"/>
              <w:rPr>
                <w:rFonts w:eastAsiaTheme="minorEastAsia"/>
                <w:sz w:val="21"/>
              </w:rPr>
            </w:pPr>
          </w:p>
        </w:tc>
        <w:tc>
          <w:tcPr>
            <w:tcW w:w="844" w:type="pct"/>
            <w:vMerge/>
            <w:vAlign w:val="center"/>
          </w:tcPr>
          <w:p w:rsidR="006175A6" w:rsidRDefault="006175A6">
            <w:pPr>
              <w:widowControl/>
              <w:spacing w:line="240" w:lineRule="auto"/>
              <w:ind w:firstLineChars="0" w:firstLine="0"/>
              <w:jc w:val="center"/>
              <w:rPr>
                <w:rFonts w:eastAsiaTheme="minorEastAsia"/>
                <w:sz w:val="21"/>
              </w:rPr>
            </w:pP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杨家湾水库</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 </w:t>
            </w:r>
            <w:r>
              <w:rPr>
                <w:rFonts w:ascii="Times New Roman" w:eastAsiaTheme="minorEastAsia" w:hAnsi="Times New Roman" w:cs="Times New Roman"/>
                <w:sz w:val="21"/>
                <w:szCs w:val="21"/>
              </w:rPr>
              <w:t>座</w:t>
            </w:r>
          </w:p>
        </w:tc>
        <w:tc>
          <w:tcPr>
            <w:tcW w:w="4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w:t>
            </w:r>
            <w:r w:rsidR="00E97427">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二</w:t>
            </w:r>
            <w:r w:rsidR="00E97427">
              <w:rPr>
                <w:rFonts w:ascii="Times New Roman" w:eastAsiaTheme="minorEastAsia" w:hAnsi="Times New Roman" w:cs="Times New Roman"/>
                <w:sz w:val="21"/>
                <w:szCs w:val="21"/>
              </w:rPr>
              <w:t>）</w:t>
            </w:r>
          </w:p>
        </w:tc>
        <w:tc>
          <w:tcPr>
            <w:tcW w:w="39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37.8</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30.7</w:t>
            </w: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892</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金家坝</w:t>
            </w:r>
          </w:p>
        </w:tc>
        <w:tc>
          <w:tcPr>
            <w:tcW w:w="8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水源工程出口</w:t>
            </w: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金家坝水库</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 </w:t>
            </w:r>
            <w:r>
              <w:rPr>
                <w:rFonts w:ascii="Times New Roman" w:eastAsiaTheme="minorEastAsia" w:hAnsi="Times New Roman" w:cs="Times New Roman"/>
                <w:sz w:val="21"/>
                <w:szCs w:val="21"/>
              </w:rPr>
              <w:t>座</w:t>
            </w:r>
          </w:p>
        </w:tc>
        <w:tc>
          <w:tcPr>
            <w:tcW w:w="4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w:t>
            </w:r>
            <w:r w:rsidR="00E97427">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二</w:t>
            </w:r>
            <w:r w:rsidR="00E97427">
              <w:rPr>
                <w:rFonts w:ascii="Times New Roman" w:eastAsiaTheme="minorEastAsia" w:hAnsi="Times New Roman" w:cs="Times New Roman"/>
                <w:sz w:val="21"/>
                <w:szCs w:val="21"/>
              </w:rPr>
              <w:t>）</w:t>
            </w:r>
          </w:p>
        </w:tc>
        <w:tc>
          <w:tcPr>
            <w:tcW w:w="39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22.2</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11.8</w:t>
            </w: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890</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金家坝</w:t>
            </w:r>
          </w:p>
        </w:tc>
        <w:tc>
          <w:tcPr>
            <w:tcW w:w="8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距水源工程</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pacing w:val="-18"/>
                <w:sz w:val="21"/>
                <w:szCs w:val="21"/>
              </w:rPr>
              <w:t>出口</w:t>
            </w:r>
            <w:r>
              <w:rPr>
                <w:rFonts w:ascii="Times New Roman" w:eastAsiaTheme="minorEastAsia" w:hAnsi="Times New Roman" w:cs="Times New Roman"/>
                <w:spacing w:val="-18"/>
                <w:sz w:val="21"/>
                <w:szCs w:val="21"/>
              </w:rPr>
              <w:t xml:space="preserve"> </w:t>
            </w:r>
            <w:r>
              <w:rPr>
                <w:rFonts w:ascii="Times New Roman" w:eastAsiaTheme="minorEastAsia" w:hAnsi="Times New Roman" w:cs="Times New Roman"/>
                <w:sz w:val="21"/>
                <w:szCs w:val="21"/>
              </w:rPr>
              <w:t>1.7km</w:t>
            </w: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拱桥湾水库</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 </w:t>
            </w:r>
            <w:r>
              <w:rPr>
                <w:rFonts w:ascii="Times New Roman" w:eastAsiaTheme="minorEastAsia" w:hAnsi="Times New Roman" w:cs="Times New Roman"/>
                <w:sz w:val="21"/>
                <w:szCs w:val="21"/>
              </w:rPr>
              <w:t>座</w:t>
            </w:r>
          </w:p>
        </w:tc>
        <w:tc>
          <w:tcPr>
            <w:tcW w:w="4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w:t>
            </w:r>
            <w:r w:rsidR="00E97427">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二</w:t>
            </w:r>
            <w:r w:rsidR="00E97427">
              <w:rPr>
                <w:rFonts w:ascii="Times New Roman" w:eastAsiaTheme="minorEastAsia" w:hAnsi="Times New Roman" w:cs="Times New Roman"/>
                <w:sz w:val="21"/>
                <w:szCs w:val="21"/>
              </w:rPr>
              <w:t>）</w:t>
            </w:r>
          </w:p>
        </w:tc>
        <w:tc>
          <w:tcPr>
            <w:tcW w:w="39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1.6</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37.5</w:t>
            </w:r>
          </w:p>
        </w:tc>
        <w:tc>
          <w:tcPr>
            <w:tcW w:w="604" w:type="pct"/>
            <w:vAlign w:val="center"/>
          </w:tcPr>
          <w:p w:rsidR="006175A6" w:rsidRDefault="006175A6">
            <w:pPr>
              <w:pStyle w:val="TableParagraph"/>
              <w:rPr>
                <w:rFonts w:ascii="Times New Roman" w:eastAsiaTheme="minorEastAsia" w:hAnsi="Times New Roman" w:cs="Times New Roman"/>
                <w:sz w:val="21"/>
                <w:szCs w:val="21"/>
              </w:rPr>
            </w:pP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936</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黄粮坪</w:t>
            </w:r>
          </w:p>
        </w:tc>
        <w:tc>
          <w:tcPr>
            <w:tcW w:w="8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漏水</w:t>
            </w: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长坪水库</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 </w:t>
            </w:r>
            <w:r>
              <w:rPr>
                <w:rFonts w:ascii="Times New Roman" w:eastAsiaTheme="minorEastAsia" w:hAnsi="Times New Roman" w:cs="Times New Roman"/>
                <w:sz w:val="21"/>
                <w:szCs w:val="21"/>
              </w:rPr>
              <w:t>座</w:t>
            </w:r>
          </w:p>
        </w:tc>
        <w:tc>
          <w:tcPr>
            <w:tcW w:w="4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小</w:t>
            </w:r>
            <w:r w:rsidR="00E97427">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二</w:t>
            </w:r>
            <w:r w:rsidR="00E97427">
              <w:rPr>
                <w:rFonts w:ascii="Times New Roman" w:eastAsiaTheme="minorEastAsia" w:hAnsi="Times New Roman" w:cs="Times New Roman"/>
                <w:sz w:val="21"/>
                <w:szCs w:val="21"/>
              </w:rPr>
              <w:t>）</w:t>
            </w:r>
          </w:p>
        </w:tc>
        <w:tc>
          <w:tcPr>
            <w:tcW w:w="39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47.5</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30.0</w:t>
            </w:r>
          </w:p>
        </w:tc>
        <w:tc>
          <w:tcPr>
            <w:tcW w:w="538"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488.8</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北斗坪村</w:t>
            </w:r>
          </w:p>
        </w:tc>
        <w:tc>
          <w:tcPr>
            <w:tcW w:w="844"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堰塘</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110</w:t>
            </w:r>
          </w:p>
        </w:tc>
        <w:tc>
          <w:tcPr>
            <w:tcW w:w="444" w:type="pct"/>
            <w:vAlign w:val="center"/>
          </w:tcPr>
          <w:p w:rsidR="006175A6" w:rsidRDefault="006175A6">
            <w:pPr>
              <w:pStyle w:val="TableParagraph"/>
              <w:rPr>
                <w:rFonts w:ascii="Times New Roman" w:eastAsiaTheme="minorEastAsia" w:hAnsi="Times New Roman" w:cs="Times New Roman"/>
                <w:sz w:val="21"/>
                <w:szCs w:val="21"/>
              </w:rPr>
            </w:pPr>
          </w:p>
        </w:tc>
        <w:tc>
          <w:tcPr>
            <w:tcW w:w="393" w:type="pct"/>
            <w:vAlign w:val="center"/>
          </w:tcPr>
          <w:p w:rsidR="006175A6" w:rsidRDefault="006175A6">
            <w:pPr>
              <w:pStyle w:val="TableParagraph"/>
              <w:rPr>
                <w:rFonts w:ascii="Times New Roman" w:eastAsiaTheme="minorEastAsia" w:hAnsi="Times New Roman" w:cs="Times New Roman"/>
                <w:sz w:val="21"/>
                <w:szCs w:val="21"/>
              </w:rPr>
            </w:pP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50.8</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w:t>
            </w:r>
          </w:p>
        </w:tc>
        <w:tc>
          <w:tcPr>
            <w:tcW w:w="538" w:type="pct"/>
            <w:vAlign w:val="center"/>
          </w:tcPr>
          <w:p w:rsidR="006175A6" w:rsidRDefault="006175A6">
            <w:pPr>
              <w:pStyle w:val="TableParagraph"/>
              <w:rPr>
                <w:rFonts w:ascii="Times New Roman" w:eastAsiaTheme="minorEastAsia" w:hAnsi="Times New Roman" w:cs="Times New Roman"/>
                <w:sz w:val="21"/>
                <w:szCs w:val="21"/>
              </w:rPr>
            </w:pPr>
          </w:p>
        </w:tc>
        <w:tc>
          <w:tcPr>
            <w:tcW w:w="604" w:type="pct"/>
            <w:vAlign w:val="center"/>
          </w:tcPr>
          <w:p w:rsidR="006175A6" w:rsidRDefault="006175A6">
            <w:pPr>
              <w:pStyle w:val="TableParagraph"/>
              <w:rPr>
                <w:rFonts w:ascii="Times New Roman" w:eastAsiaTheme="minorEastAsia" w:hAnsi="Times New Roman" w:cs="Times New Roman"/>
                <w:sz w:val="21"/>
                <w:szCs w:val="21"/>
              </w:rPr>
            </w:pPr>
          </w:p>
        </w:tc>
        <w:tc>
          <w:tcPr>
            <w:tcW w:w="844"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水池、天河水窖</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187</w:t>
            </w:r>
          </w:p>
        </w:tc>
        <w:tc>
          <w:tcPr>
            <w:tcW w:w="444" w:type="pct"/>
            <w:vAlign w:val="center"/>
          </w:tcPr>
          <w:p w:rsidR="006175A6" w:rsidRDefault="006175A6">
            <w:pPr>
              <w:pStyle w:val="TableParagraph"/>
              <w:rPr>
                <w:rFonts w:ascii="Times New Roman" w:eastAsiaTheme="minorEastAsia" w:hAnsi="Times New Roman" w:cs="Times New Roman"/>
                <w:sz w:val="21"/>
                <w:szCs w:val="21"/>
              </w:rPr>
            </w:pPr>
          </w:p>
        </w:tc>
        <w:tc>
          <w:tcPr>
            <w:tcW w:w="393" w:type="pct"/>
            <w:vAlign w:val="center"/>
          </w:tcPr>
          <w:p w:rsidR="006175A6" w:rsidRDefault="006175A6">
            <w:pPr>
              <w:pStyle w:val="TableParagraph"/>
              <w:rPr>
                <w:rFonts w:ascii="Times New Roman" w:eastAsiaTheme="minorEastAsia" w:hAnsi="Times New Roman" w:cs="Times New Roman"/>
                <w:sz w:val="21"/>
                <w:szCs w:val="21"/>
              </w:rPr>
            </w:pP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w:t>
            </w:r>
          </w:p>
        </w:tc>
        <w:tc>
          <w:tcPr>
            <w:tcW w:w="538" w:type="pct"/>
            <w:vAlign w:val="center"/>
          </w:tcPr>
          <w:p w:rsidR="006175A6" w:rsidRDefault="006175A6">
            <w:pPr>
              <w:pStyle w:val="TableParagraph"/>
              <w:rPr>
                <w:rFonts w:ascii="Times New Roman" w:eastAsiaTheme="minorEastAsia" w:hAnsi="Times New Roman" w:cs="Times New Roman"/>
                <w:sz w:val="21"/>
                <w:szCs w:val="21"/>
              </w:rPr>
            </w:pPr>
          </w:p>
        </w:tc>
        <w:tc>
          <w:tcPr>
            <w:tcW w:w="604" w:type="pct"/>
            <w:vAlign w:val="center"/>
          </w:tcPr>
          <w:p w:rsidR="006175A6" w:rsidRDefault="006175A6">
            <w:pPr>
              <w:pStyle w:val="TableParagraph"/>
              <w:rPr>
                <w:rFonts w:ascii="Times New Roman" w:eastAsiaTheme="minorEastAsia" w:hAnsi="Times New Roman" w:cs="Times New Roman"/>
                <w:sz w:val="21"/>
                <w:szCs w:val="21"/>
              </w:rPr>
            </w:pPr>
          </w:p>
        </w:tc>
        <w:tc>
          <w:tcPr>
            <w:tcW w:w="844" w:type="pct"/>
            <w:vAlign w:val="center"/>
          </w:tcPr>
          <w:p w:rsidR="006175A6" w:rsidRDefault="006175A6">
            <w:pPr>
              <w:pStyle w:val="TableParagraph"/>
              <w:rPr>
                <w:rFonts w:ascii="Times New Roman" w:eastAsiaTheme="minorEastAsia" w:hAnsi="Times New Roman" w:cs="Times New Roman"/>
                <w:sz w:val="21"/>
                <w:szCs w:val="21"/>
              </w:rPr>
            </w:pP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水厂</w:t>
            </w:r>
          </w:p>
        </w:tc>
        <w:tc>
          <w:tcPr>
            <w:tcW w:w="36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2 </w:t>
            </w:r>
            <w:r>
              <w:rPr>
                <w:rFonts w:ascii="Times New Roman" w:eastAsiaTheme="minorEastAsia" w:hAnsi="Times New Roman" w:cs="Times New Roman"/>
                <w:sz w:val="21"/>
                <w:szCs w:val="21"/>
              </w:rPr>
              <w:t>座</w:t>
            </w:r>
          </w:p>
        </w:tc>
        <w:tc>
          <w:tcPr>
            <w:tcW w:w="444" w:type="pct"/>
            <w:vAlign w:val="center"/>
          </w:tcPr>
          <w:p w:rsidR="006175A6" w:rsidRDefault="006175A6">
            <w:pPr>
              <w:pStyle w:val="TableParagraph"/>
              <w:rPr>
                <w:rFonts w:ascii="Times New Roman" w:eastAsiaTheme="minorEastAsia" w:hAnsi="Times New Roman" w:cs="Times New Roman"/>
                <w:sz w:val="21"/>
                <w:szCs w:val="21"/>
              </w:rPr>
            </w:pPr>
          </w:p>
        </w:tc>
        <w:tc>
          <w:tcPr>
            <w:tcW w:w="393" w:type="pct"/>
            <w:vAlign w:val="center"/>
          </w:tcPr>
          <w:p w:rsidR="006175A6" w:rsidRDefault="006175A6">
            <w:pPr>
              <w:pStyle w:val="TableParagraph"/>
              <w:rPr>
                <w:rFonts w:ascii="Times New Roman" w:eastAsiaTheme="minorEastAsia" w:hAnsi="Times New Roman" w:cs="Times New Roman"/>
                <w:sz w:val="21"/>
                <w:szCs w:val="21"/>
              </w:rPr>
            </w:pPr>
          </w:p>
        </w:tc>
        <w:tc>
          <w:tcPr>
            <w:tcW w:w="484" w:type="pct"/>
            <w:vAlign w:val="center"/>
          </w:tcPr>
          <w:p w:rsidR="006175A6" w:rsidRDefault="006175A6">
            <w:pPr>
              <w:pStyle w:val="TableParagraph"/>
              <w:rPr>
                <w:rFonts w:ascii="Times New Roman" w:eastAsiaTheme="minorEastAsia" w:hAnsi="Times New Roman" w:cs="Times New Roman"/>
                <w:sz w:val="21"/>
                <w:szCs w:val="21"/>
              </w:rPr>
            </w:pP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6.0</w:t>
            </w:r>
          </w:p>
        </w:tc>
        <w:tc>
          <w:tcPr>
            <w:tcW w:w="538" w:type="pct"/>
            <w:vAlign w:val="center"/>
          </w:tcPr>
          <w:p w:rsidR="006175A6" w:rsidRDefault="006175A6">
            <w:pPr>
              <w:pStyle w:val="TableParagraph"/>
              <w:rPr>
                <w:rFonts w:ascii="Times New Roman" w:eastAsiaTheme="minorEastAsia" w:hAnsi="Times New Roman" w:cs="Times New Roman"/>
                <w:sz w:val="21"/>
                <w:szCs w:val="21"/>
              </w:rPr>
            </w:pPr>
          </w:p>
        </w:tc>
        <w:tc>
          <w:tcPr>
            <w:tcW w:w="604" w:type="pct"/>
            <w:vAlign w:val="center"/>
          </w:tcPr>
          <w:p w:rsidR="006175A6" w:rsidRDefault="006175A6">
            <w:pPr>
              <w:pStyle w:val="TableParagraph"/>
              <w:rPr>
                <w:rFonts w:ascii="Times New Roman" w:eastAsiaTheme="minorEastAsia" w:hAnsi="Times New Roman" w:cs="Times New Roman"/>
                <w:sz w:val="21"/>
                <w:szCs w:val="21"/>
              </w:rPr>
            </w:pPr>
          </w:p>
        </w:tc>
        <w:tc>
          <w:tcPr>
            <w:tcW w:w="84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年供水</w:t>
            </w:r>
          </w:p>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6.0 </w:t>
            </w:r>
            <w:r>
              <w:rPr>
                <w:rFonts w:ascii="Times New Roman" w:eastAsiaTheme="minorEastAsia" w:hAnsi="Times New Roman" w:cs="Times New Roman"/>
                <w:spacing w:val="-28"/>
                <w:sz w:val="21"/>
                <w:szCs w:val="21"/>
              </w:rPr>
              <w:t>万</w:t>
            </w:r>
            <w:r>
              <w:rPr>
                <w:rFonts w:ascii="Times New Roman" w:eastAsiaTheme="minorEastAsia" w:hAnsi="Times New Roman" w:cs="Times New Roman"/>
                <w:spacing w:val="-28"/>
                <w:sz w:val="21"/>
                <w:szCs w:val="21"/>
              </w:rPr>
              <w:t xml:space="preserve"> </w:t>
            </w:r>
            <w:r>
              <w:rPr>
                <w:rFonts w:ascii="Times New Roman" w:eastAsiaTheme="minorEastAsia" w:hAnsi="Times New Roman" w:cs="Times New Roman"/>
                <w:sz w:val="21"/>
                <w:szCs w:val="21"/>
              </w:rPr>
              <w:t>m³</w:t>
            </w:r>
          </w:p>
        </w:tc>
      </w:tr>
      <w:tr w:rsidR="006175A6">
        <w:trPr>
          <w:trHeight w:val="340"/>
        </w:trPr>
        <w:tc>
          <w:tcPr>
            <w:tcW w:w="725"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合计</w:t>
            </w:r>
          </w:p>
        </w:tc>
        <w:tc>
          <w:tcPr>
            <w:tcW w:w="364" w:type="pct"/>
            <w:vAlign w:val="center"/>
          </w:tcPr>
          <w:p w:rsidR="006175A6" w:rsidRDefault="006175A6">
            <w:pPr>
              <w:pStyle w:val="TableParagraph"/>
              <w:rPr>
                <w:rFonts w:ascii="Times New Roman" w:eastAsiaTheme="minorEastAsia" w:hAnsi="Times New Roman" w:cs="Times New Roman"/>
                <w:sz w:val="21"/>
                <w:szCs w:val="21"/>
              </w:rPr>
            </w:pPr>
          </w:p>
        </w:tc>
        <w:tc>
          <w:tcPr>
            <w:tcW w:w="444" w:type="pct"/>
            <w:vAlign w:val="center"/>
          </w:tcPr>
          <w:p w:rsidR="006175A6" w:rsidRDefault="006175A6">
            <w:pPr>
              <w:pStyle w:val="TableParagraph"/>
              <w:rPr>
                <w:rFonts w:ascii="Times New Roman" w:eastAsiaTheme="minorEastAsia" w:hAnsi="Times New Roman" w:cs="Times New Roman"/>
                <w:sz w:val="21"/>
                <w:szCs w:val="21"/>
              </w:rPr>
            </w:pPr>
          </w:p>
        </w:tc>
        <w:tc>
          <w:tcPr>
            <w:tcW w:w="393" w:type="pct"/>
            <w:vAlign w:val="center"/>
          </w:tcPr>
          <w:p w:rsidR="006175A6" w:rsidRDefault="006175A6">
            <w:pPr>
              <w:pStyle w:val="TableParagraph"/>
              <w:rPr>
                <w:rFonts w:ascii="Times New Roman" w:eastAsiaTheme="minorEastAsia" w:hAnsi="Times New Roman" w:cs="Times New Roman"/>
                <w:sz w:val="21"/>
                <w:szCs w:val="21"/>
              </w:rPr>
            </w:pP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196.0</w:t>
            </w:r>
          </w:p>
        </w:tc>
        <w:tc>
          <w:tcPr>
            <w:tcW w:w="60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98.7</w:t>
            </w:r>
          </w:p>
        </w:tc>
        <w:tc>
          <w:tcPr>
            <w:tcW w:w="538" w:type="pct"/>
            <w:vAlign w:val="center"/>
          </w:tcPr>
          <w:p w:rsidR="006175A6" w:rsidRDefault="006175A6">
            <w:pPr>
              <w:pStyle w:val="TableParagraph"/>
              <w:rPr>
                <w:rFonts w:ascii="Times New Roman" w:eastAsiaTheme="minorEastAsia" w:hAnsi="Times New Roman" w:cs="Times New Roman"/>
                <w:sz w:val="21"/>
                <w:szCs w:val="21"/>
              </w:rPr>
            </w:pPr>
          </w:p>
        </w:tc>
        <w:tc>
          <w:tcPr>
            <w:tcW w:w="604" w:type="pct"/>
            <w:vAlign w:val="center"/>
          </w:tcPr>
          <w:p w:rsidR="006175A6" w:rsidRDefault="006175A6">
            <w:pPr>
              <w:pStyle w:val="TableParagraph"/>
              <w:rPr>
                <w:rFonts w:ascii="Times New Roman" w:eastAsiaTheme="minorEastAsia" w:hAnsi="Times New Roman" w:cs="Times New Roman"/>
                <w:sz w:val="21"/>
                <w:szCs w:val="21"/>
              </w:rPr>
            </w:pPr>
          </w:p>
        </w:tc>
        <w:tc>
          <w:tcPr>
            <w:tcW w:w="844" w:type="pct"/>
            <w:vAlign w:val="center"/>
          </w:tcPr>
          <w:p w:rsidR="006175A6" w:rsidRDefault="006175A6">
            <w:pPr>
              <w:pStyle w:val="TableParagraph"/>
              <w:rPr>
                <w:rFonts w:ascii="Times New Roman" w:eastAsiaTheme="minorEastAsia" w:hAnsi="Times New Roman" w:cs="Times New Roman"/>
                <w:sz w:val="21"/>
                <w:szCs w:val="21"/>
              </w:rPr>
            </w:pPr>
          </w:p>
        </w:tc>
      </w:tr>
    </w:tbl>
    <w:p w:rsidR="006175A6" w:rsidRDefault="009B4BA7">
      <w:pPr>
        <w:pStyle w:val="3"/>
      </w:pPr>
      <w:r>
        <w:rPr>
          <w:rFonts w:hint="eastAsia"/>
        </w:rPr>
        <w:t>文物与矿产资源</w:t>
      </w:r>
    </w:p>
    <w:p w:rsidR="006175A6" w:rsidRDefault="009B4BA7">
      <w:pPr>
        <w:ind w:firstLine="480"/>
      </w:pPr>
      <w:r>
        <w:rPr>
          <w:rFonts w:hint="eastAsia"/>
        </w:rPr>
        <w:t>根据《兴山县文物事业管理局关于两河口水库工程建设涉及范围文物占压及保护意见的函》（兴文物函【</w:t>
      </w:r>
      <w:r>
        <w:rPr>
          <w:rFonts w:hint="eastAsia"/>
        </w:rPr>
        <w:t>2015</w:t>
      </w:r>
      <w:r>
        <w:rPr>
          <w:rFonts w:hint="eastAsia"/>
        </w:rPr>
        <w:t>】</w:t>
      </w:r>
      <w:r>
        <w:rPr>
          <w:rFonts w:hint="eastAsia"/>
        </w:rPr>
        <w:t xml:space="preserve">4 </w:t>
      </w:r>
      <w:r>
        <w:rPr>
          <w:rFonts w:hint="eastAsia"/>
        </w:rPr>
        <w:t>号）；兴山县文物事业管理局在历年文物普查的基础上，对两河口水库建设涉及范围进行了资料核查，至今未发现有古遗址、古墓葬、古建筑和其他文物。</w:t>
      </w:r>
    </w:p>
    <w:p w:rsidR="006175A6" w:rsidRDefault="009B4BA7">
      <w:pPr>
        <w:ind w:firstLine="480"/>
      </w:pPr>
      <w:r>
        <w:rPr>
          <w:rFonts w:hint="eastAsia"/>
        </w:rPr>
        <w:t>根据《湖北省兴山县两河口水库工程压覆矿产资源调查评价报告》，两河口水库工程压覆胡家扁磷矿，涉及资源量</w:t>
      </w:r>
      <w:r>
        <w:rPr>
          <w:rFonts w:hint="eastAsia"/>
        </w:rPr>
        <w:t>1297</w:t>
      </w:r>
      <w:r>
        <w:rPr>
          <w:rFonts w:hint="eastAsia"/>
        </w:rPr>
        <w:t>千吨。</w:t>
      </w:r>
    </w:p>
    <w:p w:rsidR="006175A6" w:rsidRDefault="009B4BA7">
      <w:pPr>
        <w:pStyle w:val="2"/>
      </w:pPr>
      <w:bookmarkStart w:id="57" w:name="_Toc80170108"/>
      <w:r>
        <w:rPr>
          <w:rFonts w:hint="eastAsia"/>
        </w:rPr>
        <w:t>生态环境</w:t>
      </w:r>
      <w:r w:rsidR="00A0645C">
        <w:rPr>
          <w:rFonts w:hint="eastAsia"/>
        </w:rPr>
        <w:t>现状调查与</w:t>
      </w:r>
      <w:r w:rsidR="0069258F">
        <w:rPr>
          <w:rFonts w:hint="eastAsia"/>
        </w:rPr>
        <w:t>评价</w:t>
      </w:r>
      <w:bookmarkEnd w:id="57"/>
    </w:p>
    <w:p w:rsidR="00C639F1" w:rsidRDefault="00A0645C" w:rsidP="00A0645C">
      <w:pPr>
        <w:ind w:firstLine="480"/>
      </w:pPr>
      <w:r>
        <w:rPr>
          <w:rFonts w:hint="eastAsia"/>
        </w:rPr>
        <w:t>（</w:t>
      </w:r>
      <w:r>
        <w:rPr>
          <w:rFonts w:hint="eastAsia"/>
        </w:rPr>
        <w:t>1</w:t>
      </w:r>
      <w:r>
        <w:rPr>
          <w:rFonts w:hint="eastAsia"/>
        </w:rPr>
        <w:t>）生态现状调查方法</w:t>
      </w:r>
    </w:p>
    <w:p w:rsidR="00A0645C" w:rsidRDefault="00A0645C" w:rsidP="00A0645C">
      <w:pPr>
        <w:ind w:firstLine="480"/>
      </w:pPr>
      <w:r w:rsidRPr="00A0645C">
        <w:rPr>
          <w:rFonts w:hint="eastAsia"/>
        </w:rPr>
        <w:t>通过野外实地考察和基础资料收集相结合的方式进行评价区生态环境现状调查，在此基础上采用</w:t>
      </w:r>
      <w:r w:rsidRPr="00A0645C">
        <w:rPr>
          <w:rFonts w:hint="eastAsia"/>
        </w:rPr>
        <w:t xml:space="preserve">GPS </w:t>
      </w:r>
      <w:r w:rsidRPr="00A0645C">
        <w:rPr>
          <w:rFonts w:hint="eastAsia"/>
        </w:rPr>
        <w:t>和卫片相结合的空间信息技术，完成数字化的植被图和土地利用现状图，进行景观生态环境质量的定性和定量评价。</w:t>
      </w:r>
    </w:p>
    <w:p w:rsidR="00A0645C" w:rsidRDefault="00A0645C" w:rsidP="00A0645C">
      <w:pPr>
        <w:ind w:firstLine="480"/>
      </w:pPr>
      <w:r>
        <w:rPr>
          <w:rFonts w:hint="eastAsia"/>
        </w:rPr>
        <w:t>①</w:t>
      </w:r>
      <w:r w:rsidRPr="00A0645C">
        <w:rPr>
          <w:rFonts w:hint="eastAsia"/>
        </w:rPr>
        <w:t>基础资料收集与来源</w:t>
      </w:r>
    </w:p>
    <w:p w:rsidR="00A0645C" w:rsidRDefault="00A0645C" w:rsidP="00A0645C">
      <w:pPr>
        <w:ind w:firstLine="480"/>
      </w:pPr>
      <w:r w:rsidRPr="00A0645C">
        <w:rPr>
          <w:rFonts w:hint="eastAsia"/>
        </w:rPr>
        <w:t>收集整理评价区及邻近地区的现有生物多样性资料，在综合分析现有资料的基础上，确定实地考察的重点区域、考察路线及寻访对象。</w:t>
      </w:r>
    </w:p>
    <w:p w:rsidR="00A0645C" w:rsidRDefault="00A0645C" w:rsidP="00A0645C">
      <w:pPr>
        <w:ind w:firstLine="480"/>
      </w:pPr>
      <w:r>
        <w:rPr>
          <w:rFonts w:hint="eastAsia"/>
        </w:rPr>
        <w:t>②</w:t>
      </w:r>
      <w:r w:rsidRPr="00A0645C">
        <w:rPr>
          <w:rFonts w:hint="eastAsia"/>
        </w:rPr>
        <w:t>野外实地考察</w:t>
      </w:r>
    </w:p>
    <w:p w:rsidR="00A0645C" w:rsidRDefault="00A0645C" w:rsidP="00A0645C">
      <w:pPr>
        <w:ind w:firstLine="480"/>
      </w:pPr>
      <w:r>
        <w:rPr>
          <w:rFonts w:hint="eastAsia"/>
        </w:rPr>
        <w:t>★</w:t>
      </w:r>
      <w:r>
        <w:rPr>
          <w:rFonts w:hint="eastAsia"/>
        </w:rPr>
        <w:t xml:space="preserve">GPS </w:t>
      </w:r>
      <w:r>
        <w:rPr>
          <w:rFonts w:hint="eastAsia"/>
        </w:rPr>
        <w:t>地面类型取样</w:t>
      </w:r>
    </w:p>
    <w:p w:rsidR="00A0645C" w:rsidRDefault="00A0645C" w:rsidP="00A0645C">
      <w:pPr>
        <w:ind w:firstLine="480"/>
      </w:pPr>
      <w:r>
        <w:rPr>
          <w:rFonts w:hint="eastAsia"/>
        </w:rPr>
        <w:t xml:space="preserve">GPS </w:t>
      </w:r>
      <w:r>
        <w:rPr>
          <w:rFonts w:hint="eastAsia"/>
        </w:rPr>
        <w:t>样点是卫星遥感影像判读各种景观类型的基础，根据室内判读的植被与土地利用类型初图，现场核实判读的正误率，并对每个</w:t>
      </w:r>
      <w:r>
        <w:rPr>
          <w:rFonts w:hint="eastAsia"/>
        </w:rPr>
        <w:t xml:space="preserve"> GPS </w:t>
      </w:r>
      <w:r>
        <w:rPr>
          <w:rFonts w:hint="eastAsia"/>
        </w:rPr>
        <w:t>取样点作如下记</w:t>
      </w:r>
      <w:r>
        <w:rPr>
          <w:rFonts w:hint="eastAsia"/>
        </w:rPr>
        <w:lastRenderedPageBreak/>
        <w:t>录：</w:t>
      </w:r>
    </w:p>
    <w:p w:rsidR="00A0645C" w:rsidRDefault="00A0645C" w:rsidP="00A0645C">
      <w:pPr>
        <w:ind w:firstLine="480"/>
      </w:pPr>
      <w:r>
        <w:rPr>
          <w:rFonts w:hint="eastAsia"/>
        </w:rPr>
        <w:t>☆海拔表读出测点的海拔值和经纬度；</w:t>
      </w:r>
    </w:p>
    <w:p w:rsidR="00A0645C" w:rsidRDefault="00A0645C" w:rsidP="00A0645C">
      <w:pPr>
        <w:ind w:firstLine="480"/>
      </w:pPr>
      <w:r>
        <w:rPr>
          <w:rFonts w:hint="eastAsia"/>
        </w:rPr>
        <w:t>☆记录样点植被类型，以群系为单位，同时记录坡向、坡度、土壤类型；</w:t>
      </w:r>
    </w:p>
    <w:p w:rsidR="00A0645C" w:rsidRDefault="00A0645C" w:rsidP="00A0645C">
      <w:pPr>
        <w:ind w:firstLine="480"/>
      </w:pPr>
      <w:r>
        <w:rPr>
          <w:rFonts w:hint="eastAsia"/>
        </w:rPr>
        <w:t>☆记录样点优势植物以及观察动物的活动的情况；</w:t>
      </w:r>
    </w:p>
    <w:p w:rsidR="00A0645C" w:rsidRDefault="00A0645C" w:rsidP="00A0645C">
      <w:pPr>
        <w:ind w:firstLine="480"/>
      </w:pPr>
      <w:r>
        <w:rPr>
          <w:rFonts w:hint="eastAsia"/>
        </w:rPr>
        <w:t>☆拍摄典型植被外貌与结构特征。</w:t>
      </w:r>
    </w:p>
    <w:p w:rsidR="00A0645C" w:rsidRDefault="00A0645C" w:rsidP="00A0645C">
      <w:pPr>
        <w:ind w:firstLine="480"/>
      </w:pPr>
      <w:r>
        <w:rPr>
          <w:rFonts w:hint="eastAsia"/>
        </w:rPr>
        <w:t>★群落调查</w:t>
      </w:r>
    </w:p>
    <w:p w:rsidR="00A0645C" w:rsidRDefault="00A0645C" w:rsidP="00A0645C">
      <w:pPr>
        <w:ind w:firstLine="480"/>
      </w:pPr>
      <w:r>
        <w:rPr>
          <w:rFonts w:hint="eastAsia"/>
        </w:rPr>
        <w:t>在实地调查的基础上，确定典型的群落地段，采用法瑞学派样地记录法进行群落调查。样地设置原则：森林选用</w:t>
      </w:r>
      <w:r>
        <w:rPr>
          <w:rFonts w:hint="eastAsia"/>
        </w:rPr>
        <w:t xml:space="preserve"> 1000m</w:t>
      </w:r>
      <w:r w:rsidRPr="00A0645C">
        <w:rPr>
          <w:rFonts w:hint="eastAsia"/>
          <w:vertAlign w:val="superscript"/>
        </w:rPr>
        <w:t>2</w:t>
      </w:r>
      <w:r>
        <w:rPr>
          <w:rFonts w:hint="eastAsia"/>
        </w:rPr>
        <w:t>、疏林及灌木选用</w:t>
      </w:r>
      <w:r>
        <w:rPr>
          <w:rFonts w:hint="eastAsia"/>
        </w:rPr>
        <w:t xml:space="preserve"> 500m</w:t>
      </w:r>
      <w:r w:rsidRPr="00A0645C">
        <w:rPr>
          <w:rFonts w:hint="eastAsia"/>
          <w:vertAlign w:val="superscript"/>
        </w:rPr>
        <w:t>2</w:t>
      </w:r>
      <w:r>
        <w:rPr>
          <w:rFonts w:hint="eastAsia"/>
        </w:rPr>
        <w:t>、草本群落选用</w:t>
      </w:r>
      <w:r>
        <w:rPr>
          <w:rFonts w:hint="eastAsia"/>
        </w:rPr>
        <w:t>100m</w:t>
      </w:r>
      <w:r w:rsidRPr="00A0645C">
        <w:rPr>
          <w:rFonts w:hint="eastAsia"/>
          <w:vertAlign w:val="superscript"/>
        </w:rPr>
        <w:t>2</w:t>
      </w:r>
      <w:r>
        <w:rPr>
          <w:rFonts w:hint="eastAsia"/>
        </w:rPr>
        <w:t>，地点随机设置；样方设置原则：根据选取的生态监测点位，在其附近，根据一致性、同质性、代表性的原则，选择有代表性的地段设置样方进行调查，每个生态监测点位附近根据需要设置</w:t>
      </w:r>
      <w:r>
        <w:rPr>
          <w:rFonts w:hint="eastAsia"/>
        </w:rPr>
        <w:t xml:space="preserve"> 1 </w:t>
      </w:r>
      <w:r>
        <w:rPr>
          <w:rFonts w:hint="eastAsia"/>
        </w:rPr>
        <w:t>或</w:t>
      </w:r>
      <w:r>
        <w:rPr>
          <w:rFonts w:hint="eastAsia"/>
        </w:rPr>
        <w:t xml:space="preserve"> 2 </w:t>
      </w:r>
      <w:r>
        <w:rPr>
          <w:rFonts w:hint="eastAsia"/>
        </w:rPr>
        <w:t>个样方。乔木群落样方面积为</w:t>
      </w:r>
      <w:r>
        <w:rPr>
          <w:rFonts w:hint="eastAsia"/>
        </w:rPr>
        <w:t xml:space="preserve"> 20</w:t>
      </w:r>
      <w:r>
        <w:rPr>
          <w:rFonts w:hint="eastAsia"/>
        </w:rPr>
        <w:t>×</w:t>
      </w:r>
      <w:r>
        <w:rPr>
          <w:rFonts w:hint="eastAsia"/>
        </w:rPr>
        <w:t>20m</w:t>
      </w:r>
      <w:r w:rsidRPr="00A0645C">
        <w:rPr>
          <w:rFonts w:hint="eastAsia"/>
          <w:vertAlign w:val="superscript"/>
        </w:rPr>
        <w:t>2</w:t>
      </w:r>
      <w:r>
        <w:rPr>
          <w:rFonts w:hint="eastAsia"/>
        </w:rPr>
        <w:t>，灌木样方为</w:t>
      </w:r>
      <w:r>
        <w:rPr>
          <w:rFonts w:hint="eastAsia"/>
        </w:rPr>
        <w:t xml:space="preserve"> 5</w:t>
      </w:r>
      <w:r>
        <w:rPr>
          <w:rFonts w:hint="eastAsia"/>
        </w:rPr>
        <w:t>×</w:t>
      </w:r>
      <w:r>
        <w:rPr>
          <w:rFonts w:hint="eastAsia"/>
        </w:rPr>
        <w:t>5m</w:t>
      </w:r>
      <w:r w:rsidRPr="00A0645C">
        <w:rPr>
          <w:rFonts w:hint="eastAsia"/>
          <w:vertAlign w:val="superscript"/>
        </w:rPr>
        <w:t>2</w:t>
      </w:r>
      <w:r>
        <w:rPr>
          <w:rFonts w:hint="eastAsia"/>
        </w:rPr>
        <w:t>，</w:t>
      </w:r>
      <w:r>
        <w:rPr>
          <w:rFonts w:hint="eastAsia"/>
        </w:rPr>
        <w:t xml:space="preserve"> </w:t>
      </w:r>
      <w:r>
        <w:rPr>
          <w:rFonts w:hint="eastAsia"/>
        </w:rPr>
        <w:t>草本样方为</w:t>
      </w:r>
      <w:r>
        <w:rPr>
          <w:rFonts w:hint="eastAsia"/>
        </w:rPr>
        <w:t xml:space="preserve"> 1</w:t>
      </w:r>
      <w:r>
        <w:rPr>
          <w:rFonts w:hint="eastAsia"/>
        </w:rPr>
        <w:t>×</w:t>
      </w:r>
      <w:r>
        <w:rPr>
          <w:rFonts w:hint="eastAsia"/>
        </w:rPr>
        <w:t>1m</w:t>
      </w:r>
      <w:r w:rsidRPr="00A0645C">
        <w:rPr>
          <w:rFonts w:hint="eastAsia"/>
          <w:vertAlign w:val="superscript"/>
        </w:rPr>
        <w:t>2</w:t>
      </w:r>
      <w:r>
        <w:rPr>
          <w:rFonts w:hint="eastAsia"/>
        </w:rPr>
        <w:t xml:space="preserve"> </w:t>
      </w:r>
      <w:r>
        <w:rPr>
          <w:rFonts w:hint="eastAsia"/>
        </w:rPr>
        <w:t>，记录样地的所有植物种类，并按</w:t>
      </w:r>
      <w:r>
        <w:rPr>
          <w:rFonts w:hint="eastAsia"/>
        </w:rPr>
        <w:t>Braun- Blanquet</w:t>
      </w:r>
      <w:r>
        <w:rPr>
          <w:rFonts w:hint="eastAsia"/>
        </w:rPr>
        <w:t>多优度—群聚度记分；利用</w:t>
      </w:r>
      <w:r>
        <w:rPr>
          <w:rFonts w:hint="eastAsia"/>
        </w:rPr>
        <w:t xml:space="preserve"> GPS </w:t>
      </w:r>
      <w:r>
        <w:rPr>
          <w:rFonts w:hint="eastAsia"/>
        </w:rPr>
        <w:t>确定样地位置。</w:t>
      </w:r>
    </w:p>
    <w:p w:rsidR="00A0645C" w:rsidRDefault="00A0645C" w:rsidP="00A0645C">
      <w:pPr>
        <w:ind w:firstLine="480"/>
      </w:pPr>
      <w:r>
        <w:rPr>
          <w:rFonts w:hint="eastAsia"/>
        </w:rPr>
        <w:t>★植物种类调查</w:t>
      </w:r>
    </w:p>
    <w:p w:rsidR="00A0645C" w:rsidRDefault="00A0645C" w:rsidP="00A0645C">
      <w:pPr>
        <w:ind w:firstLine="480"/>
      </w:pPr>
      <w:r>
        <w:rPr>
          <w:rFonts w:hint="eastAsia"/>
        </w:rPr>
        <w:t>实地调查采取路线调查与重点调查相结合的方法，对于没有原生植被的区域采取路线调查，在流域规划工程建设区域以及植被状况良好的区域实行重点调查；对资源植物和珍稀濒危植物调查采取野外调查和民间访问、市场调查相结合的方法进行。</w:t>
      </w:r>
    </w:p>
    <w:p w:rsidR="00A0645C" w:rsidRDefault="00A0645C" w:rsidP="00A0645C">
      <w:pPr>
        <w:ind w:firstLine="480"/>
      </w:pPr>
      <w:r>
        <w:rPr>
          <w:rFonts w:hint="eastAsia"/>
        </w:rPr>
        <w:t>★陆生动物调查，样线法，访问，资料查询。</w:t>
      </w:r>
    </w:p>
    <w:p w:rsidR="00A0645C" w:rsidRDefault="00A0645C" w:rsidP="00A0645C">
      <w:pPr>
        <w:ind w:firstLine="480"/>
      </w:pPr>
      <w:r>
        <w:rPr>
          <w:rFonts w:hint="eastAsia"/>
        </w:rPr>
        <w:t>★水生生物调查，浮游生物和底栖动物采用类比和查阅资料，鱼类调查方法为走访、询问当地村民，查阅相关资料。</w:t>
      </w:r>
    </w:p>
    <w:p w:rsidR="00A0645C" w:rsidRDefault="00A0645C" w:rsidP="00A0645C">
      <w:pPr>
        <w:ind w:firstLine="480"/>
      </w:pPr>
      <w:r>
        <w:rPr>
          <w:rFonts w:hint="eastAsia"/>
        </w:rPr>
        <w:t>★生物生产力的测定与估算</w:t>
      </w:r>
    </w:p>
    <w:p w:rsidR="00A0645C" w:rsidRPr="00A0645C" w:rsidRDefault="00A0645C" w:rsidP="00A0645C">
      <w:pPr>
        <w:ind w:firstLine="480"/>
      </w:pPr>
      <w:r>
        <w:rPr>
          <w:rFonts w:hint="eastAsia"/>
        </w:rPr>
        <w:t>重点测定评价区内分布面积广的植被类型生产量，其余类型参考国内外有关生物生产量资料，并根据当地的实际情况作适当调查，估算出评价区域区的植被类型生物生产力。</w:t>
      </w:r>
    </w:p>
    <w:p w:rsidR="006175A6" w:rsidRDefault="009B4BA7">
      <w:pPr>
        <w:pStyle w:val="3"/>
      </w:pPr>
      <w:r>
        <w:rPr>
          <w:rFonts w:hint="eastAsia"/>
        </w:rPr>
        <w:t>陆生植物资源现状</w:t>
      </w:r>
    </w:p>
    <w:p w:rsidR="006175A6" w:rsidRDefault="009B4BA7">
      <w:pPr>
        <w:ind w:firstLine="480"/>
      </w:pPr>
      <w:r>
        <w:rPr>
          <w:rFonts w:hint="eastAsia"/>
        </w:rPr>
        <w:t>（</w:t>
      </w:r>
      <w:r>
        <w:rPr>
          <w:rFonts w:hint="eastAsia"/>
        </w:rPr>
        <w:t>1</w:t>
      </w:r>
      <w:r>
        <w:rPr>
          <w:rFonts w:hint="eastAsia"/>
        </w:rPr>
        <w:t>）植物区系</w:t>
      </w:r>
    </w:p>
    <w:p w:rsidR="006175A6" w:rsidRDefault="009B4BA7">
      <w:pPr>
        <w:ind w:firstLine="480"/>
      </w:pPr>
      <w:r>
        <w:rPr>
          <w:rFonts w:hint="eastAsia"/>
        </w:rPr>
        <w:t>评价区域内的林地物种多样性较高，主要植被类型有温性落叶针叶林，暖性针叶林，亚热带山地落叶阔叶林，常绿、落叶阔叶混交林，灌草丛、竹林和经济</w:t>
      </w:r>
      <w:r>
        <w:rPr>
          <w:rFonts w:hint="eastAsia"/>
        </w:rPr>
        <w:lastRenderedPageBreak/>
        <w:t>林。评价区域内以亚热带山地落叶阔叶林为主。</w:t>
      </w:r>
    </w:p>
    <w:p w:rsidR="006175A6" w:rsidRDefault="009B4BA7">
      <w:pPr>
        <w:ind w:firstLine="480"/>
      </w:pPr>
      <w:r>
        <w:rPr>
          <w:rFonts w:hint="eastAsia"/>
        </w:rPr>
        <w:t>①植被类型</w:t>
      </w:r>
    </w:p>
    <w:p w:rsidR="006175A6" w:rsidRDefault="009B4BA7">
      <w:pPr>
        <w:ind w:firstLine="480"/>
      </w:pPr>
      <w:r>
        <w:rPr>
          <w:rFonts w:hint="eastAsia"/>
        </w:rPr>
        <w:t>评价区植被类型的划分是根据群落的特征，将各种植物群落，通过比较它们之间的异同点，按照《中国植被》中自然植被的分类系统，划分出不同的植被类型，评价区植被共分为</w:t>
      </w:r>
      <w:r>
        <w:rPr>
          <w:rFonts w:hint="eastAsia"/>
        </w:rPr>
        <w:t xml:space="preserve"> 3 </w:t>
      </w:r>
      <w:r>
        <w:rPr>
          <w:rFonts w:hint="eastAsia"/>
        </w:rPr>
        <w:t>级，</w:t>
      </w:r>
      <w:r>
        <w:rPr>
          <w:rFonts w:hint="eastAsia"/>
        </w:rPr>
        <w:t xml:space="preserve">4 </w:t>
      </w:r>
      <w:r>
        <w:rPr>
          <w:rFonts w:hint="eastAsia"/>
        </w:rPr>
        <w:t>个植被型，</w:t>
      </w:r>
      <w:r>
        <w:rPr>
          <w:rFonts w:hint="eastAsia"/>
        </w:rPr>
        <w:t xml:space="preserve">17 </w:t>
      </w:r>
      <w:r>
        <w:rPr>
          <w:rFonts w:hint="eastAsia"/>
        </w:rPr>
        <w:t>个群系</w:t>
      </w:r>
      <w:r w:rsidR="00E97427">
        <w:rPr>
          <w:rFonts w:hint="eastAsia"/>
        </w:rPr>
        <w:t>（</w:t>
      </w:r>
      <w:r>
        <w:rPr>
          <w:rFonts w:hint="eastAsia"/>
        </w:rPr>
        <w:t>其中栽培用</w:t>
      </w:r>
      <w:r>
        <w:rPr>
          <w:rFonts w:hint="eastAsia"/>
        </w:rPr>
        <w:t>*</w:t>
      </w:r>
      <w:r>
        <w:rPr>
          <w:rFonts w:hint="eastAsia"/>
        </w:rPr>
        <w:t>表示</w:t>
      </w:r>
      <w:r w:rsidR="00E97427">
        <w:rPr>
          <w:rFonts w:hint="eastAsia"/>
        </w:rPr>
        <w:t>）</w:t>
      </w:r>
      <w:r>
        <w:rPr>
          <w:rFonts w:hint="eastAsia"/>
        </w:rPr>
        <w:t>，见下表。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评价区植被类型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11"/>
        <w:gridCol w:w="1021"/>
        <w:gridCol w:w="1417"/>
        <w:gridCol w:w="1869"/>
        <w:gridCol w:w="3398"/>
      </w:tblGrid>
      <w:tr w:rsidR="006175A6">
        <w:trPr>
          <w:trHeight w:val="340"/>
        </w:trPr>
        <w:tc>
          <w:tcPr>
            <w:tcW w:w="367" w:type="pct"/>
            <w:vAlign w:val="center"/>
          </w:tcPr>
          <w:p w:rsidR="006175A6" w:rsidRDefault="009B4BA7">
            <w:pPr>
              <w:pStyle w:val="TableParagraph"/>
              <w:rPr>
                <w:rFonts w:cs="Times New Roman"/>
                <w:sz w:val="21"/>
                <w:szCs w:val="21"/>
              </w:rPr>
            </w:pPr>
            <w:r>
              <w:rPr>
                <w:rFonts w:cs="Times New Roman" w:hint="eastAsia"/>
                <w:sz w:val="21"/>
                <w:szCs w:val="21"/>
              </w:rPr>
              <w:t>类别</w:t>
            </w:r>
          </w:p>
        </w:tc>
        <w:tc>
          <w:tcPr>
            <w:tcW w:w="614" w:type="pct"/>
            <w:vAlign w:val="center"/>
          </w:tcPr>
          <w:p w:rsidR="006175A6" w:rsidRDefault="009B4BA7">
            <w:pPr>
              <w:pStyle w:val="TableParagraph"/>
              <w:rPr>
                <w:rFonts w:cs="Times New Roman"/>
                <w:sz w:val="21"/>
                <w:szCs w:val="21"/>
              </w:rPr>
            </w:pPr>
            <w:r>
              <w:rPr>
                <w:rFonts w:cs="Times New Roman" w:hint="eastAsia"/>
                <w:sz w:val="21"/>
                <w:szCs w:val="21"/>
              </w:rPr>
              <w:t>级</w:t>
            </w:r>
          </w:p>
        </w:tc>
        <w:tc>
          <w:tcPr>
            <w:tcW w:w="852" w:type="pct"/>
            <w:vAlign w:val="center"/>
          </w:tcPr>
          <w:p w:rsidR="006175A6" w:rsidRDefault="009B4BA7">
            <w:pPr>
              <w:pStyle w:val="TableParagraph"/>
              <w:rPr>
                <w:rFonts w:cs="Times New Roman"/>
                <w:sz w:val="21"/>
                <w:szCs w:val="21"/>
              </w:rPr>
            </w:pPr>
            <w:r>
              <w:rPr>
                <w:rFonts w:cs="Times New Roman" w:hint="eastAsia"/>
                <w:sz w:val="21"/>
                <w:szCs w:val="21"/>
              </w:rPr>
              <w:t>植被型</w:t>
            </w:r>
          </w:p>
        </w:tc>
        <w:tc>
          <w:tcPr>
            <w:tcW w:w="3167" w:type="pct"/>
            <w:gridSpan w:val="2"/>
            <w:vAlign w:val="center"/>
          </w:tcPr>
          <w:p w:rsidR="006175A6" w:rsidRDefault="009B4BA7">
            <w:pPr>
              <w:pStyle w:val="TableParagraph"/>
              <w:rPr>
                <w:rFonts w:cs="Times New Roman"/>
                <w:sz w:val="21"/>
                <w:szCs w:val="21"/>
              </w:rPr>
            </w:pPr>
            <w:r>
              <w:rPr>
                <w:rFonts w:cs="Times New Roman" w:hint="eastAsia"/>
                <w:sz w:val="21"/>
                <w:szCs w:val="21"/>
              </w:rPr>
              <w:t>群 系</w:t>
            </w:r>
          </w:p>
        </w:tc>
      </w:tr>
      <w:tr w:rsidR="006175A6">
        <w:trPr>
          <w:trHeight w:val="340"/>
        </w:trPr>
        <w:tc>
          <w:tcPr>
            <w:tcW w:w="367" w:type="pct"/>
            <w:vMerge w:val="restart"/>
            <w:vAlign w:val="center"/>
          </w:tcPr>
          <w:p w:rsidR="006175A6" w:rsidRDefault="009B4BA7">
            <w:pPr>
              <w:pStyle w:val="TableParagraph"/>
              <w:rPr>
                <w:rFonts w:cs="Times New Roman"/>
                <w:sz w:val="21"/>
                <w:szCs w:val="21"/>
              </w:rPr>
            </w:pPr>
            <w:r>
              <w:rPr>
                <w:rFonts w:cs="Times New Roman" w:hint="eastAsia"/>
                <w:sz w:val="21"/>
                <w:szCs w:val="21"/>
              </w:rPr>
              <w:t>天然林</w:t>
            </w:r>
          </w:p>
        </w:tc>
        <w:tc>
          <w:tcPr>
            <w:tcW w:w="614" w:type="pct"/>
            <w:vMerge w:val="restart"/>
            <w:vAlign w:val="center"/>
          </w:tcPr>
          <w:p w:rsidR="006175A6" w:rsidRDefault="009B4BA7">
            <w:pPr>
              <w:pStyle w:val="TableParagraph"/>
              <w:rPr>
                <w:rFonts w:cs="Times New Roman"/>
                <w:sz w:val="21"/>
                <w:szCs w:val="21"/>
              </w:rPr>
            </w:pPr>
            <w:r>
              <w:rPr>
                <w:rFonts w:cs="Times New Roman" w:hint="eastAsia"/>
                <w:sz w:val="21"/>
                <w:szCs w:val="21"/>
              </w:rPr>
              <w:t>针叶林</w:t>
            </w:r>
          </w:p>
        </w:tc>
        <w:tc>
          <w:tcPr>
            <w:tcW w:w="852" w:type="pct"/>
            <w:vMerge w:val="restart"/>
            <w:vAlign w:val="center"/>
          </w:tcPr>
          <w:p w:rsidR="006175A6" w:rsidRDefault="009B4BA7">
            <w:pPr>
              <w:pStyle w:val="TableParagraph"/>
              <w:rPr>
                <w:rFonts w:cs="Times New Roman"/>
                <w:sz w:val="21"/>
                <w:szCs w:val="21"/>
              </w:rPr>
            </w:pPr>
            <w:r>
              <w:rPr>
                <w:rFonts w:ascii="Times New Roman"/>
                <w:sz w:val="21"/>
                <w:szCs w:val="21"/>
              </w:rPr>
              <w:t>I</w:t>
            </w:r>
            <w:r>
              <w:rPr>
                <w:rFonts w:ascii="Times New Roman" w:hint="eastAsia"/>
                <w:sz w:val="21"/>
                <w:szCs w:val="21"/>
                <w:lang w:eastAsia="zh-CN"/>
              </w:rPr>
              <w:t>、</w:t>
            </w:r>
            <w:r>
              <w:rPr>
                <w:rFonts w:cs="Times New Roman" w:hint="eastAsia"/>
                <w:sz w:val="21"/>
                <w:szCs w:val="21"/>
              </w:rPr>
              <w:t>温性针叶林</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杉木林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Cunninghamia lanceolata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马尾松林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Pinus massoniana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柏木林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Form.Cupressus funebris</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restart"/>
            <w:vAlign w:val="center"/>
          </w:tcPr>
          <w:p w:rsidR="006175A6" w:rsidRDefault="009B4BA7">
            <w:pPr>
              <w:pStyle w:val="TableParagraph"/>
              <w:rPr>
                <w:rFonts w:cs="Times New Roman"/>
                <w:sz w:val="21"/>
                <w:szCs w:val="21"/>
              </w:rPr>
            </w:pPr>
            <w:r>
              <w:rPr>
                <w:rFonts w:cs="Times New Roman" w:hint="eastAsia"/>
                <w:sz w:val="21"/>
                <w:szCs w:val="21"/>
              </w:rPr>
              <w:t>阔叶林</w:t>
            </w:r>
          </w:p>
        </w:tc>
        <w:tc>
          <w:tcPr>
            <w:tcW w:w="852" w:type="pct"/>
            <w:vMerge w:val="restart"/>
            <w:vAlign w:val="center"/>
          </w:tcPr>
          <w:p w:rsidR="006175A6" w:rsidRDefault="009B4BA7">
            <w:pPr>
              <w:pStyle w:val="TableParagraph"/>
              <w:rPr>
                <w:rFonts w:cs="Times New Roman"/>
                <w:sz w:val="21"/>
                <w:szCs w:val="21"/>
              </w:rPr>
            </w:pPr>
            <w:r>
              <w:rPr>
                <w:rFonts w:cs="Times New Roman" w:hint="eastAsia"/>
                <w:sz w:val="21"/>
                <w:szCs w:val="21"/>
              </w:rPr>
              <w:t>Ⅱ</w:t>
            </w:r>
            <w:r>
              <w:rPr>
                <w:rFonts w:cs="Times New Roman" w:hint="eastAsia"/>
                <w:sz w:val="21"/>
                <w:szCs w:val="21"/>
                <w:lang w:eastAsia="zh-CN"/>
              </w:rPr>
              <w:t>、</w:t>
            </w:r>
            <w:r>
              <w:rPr>
                <w:rFonts w:cs="Times New Roman" w:hint="eastAsia"/>
                <w:sz w:val="21"/>
                <w:szCs w:val="21"/>
              </w:rPr>
              <w:t>落叶阔叶林</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栓皮栎林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Quercus variabilis</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枫杨林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Pterocarya stenoptera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restart"/>
            <w:vAlign w:val="center"/>
          </w:tcPr>
          <w:p w:rsidR="006175A6" w:rsidRDefault="009B4BA7">
            <w:pPr>
              <w:pStyle w:val="TableParagraph"/>
              <w:rPr>
                <w:rFonts w:cs="Times New Roman"/>
                <w:sz w:val="21"/>
                <w:szCs w:val="21"/>
              </w:rPr>
            </w:pPr>
            <w:r>
              <w:rPr>
                <w:rFonts w:cs="Times New Roman" w:hint="eastAsia"/>
                <w:sz w:val="21"/>
                <w:szCs w:val="21"/>
              </w:rPr>
              <w:t>灌草丛</w:t>
            </w:r>
          </w:p>
        </w:tc>
        <w:tc>
          <w:tcPr>
            <w:tcW w:w="852" w:type="pct"/>
            <w:vMerge w:val="restart"/>
            <w:vAlign w:val="center"/>
          </w:tcPr>
          <w:p w:rsidR="006175A6" w:rsidRDefault="009B4BA7">
            <w:pPr>
              <w:pStyle w:val="TableParagraph"/>
              <w:rPr>
                <w:rFonts w:cs="Times New Roman"/>
                <w:sz w:val="21"/>
                <w:szCs w:val="21"/>
              </w:rPr>
            </w:pPr>
            <w:r>
              <w:rPr>
                <w:rFonts w:ascii="Times New Roman"/>
                <w:sz w:val="21"/>
                <w:szCs w:val="21"/>
              </w:rPr>
              <w:t>III</w:t>
            </w:r>
            <w:r>
              <w:rPr>
                <w:rFonts w:ascii="Times New Roman" w:hint="eastAsia"/>
                <w:sz w:val="21"/>
                <w:szCs w:val="21"/>
                <w:lang w:eastAsia="zh-CN"/>
              </w:rPr>
              <w:t>、</w:t>
            </w:r>
            <w:r>
              <w:rPr>
                <w:rFonts w:cs="Times New Roman" w:hint="eastAsia"/>
                <w:sz w:val="21"/>
                <w:szCs w:val="21"/>
              </w:rPr>
              <w:t>灌丛</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黄栌灌丛</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Cotinus coggygria var.pubescens</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马桑灌丛</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Form.Coriaria sinica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小果蔷薇、火棘灌丛</w:t>
            </w:r>
          </w:p>
        </w:tc>
        <w:tc>
          <w:tcPr>
            <w:tcW w:w="2043" w:type="pct"/>
            <w:vAlign w:val="center"/>
          </w:tcPr>
          <w:p w:rsidR="006175A6" w:rsidRDefault="009B4BA7">
            <w:pPr>
              <w:pStyle w:val="TableParagraph"/>
              <w:rPr>
                <w:rFonts w:cs="Times New Roman"/>
                <w:i/>
                <w:lang w:eastAsia="zh-CN"/>
              </w:rPr>
            </w:pPr>
            <w:r>
              <w:rPr>
                <w:rFonts w:ascii="Times New Roman"/>
                <w:i/>
                <w:sz w:val="21"/>
                <w:szCs w:val="21"/>
              </w:rPr>
              <w:t>Form. Rosa cymosa</w:t>
            </w:r>
            <w:r>
              <w:rPr>
                <w:rFonts w:cs="Times New Roman" w:hint="eastAsia"/>
                <w:i/>
              </w:rPr>
              <w:t>；</w:t>
            </w:r>
          </w:p>
          <w:p w:rsidR="006175A6" w:rsidRDefault="009B4BA7">
            <w:pPr>
              <w:pStyle w:val="TableParagraph"/>
              <w:rPr>
                <w:rFonts w:ascii="Times New Roman"/>
                <w:i/>
                <w:sz w:val="21"/>
                <w:szCs w:val="21"/>
              </w:rPr>
            </w:pPr>
            <w:r>
              <w:rPr>
                <w:rFonts w:ascii="Times New Roman"/>
                <w:i/>
                <w:sz w:val="21"/>
                <w:szCs w:val="21"/>
              </w:rPr>
              <w:t>Form. Pyracantha fortuneana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连翘灌丛</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Forsythia suspensa</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restart"/>
            <w:vAlign w:val="center"/>
          </w:tcPr>
          <w:p w:rsidR="006175A6" w:rsidRDefault="009B4BA7">
            <w:pPr>
              <w:pStyle w:val="TableParagraph"/>
              <w:rPr>
                <w:rFonts w:cs="Times New Roman"/>
                <w:sz w:val="21"/>
                <w:szCs w:val="21"/>
              </w:rPr>
            </w:pPr>
            <w:r>
              <w:rPr>
                <w:rFonts w:ascii="Times New Roman"/>
                <w:sz w:val="21"/>
                <w:szCs w:val="21"/>
              </w:rPr>
              <w:t>IV</w:t>
            </w:r>
            <w:r>
              <w:rPr>
                <w:rFonts w:ascii="Times New Roman" w:hint="eastAsia"/>
                <w:sz w:val="21"/>
                <w:szCs w:val="21"/>
                <w:lang w:eastAsia="zh-CN"/>
              </w:rPr>
              <w:t>、</w:t>
            </w:r>
            <w:r>
              <w:rPr>
                <w:rFonts w:cs="Times New Roman" w:hint="eastAsia"/>
                <w:sz w:val="21"/>
                <w:szCs w:val="21"/>
              </w:rPr>
              <w:t>灌草丛</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白茅灌草丛</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Imperata cylindrica var.major</w:t>
            </w:r>
          </w:p>
        </w:tc>
      </w:tr>
      <w:tr w:rsidR="006175A6">
        <w:trPr>
          <w:trHeight w:val="340"/>
        </w:trPr>
        <w:tc>
          <w:tcPr>
            <w:tcW w:w="367" w:type="pct"/>
            <w:vMerge/>
            <w:vAlign w:val="center"/>
          </w:tcPr>
          <w:p w:rsidR="006175A6" w:rsidRDefault="006175A6">
            <w:pPr>
              <w:widowControl/>
              <w:spacing w:line="240" w:lineRule="auto"/>
              <w:ind w:firstLineChars="0" w:firstLine="0"/>
              <w:jc w:val="center"/>
              <w:rPr>
                <w:rFonts w:ascii="宋体" w:hAnsi="宋体"/>
                <w:sz w:val="21"/>
              </w:rPr>
            </w:pPr>
          </w:p>
        </w:tc>
        <w:tc>
          <w:tcPr>
            <w:tcW w:w="614" w:type="pct"/>
            <w:vMerge/>
            <w:vAlign w:val="center"/>
          </w:tcPr>
          <w:p w:rsidR="006175A6" w:rsidRDefault="006175A6">
            <w:pPr>
              <w:widowControl/>
              <w:spacing w:line="240" w:lineRule="auto"/>
              <w:ind w:firstLineChars="0" w:firstLine="0"/>
              <w:jc w:val="center"/>
              <w:rPr>
                <w:rFonts w:ascii="宋体" w:hAnsi="宋体"/>
                <w:sz w:val="21"/>
              </w:rPr>
            </w:pPr>
          </w:p>
        </w:tc>
        <w:tc>
          <w:tcPr>
            <w:tcW w:w="852" w:type="pct"/>
            <w:vMerge/>
            <w:vAlign w:val="center"/>
          </w:tcPr>
          <w:p w:rsidR="006175A6" w:rsidRDefault="006175A6">
            <w:pPr>
              <w:widowControl/>
              <w:spacing w:line="240" w:lineRule="auto"/>
              <w:ind w:firstLineChars="0" w:firstLine="0"/>
              <w:jc w:val="center"/>
              <w:rPr>
                <w:rFonts w:ascii="宋体" w:hAnsi="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五节芒灌草丛</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Miscanthus floridus</w:t>
            </w:r>
          </w:p>
        </w:tc>
      </w:tr>
      <w:tr w:rsidR="006175A6">
        <w:trPr>
          <w:trHeight w:val="340"/>
        </w:trPr>
        <w:tc>
          <w:tcPr>
            <w:tcW w:w="1833" w:type="pct"/>
            <w:gridSpan w:val="3"/>
            <w:vAlign w:val="center"/>
          </w:tcPr>
          <w:p w:rsidR="006175A6" w:rsidRDefault="009B4BA7">
            <w:pPr>
              <w:pStyle w:val="TableParagraph"/>
              <w:rPr>
                <w:rFonts w:ascii="Times New Roman"/>
                <w:sz w:val="21"/>
                <w:szCs w:val="21"/>
              </w:rPr>
            </w:pPr>
            <w:r>
              <w:rPr>
                <w:rFonts w:cs="Times New Roman" w:hint="eastAsia"/>
                <w:sz w:val="21"/>
                <w:szCs w:val="21"/>
              </w:rPr>
              <w:t>人工林</w:t>
            </w:r>
            <w:r>
              <w:rPr>
                <w:rFonts w:ascii="Times New Roman"/>
                <w:sz w:val="21"/>
                <w:szCs w:val="21"/>
              </w:rPr>
              <w:t>*</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茶林</w:t>
            </w:r>
          </w:p>
        </w:tc>
        <w:tc>
          <w:tcPr>
            <w:tcW w:w="2043" w:type="pct"/>
            <w:vAlign w:val="center"/>
          </w:tcPr>
          <w:p w:rsidR="006175A6" w:rsidRDefault="009B4BA7">
            <w:pPr>
              <w:pStyle w:val="TableParagraph"/>
              <w:rPr>
                <w:rFonts w:ascii="Times New Roman"/>
                <w:i/>
                <w:sz w:val="21"/>
                <w:szCs w:val="21"/>
              </w:rPr>
            </w:pPr>
            <w:r>
              <w:rPr>
                <w:rFonts w:ascii="Times New Roman"/>
                <w:i/>
                <w:sz w:val="21"/>
                <w:szCs w:val="21"/>
              </w:rPr>
              <w:t>Form. Camellia sinensis</w:t>
            </w:r>
          </w:p>
        </w:tc>
      </w:tr>
      <w:tr w:rsidR="006175A6">
        <w:trPr>
          <w:trHeight w:val="340"/>
        </w:trPr>
        <w:tc>
          <w:tcPr>
            <w:tcW w:w="1833" w:type="pct"/>
            <w:gridSpan w:val="3"/>
            <w:vMerge w:val="restart"/>
            <w:vAlign w:val="center"/>
          </w:tcPr>
          <w:p w:rsidR="006175A6" w:rsidRDefault="009B4BA7">
            <w:pPr>
              <w:pStyle w:val="TableParagraph"/>
              <w:rPr>
                <w:rFonts w:ascii="Times New Roman"/>
                <w:sz w:val="21"/>
                <w:szCs w:val="21"/>
              </w:rPr>
            </w:pPr>
            <w:r>
              <w:rPr>
                <w:rFonts w:cs="Times New Roman" w:hint="eastAsia"/>
                <w:sz w:val="21"/>
                <w:szCs w:val="21"/>
              </w:rPr>
              <w:t>农业植被</w:t>
            </w:r>
            <w:r>
              <w:rPr>
                <w:rFonts w:ascii="Times New Roman"/>
                <w:sz w:val="21"/>
                <w:szCs w:val="21"/>
              </w:rPr>
              <w:t>*</w:t>
            </w: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粮食作物</w:t>
            </w:r>
          </w:p>
        </w:tc>
        <w:tc>
          <w:tcPr>
            <w:tcW w:w="2043" w:type="pct"/>
            <w:vAlign w:val="center"/>
          </w:tcPr>
          <w:p w:rsidR="006175A6" w:rsidRDefault="009B4BA7">
            <w:pPr>
              <w:pStyle w:val="TableParagraph"/>
              <w:rPr>
                <w:rFonts w:cs="Times New Roman"/>
                <w:sz w:val="21"/>
                <w:szCs w:val="21"/>
              </w:rPr>
            </w:pPr>
            <w:r>
              <w:rPr>
                <w:rFonts w:cs="Times New Roman" w:hint="eastAsia"/>
                <w:sz w:val="21"/>
                <w:szCs w:val="21"/>
              </w:rPr>
              <w:t>水稻、小麦、玉米</w:t>
            </w:r>
          </w:p>
        </w:tc>
      </w:tr>
      <w:tr w:rsidR="006175A6">
        <w:trPr>
          <w:trHeight w:val="340"/>
        </w:trPr>
        <w:tc>
          <w:tcPr>
            <w:tcW w:w="1833" w:type="pct"/>
            <w:gridSpan w:val="3"/>
            <w:vMerge/>
            <w:vAlign w:val="center"/>
          </w:tcPr>
          <w:p w:rsidR="006175A6" w:rsidRDefault="006175A6">
            <w:pPr>
              <w:widowControl/>
              <w:spacing w:line="240" w:lineRule="auto"/>
              <w:ind w:firstLineChars="0" w:firstLine="0"/>
              <w:jc w:val="center"/>
              <w:rPr>
                <w:rFonts w:hAnsi="宋体" w:cs="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油料作物</w:t>
            </w:r>
          </w:p>
        </w:tc>
        <w:tc>
          <w:tcPr>
            <w:tcW w:w="2043" w:type="pct"/>
            <w:vAlign w:val="center"/>
          </w:tcPr>
          <w:p w:rsidR="006175A6" w:rsidRDefault="009B4BA7">
            <w:pPr>
              <w:pStyle w:val="TableParagraph"/>
              <w:rPr>
                <w:rFonts w:cs="Times New Roman"/>
                <w:sz w:val="21"/>
                <w:szCs w:val="21"/>
              </w:rPr>
            </w:pPr>
            <w:r>
              <w:rPr>
                <w:rFonts w:cs="Times New Roman" w:hint="eastAsia"/>
                <w:sz w:val="21"/>
                <w:szCs w:val="21"/>
              </w:rPr>
              <w:t>油菜、花生</w:t>
            </w:r>
          </w:p>
        </w:tc>
      </w:tr>
      <w:tr w:rsidR="006175A6">
        <w:trPr>
          <w:trHeight w:val="340"/>
        </w:trPr>
        <w:tc>
          <w:tcPr>
            <w:tcW w:w="1833" w:type="pct"/>
            <w:gridSpan w:val="3"/>
            <w:vMerge/>
            <w:vAlign w:val="center"/>
          </w:tcPr>
          <w:p w:rsidR="006175A6" w:rsidRDefault="006175A6">
            <w:pPr>
              <w:widowControl/>
              <w:spacing w:line="240" w:lineRule="auto"/>
              <w:ind w:firstLineChars="0" w:firstLine="0"/>
              <w:jc w:val="center"/>
              <w:rPr>
                <w:rFonts w:hAnsi="宋体" w:cs="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果类作物</w:t>
            </w:r>
          </w:p>
        </w:tc>
        <w:tc>
          <w:tcPr>
            <w:tcW w:w="2043" w:type="pct"/>
            <w:vAlign w:val="center"/>
          </w:tcPr>
          <w:p w:rsidR="006175A6" w:rsidRDefault="009B4BA7">
            <w:pPr>
              <w:pStyle w:val="TableParagraph"/>
              <w:rPr>
                <w:rFonts w:cs="Times New Roman"/>
                <w:sz w:val="21"/>
                <w:szCs w:val="21"/>
              </w:rPr>
            </w:pPr>
            <w:r>
              <w:rPr>
                <w:rFonts w:cs="Times New Roman" w:hint="eastAsia"/>
                <w:sz w:val="21"/>
                <w:szCs w:val="21"/>
              </w:rPr>
              <w:t>柑桔</w:t>
            </w:r>
          </w:p>
        </w:tc>
      </w:tr>
      <w:tr w:rsidR="006175A6">
        <w:trPr>
          <w:trHeight w:val="340"/>
        </w:trPr>
        <w:tc>
          <w:tcPr>
            <w:tcW w:w="1833" w:type="pct"/>
            <w:gridSpan w:val="3"/>
            <w:vMerge/>
            <w:vAlign w:val="center"/>
          </w:tcPr>
          <w:p w:rsidR="006175A6" w:rsidRDefault="006175A6">
            <w:pPr>
              <w:widowControl/>
              <w:spacing w:line="240" w:lineRule="auto"/>
              <w:ind w:firstLineChars="0" w:firstLine="0"/>
              <w:jc w:val="center"/>
              <w:rPr>
                <w:rFonts w:hAnsi="宋体" w:cs="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蔬菜</w:t>
            </w:r>
          </w:p>
        </w:tc>
        <w:tc>
          <w:tcPr>
            <w:tcW w:w="204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白菜、萝卜、山药、蚕豌豆等</w:t>
            </w:r>
          </w:p>
        </w:tc>
      </w:tr>
      <w:tr w:rsidR="006175A6">
        <w:trPr>
          <w:trHeight w:val="340"/>
        </w:trPr>
        <w:tc>
          <w:tcPr>
            <w:tcW w:w="1833" w:type="pct"/>
            <w:gridSpan w:val="3"/>
            <w:vMerge/>
            <w:vAlign w:val="center"/>
          </w:tcPr>
          <w:p w:rsidR="006175A6" w:rsidRDefault="006175A6">
            <w:pPr>
              <w:widowControl/>
              <w:spacing w:line="240" w:lineRule="auto"/>
              <w:ind w:firstLineChars="0" w:firstLine="0"/>
              <w:jc w:val="center"/>
              <w:rPr>
                <w:rFonts w:hAnsi="宋体" w:cs="宋体"/>
                <w:sz w:val="21"/>
              </w:rPr>
            </w:pPr>
          </w:p>
        </w:tc>
        <w:tc>
          <w:tcPr>
            <w:tcW w:w="1124" w:type="pct"/>
            <w:vAlign w:val="center"/>
          </w:tcPr>
          <w:p w:rsidR="006175A6" w:rsidRDefault="009B4BA7">
            <w:pPr>
              <w:pStyle w:val="TableParagraph"/>
              <w:rPr>
                <w:rFonts w:cs="Times New Roman"/>
                <w:sz w:val="21"/>
                <w:szCs w:val="21"/>
              </w:rPr>
            </w:pPr>
            <w:r>
              <w:rPr>
                <w:rFonts w:cs="Times New Roman" w:hint="eastAsia"/>
                <w:sz w:val="21"/>
                <w:szCs w:val="21"/>
              </w:rPr>
              <w:t>药用</w:t>
            </w:r>
          </w:p>
        </w:tc>
        <w:tc>
          <w:tcPr>
            <w:tcW w:w="2043" w:type="pct"/>
            <w:vAlign w:val="center"/>
          </w:tcPr>
          <w:p w:rsidR="006175A6" w:rsidRDefault="009B4BA7">
            <w:pPr>
              <w:pStyle w:val="TableParagraph"/>
              <w:rPr>
                <w:rFonts w:cs="Times New Roman"/>
                <w:sz w:val="21"/>
                <w:szCs w:val="21"/>
              </w:rPr>
            </w:pPr>
            <w:r>
              <w:rPr>
                <w:rFonts w:cs="Times New Roman" w:hint="eastAsia"/>
                <w:sz w:val="21"/>
                <w:szCs w:val="21"/>
              </w:rPr>
              <w:t>天麻等</w:t>
            </w:r>
          </w:p>
        </w:tc>
      </w:tr>
    </w:tbl>
    <w:p w:rsidR="006175A6" w:rsidRDefault="009B4BA7">
      <w:pPr>
        <w:ind w:firstLine="480"/>
      </w:pPr>
      <w:r>
        <w:rPr>
          <w:rFonts w:hint="eastAsia"/>
        </w:rPr>
        <w:t>②主要植被类型概述</w:t>
      </w:r>
    </w:p>
    <w:p w:rsidR="006175A6" w:rsidRDefault="009B4BA7">
      <w:pPr>
        <w:pStyle w:val="ae"/>
        <w:numPr>
          <w:ilvl w:val="0"/>
          <w:numId w:val="5"/>
        </w:numPr>
        <w:ind w:firstLineChars="0"/>
      </w:pPr>
      <w:r>
        <w:rPr>
          <w:rFonts w:hint="eastAsia"/>
        </w:rPr>
        <w:t>马尾松林</w:t>
      </w:r>
      <w:r w:rsidR="00E97427">
        <w:rPr>
          <w:rFonts w:hint="eastAsia"/>
        </w:rPr>
        <w:t>（</w:t>
      </w:r>
      <w:r>
        <w:rPr>
          <w:rFonts w:hint="eastAsia"/>
        </w:rPr>
        <w:t>Form. Pinus</w:t>
      </w:r>
      <w:r>
        <w:t xml:space="preserve"> massoniana</w:t>
      </w:r>
      <w:r w:rsidR="00E97427">
        <w:t>）</w:t>
      </w:r>
    </w:p>
    <w:p w:rsidR="006175A6" w:rsidRDefault="009B4BA7">
      <w:pPr>
        <w:ind w:firstLine="480"/>
      </w:pPr>
      <w:r>
        <w:rPr>
          <w:rFonts w:hint="eastAsia"/>
        </w:rPr>
        <w:t>马尾松林是中国东南部湿润亚热带地区分布最广、森林资源最丰富的典型代表林系之一，遍布湖北省，在评价区内呈块状分布。在海拔</w:t>
      </w:r>
      <w:r>
        <w:rPr>
          <w:rFonts w:hint="eastAsia"/>
        </w:rPr>
        <w:t xml:space="preserve"> 800m </w:t>
      </w:r>
      <w:r>
        <w:rPr>
          <w:rFonts w:hint="eastAsia"/>
        </w:rPr>
        <w:t>以下的低山地区，</w:t>
      </w:r>
      <w:r>
        <w:rPr>
          <w:rFonts w:hint="eastAsia"/>
        </w:rPr>
        <w:t xml:space="preserve"> </w:t>
      </w:r>
      <w:r>
        <w:rPr>
          <w:rFonts w:hint="eastAsia"/>
        </w:rPr>
        <w:t>主要是栽培的马尾松林，在</w:t>
      </w:r>
      <w:r>
        <w:rPr>
          <w:rFonts w:hint="eastAsia"/>
        </w:rPr>
        <w:t xml:space="preserve"> 800~1100m</w:t>
      </w:r>
      <w:r>
        <w:rPr>
          <w:rFonts w:hint="eastAsia"/>
        </w:rPr>
        <w:t>，天然的马尾松组成纯林，评价区的森林植被主要由马尾松林构成。</w:t>
      </w:r>
    </w:p>
    <w:p w:rsidR="006175A6" w:rsidRDefault="009B4BA7">
      <w:pPr>
        <w:ind w:firstLine="480"/>
      </w:pPr>
      <w:r>
        <w:rPr>
          <w:rFonts w:hint="eastAsia"/>
        </w:rPr>
        <w:t>马尾松一般高度在</w:t>
      </w:r>
      <w:r>
        <w:rPr>
          <w:rFonts w:hint="eastAsia"/>
        </w:rPr>
        <w:t>9~12m</w:t>
      </w:r>
      <w:r>
        <w:rPr>
          <w:rFonts w:hint="eastAsia"/>
        </w:rPr>
        <w:t>，平均胸径</w:t>
      </w:r>
      <w:r>
        <w:rPr>
          <w:rFonts w:hint="eastAsia"/>
        </w:rPr>
        <w:t xml:space="preserve"> 10~14cm</w:t>
      </w:r>
      <w:r>
        <w:rPr>
          <w:rFonts w:hint="eastAsia"/>
        </w:rPr>
        <w:t>，</w:t>
      </w:r>
      <w:r>
        <w:rPr>
          <w:rFonts w:hint="eastAsia"/>
        </w:rPr>
        <w:t xml:space="preserve"> </w:t>
      </w:r>
      <w:r>
        <w:rPr>
          <w:rFonts w:hint="eastAsia"/>
        </w:rPr>
        <w:t>伴生的灌木层主要有马桑</w:t>
      </w:r>
      <w:r w:rsidR="00E97427">
        <w:rPr>
          <w:rFonts w:hint="eastAsia"/>
        </w:rPr>
        <w:t>（</w:t>
      </w:r>
      <w:r>
        <w:rPr>
          <w:rFonts w:hint="eastAsia"/>
        </w:rPr>
        <w:t>Coriaria sinica</w:t>
      </w:r>
      <w:r w:rsidR="00E97427">
        <w:rPr>
          <w:rFonts w:hint="eastAsia"/>
        </w:rPr>
        <w:t>）</w:t>
      </w:r>
      <w:r>
        <w:rPr>
          <w:rFonts w:hint="eastAsia"/>
        </w:rPr>
        <w:t xml:space="preserve"> </w:t>
      </w:r>
      <w:r>
        <w:rPr>
          <w:rFonts w:hint="eastAsia"/>
        </w:rPr>
        <w:t>、</w:t>
      </w:r>
      <w:r>
        <w:rPr>
          <w:rFonts w:hint="eastAsia"/>
        </w:rPr>
        <w:t xml:space="preserve"> </w:t>
      </w:r>
      <w:r>
        <w:rPr>
          <w:rFonts w:hint="eastAsia"/>
        </w:rPr>
        <w:t>黄</w:t>
      </w:r>
      <w:r>
        <w:rPr>
          <w:rFonts w:hint="eastAsia"/>
        </w:rPr>
        <w:t xml:space="preserve"> </w:t>
      </w:r>
      <w:r>
        <w:rPr>
          <w:rFonts w:hint="eastAsia"/>
        </w:rPr>
        <w:t>栌</w:t>
      </w:r>
      <w:r w:rsidR="00E97427">
        <w:rPr>
          <w:rFonts w:hint="eastAsia"/>
        </w:rPr>
        <w:t>（</w:t>
      </w:r>
      <w:r>
        <w:rPr>
          <w:rFonts w:hint="eastAsia"/>
        </w:rPr>
        <w:t>Cotinus coggygria var. pubescens</w:t>
      </w:r>
      <w:r w:rsidR="00E97427">
        <w:rPr>
          <w:rFonts w:hint="eastAsia"/>
        </w:rPr>
        <w:t>）</w:t>
      </w:r>
      <w:r>
        <w:rPr>
          <w:rFonts w:hint="eastAsia"/>
        </w:rPr>
        <w:t xml:space="preserve"> </w:t>
      </w:r>
      <w:r>
        <w:rPr>
          <w:rFonts w:hint="eastAsia"/>
        </w:rPr>
        <w:t>、火棘</w:t>
      </w:r>
      <w:r w:rsidR="00E97427">
        <w:rPr>
          <w:rFonts w:hint="eastAsia"/>
        </w:rPr>
        <w:t>（</w:t>
      </w:r>
      <w:r>
        <w:rPr>
          <w:rFonts w:hint="eastAsia"/>
        </w:rPr>
        <w:t xml:space="preserve">Pyracantha </w:t>
      </w:r>
      <w:r>
        <w:rPr>
          <w:rFonts w:hint="eastAsia"/>
        </w:rPr>
        <w:lastRenderedPageBreak/>
        <w:t>fortuneana</w:t>
      </w:r>
      <w:r w:rsidR="00E97427">
        <w:rPr>
          <w:rFonts w:hint="eastAsia"/>
        </w:rPr>
        <w:t>）</w:t>
      </w:r>
      <w:r>
        <w:rPr>
          <w:rFonts w:hint="eastAsia"/>
        </w:rPr>
        <w:t>等，草木层主要为五节芒</w:t>
      </w:r>
      <w:r w:rsidR="00E97427">
        <w:rPr>
          <w:rFonts w:hint="eastAsia"/>
        </w:rPr>
        <w:t>（</w:t>
      </w:r>
      <w:r>
        <w:rPr>
          <w:rFonts w:hint="eastAsia"/>
        </w:rPr>
        <w:t>Miscanthus floridulus</w:t>
      </w:r>
      <w:r w:rsidR="00E97427">
        <w:rPr>
          <w:rFonts w:hint="eastAsia"/>
        </w:rPr>
        <w:t>）</w:t>
      </w:r>
      <w:r>
        <w:rPr>
          <w:rFonts w:hint="eastAsia"/>
        </w:rPr>
        <w:t>、灯心草</w:t>
      </w:r>
      <w:r w:rsidR="00E97427">
        <w:rPr>
          <w:rFonts w:hint="eastAsia"/>
        </w:rPr>
        <w:t>（</w:t>
      </w:r>
      <w:r>
        <w:rPr>
          <w:rFonts w:hint="eastAsia"/>
        </w:rPr>
        <w:t>Juncus effusus</w:t>
      </w:r>
      <w:r w:rsidR="00E97427">
        <w:rPr>
          <w:rFonts w:hint="eastAsia"/>
        </w:rPr>
        <w:t>）</w:t>
      </w:r>
      <w:r>
        <w:rPr>
          <w:rFonts w:hint="eastAsia"/>
        </w:rPr>
        <w:t xml:space="preserve"> </w:t>
      </w:r>
      <w:r>
        <w:rPr>
          <w:rFonts w:hint="eastAsia"/>
        </w:rPr>
        <w:t>等。</w:t>
      </w:r>
    </w:p>
    <w:p w:rsidR="006175A6" w:rsidRDefault="009B4BA7">
      <w:pPr>
        <w:pStyle w:val="ae"/>
        <w:numPr>
          <w:ilvl w:val="0"/>
          <w:numId w:val="5"/>
        </w:numPr>
        <w:ind w:firstLineChars="0"/>
      </w:pPr>
      <w:r>
        <w:rPr>
          <w:rFonts w:hint="eastAsia"/>
        </w:rPr>
        <w:t>杉木林</w:t>
      </w:r>
      <w:r w:rsidR="00E97427">
        <w:rPr>
          <w:rFonts w:hint="eastAsia"/>
        </w:rPr>
        <w:t>（</w:t>
      </w:r>
      <w:r>
        <w:rPr>
          <w:rFonts w:hint="eastAsia"/>
        </w:rPr>
        <w:t>Form. Cunninghamia lanceolat</w:t>
      </w:r>
      <w:r w:rsidR="00E97427">
        <w:rPr>
          <w:rFonts w:hint="eastAsia"/>
        </w:rPr>
        <w:t>）</w:t>
      </w:r>
    </w:p>
    <w:p w:rsidR="006175A6" w:rsidRDefault="009B4BA7">
      <w:pPr>
        <w:ind w:firstLine="480"/>
      </w:pPr>
      <w:r>
        <w:rPr>
          <w:rFonts w:hint="eastAsia"/>
        </w:rPr>
        <w:t>杉木林广泛分布于亚热带的东部地区，为我国东部亚热带地区常绿针叶林的重要林分。杉木林在宜昌市夷陵区内亦有较大的面积分布，大多数为人工林，主要分布在海拔</w:t>
      </w:r>
      <w:r>
        <w:rPr>
          <w:rFonts w:hint="eastAsia"/>
        </w:rPr>
        <w:t xml:space="preserve"> 1000m </w:t>
      </w:r>
      <w:r>
        <w:rPr>
          <w:rFonts w:hint="eastAsia"/>
        </w:rPr>
        <w:t>以下，以阴坡或半阳坡为主，在山坡中部和近上部，土层深厚且排水良好的地方，杉木林生长良好。杉木林树冠塔形，群落外貌深绿、整齐、单一。</w:t>
      </w:r>
    </w:p>
    <w:p w:rsidR="006175A6" w:rsidRDefault="009B4BA7">
      <w:pPr>
        <w:ind w:firstLine="480"/>
      </w:pPr>
      <w:r>
        <w:rPr>
          <w:rFonts w:hint="eastAsia"/>
        </w:rPr>
        <w:t>乔木层以杉木为单一优势种，基本无伴生种存在。杉木的平均树高</w:t>
      </w:r>
      <w:r>
        <w:rPr>
          <w:rFonts w:hint="eastAsia"/>
        </w:rPr>
        <w:t xml:space="preserve"> 8~12m</w:t>
      </w:r>
      <w:r>
        <w:rPr>
          <w:rFonts w:hint="eastAsia"/>
        </w:rPr>
        <w:t>，胸径</w:t>
      </w:r>
      <w:r>
        <w:rPr>
          <w:rFonts w:hint="eastAsia"/>
        </w:rPr>
        <w:t xml:space="preserve"> 10~15cm</w:t>
      </w:r>
      <w:r>
        <w:rPr>
          <w:rFonts w:hint="eastAsia"/>
        </w:rPr>
        <w:t>，郁闭度达</w:t>
      </w:r>
      <w:r>
        <w:rPr>
          <w:rFonts w:hint="eastAsia"/>
        </w:rPr>
        <w:t xml:space="preserve"> 65~75%</w:t>
      </w:r>
      <w:r>
        <w:rPr>
          <w:rFonts w:hint="eastAsia"/>
        </w:rPr>
        <w:t>。灌木层种类较多，但优势种不明显，盖度</w:t>
      </w:r>
      <w:r>
        <w:rPr>
          <w:rFonts w:hint="eastAsia"/>
        </w:rPr>
        <w:t xml:space="preserve"> 30%</w:t>
      </w:r>
      <w:r>
        <w:rPr>
          <w:rFonts w:hint="eastAsia"/>
        </w:rPr>
        <w:t>。檵木</w:t>
      </w:r>
      <w:r w:rsidR="00E97427">
        <w:rPr>
          <w:rFonts w:hint="eastAsia"/>
        </w:rPr>
        <w:t>（</w:t>
      </w:r>
      <w:r>
        <w:rPr>
          <w:rFonts w:hint="eastAsia"/>
        </w:rPr>
        <w:t>Loropetalum chinense</w:t>
      </w:r>
      <w:r w:rsidR="00E97427">
        <w:rPr>
          <w:rFonts w:hint="eastAsia"/>
        </w:rPr>
        <w:t>）</w:t>
      </w:r>
      <w:r>
        <w:rPr>
          <w:rFonts w:hint="eastAsia"/>
        </w:rPr>
        <w:t>、柃木</w:t>
      </w:r>
      <w:r w:rsidR="00E97427">
        <w:rPr>
          <w:rFonts w:hint="eastAsia"/>
        </w:rPr>
        <w:t>（</w:t>
      </w:r>
      <w:r>
        <w:rPr>
          <w:rFonts w:hint="eastAsia"/>
        </w:rPr>
        <w:t>Eurya stenophylla</w:t>
      </w:r>
      <w:r w:rsidR="00E97427">
        <w:rPr>
          <w:rFonts w:hint="eastAsia"/>
        </w:rPr>
        <w:t>）</w:t>
      </w:r>
      <w:r>
        <w:rPr>
          <w:rFonts w:hint="eastAsia"/>
        </w:rPr>
        <w:t>、马桑、全缘火棘</w:t>
      </w:r>
      <w:r w:rsidR="00E97427">
        <w:rPr>
          <w:rFonts w:hint="eastAsia"/>
        </w:rPr>
        <w:t>（</w:t>
      </w:r>
      <w:r>
        <w:rPr>
          <w:rFonts w:hint="eastAsia"/>
        </w:rPr>
        <w:t>Pyracantha atalantioides</w:t>
      </w:r>
      <w:r w:rsidR="00E97427">
        <w:rPr>
          <w:rFonts w:hint="eastAsia"/>
        </w:rPr>
        <w:t>）</w:t>
      </w:r>
      <w:r>
        <w:rPr>
          <w:rFonts w:hint="eastAsia"/>
        </w:rPr>
        <w:t>、小果蔷薇、缫丝花</w:t>
      </w:r>
      <w:r w:rsidR="00E97427">
        <w:rPr>
          <w:rFonts w:hint="eastAsia"/>
        </w:rPr>
        <w:t>（</w:t>
      </w:r>
      <w:r>
        <w:rPr>
          <w:rFonts w:hint="eastAsia"/>
        </w:rPr>
        <w:t>Rosa roxburghii</w:t>
      </w:r>
      <w:r w:rsidR="00E97427">
        <w:rPr>
          <w:rFonts w:hint="eastAsia"/>
        </w:rPr>
        <w:t>）</w:t>
      </w:r>
      <w:r>
        <w:rPr>
          <w:rFonts w:hint="eastAsia"/>
        </w:rPr>
        <w:t>、小叶石楠</w:t>
      </w:r>
      <w:r w:rsidR="00E97427">
        <w:rPr>
          <w:rFonts w:hint="eastAsia"/>
        </w:rPr>
        <w:t>（</w:t>
      </w:r>
      <w:r>
        <w:rPr>
          <w:rFonts w:hint="eastAsia"/>
        </w:rPr>
        <w:t>Photinia parvifolia</w:t>
      </w:r>
      <w:r w:rsidR="00E97427">
        <w:rPr>
          <w:rFonts w:hint="eastAsia"/>
        </w:rPr>
        <w:t>）</w:t>
      </w:r>
      <w:r>
        <w:rPr>
          <w:rFonts w:hint="eastAsia"/>
        </w:rPr>
        <w:t>、球</w:t>
      </w:r>
      <w:r>
        <w:rPr>
          <w:rFonts w:hint="eastAsia"/>
        </w:rPr>
        <w:t xml:space="preserve"> </w:t>
      </w:r>
      <w:r>
        <w:rPr>
          <w:rFonts w:hint="eastAsia"/>
        </w:rPr>
        <w:t>核</w:t>
      </w:r>
      <w:r>
        <w:rPr>
          <w:rFonts w:hint="eastAsia"/>
        </w:rPr>
        <w:t xml:space="preserve"> </w:t>
      </w:r>
      <w:r>
        <w:rPr>
          <w:rFonts w:hint="eastAsia"/>
        </w:rPr>
        <w:t>荚</w:t>
      </w:r>
      <w:r>
        <w:rPr>
          <w:rFonts w:hint="eastAsia"/>
        </w:rPr>
        <w:t xml:space="preserve"> </w:t>
      </w:r>
      <w:r>
        <w:rPr>
          <w:rFonts w:hint="eastAsia"/>
        </w:rPr>
        <w:t>蒾</w:t>
      </w:r>
      <w:r>
        <w:rPr>
          <w:rFonts w:hint="eastAsia"/>
        </w:rPr>
        <w:t xml:space="preserve"> </w:t>
      </w:r>
      <w:r w:rsidR="00E97427">
        <w:rPr>
          <w:rFonts w:hint="eastAsia"/>
        </w:rPr>
        <w:t>（</w:t>
      </w:r>
      <w:r>
        <w:rPr>
          <w:rFonts w:hint="eastAsia"/>
        </w:rPr>
        <w:t>Viburnum propinquam</w:t>
      </w:r>
      <w:r w:rsidR="00E97427">
        <w:rPr>
          <w:rFonts w:hint="eastAsia"/>
        </w:rPr>
        <w:t>）</w:t>
      </w:r>
      <w:r>
        <w:rPr>
          <w:rFonts w:hint="eastAsia"/>
        </w:rPr>
        <w:t xml:space="preserve"> </w:t>
      </w:r>
      <w:r>
        <w:rPr>
          <w:rFonts w:hint="eastAsia"/>
        </w:rPr>
        <w:t>、</w:t>
      </w:r>
      <w:r>
        <w:rPr>
          <w:rFonts w:hint="eastAsia"/>
        </w:rPr>
        <w:t xml:space="preserve"> </w:t>
      </w:r>
      <w:r>
        <w:rPr>
          <w:rFonts w:hint="eastAsia"/>
        </w:rPr>
        <w:t>映</w:t>
      </w:r>
      <w:r>
        <w:rPr>
          <w:rFonts w:hint="eastAsia"/>
        </w:rPr>
        <w:t xml:space="preserve"> </w:t>
      </w:r>
      <w:r>
        <w:rPr>
          <w:rFonts w:hint="eastAsia"/>
        </w:rPr>
        <w:t>山</w:t>
      </w:r>
      <w:r>
        <w:rPr>
          <w:rFonts w:hint="eastAsia"/>
        </w:rPr>
        <w:t xml:space="preserve"> </w:t>
      </w:r>
      <w:r>
        <w:rPr>
          <w:rFonts w:hint="eastAsia"/>
        </w:rPr>
        <w:t>红</w:t>
      </w:r>
      <w:r>
        <w:rPr>
          <w:rFonts w:hint="eastAsia"/>
        </w:rPr>
        <w:t xml:space="preserve"> </w:t>
      </w:r>
      <w:r w:rsidR="00E97427">
        <w:rPr>
          <w:rFonts w:hint="eastAsia"/>
        </w:rPr>
        <w:t>（</w:t>
      </w:r>
      <w:r>
        <w:rPr>
          <w:rFonts w:hint="eastAsia"/>
        </w:rPr>
        <w:t>Rhododendron simsii</w:t>
      </w:r>
      <w:r w:rsidR="00E97427">
        <w:rPr>
          <w:rFonts w:hint="eastAsia"/>
        </w:rPr>
        <w:t>）</w:t>
      </w:r>
      <w:r>
        <w:rPr>
          <w:rFonts w:hint="eastAsia"/>
        </w:rPr>
        <w:t xml:space="preserve"> </w:t>
      </w:r>
      <w:r>
        <w:rPr>
          <w:rFonts w:hint="eastAsia"/>
        </w:rPr>
        <w:t>、</w:t>
      </w:r>
      <w:r>
        <w:rPr>
          <w:rFonts w:hint="eastAsia"/>
        </w:rPr>
        <w:t xml:space="preserve"> </w:t>
      </w:r>
      <w:r>
        <w:rPr>
          <w:rFonts w:hint="eastAsia"/>
        </w:rPr>
        <w:t>竹</w:t>
      </w:r>
      <w:r>
        <w:rPr>
          <w:rFonts w:hint="eastAsia"/>
        </w:rPr>
        <w:t xml:space="preserve"> </w:t>
      </w:r>
      <w:r>
        <w:rPr>
          <w:rFonts w:hint="eastAsia"/>
        </w:rPr>
        <w:t>叶</w:t>
      </w:r>
      <w:r>
        <w:rPr>
          <w:rFonts w:hint="eastAsia"/>
        </w:rPr>
        <w:t xml:space="preserve"> </w:t>
      </w:r>
      <w:r>
        <w:rPr>
          <w:rFonts w:hint="eastAsia"/>
        </w:rPr>
        <w:t>花</w:t>
      </w:r>
      <w:r>
        <w:rPr>
          <w:rFonts w:hint="eastAsia"/>
        </w:rPr>
        <w:t xml:space="preserve"> </w:t>
      </w:r>
      <w:r>
        <w:rPr>
          <w:rFonts w:hint="eastAsia"/>
        </w:rPr>
        <w:t>椒</w:t>
      </w:r>
      <w:r w:rsidR="00E97427">
        <w:rPr>
          <w:rFonts w:hint="eastAsia"/>
        </w:rPr>
        <w:t>（</w:t>
      </w:r>
      <w:r>
        <w:rPr>
          <w:rFonts w:hint="eastAsia"/>
        </w:rPr>
        <w:t>Zanthoxylum armatum</w:t>
      </w:r>
      <w:r w:rsidR="00E97427">
        <w:rPr>
          <w:rFonts w:hint="eastAsia"/>
        </w:rPr>
        <w:t>）</w:t>
      </w:r>
      <w:r>
        <w:rPr>
          <w:rFonts w:hint="eastAsia"/>
        </w:rPr>
        <w:t>、山莓</w:t>
      </w:r>
      <w:r w:rsidR="00E97427">
        <w:rPr>
          <w:rFonts w:hint="eastAsia"/>
        </w:rPr>
        <w:t>（</w:t>
      </w:r>
      <w:r>
        <w:rPr>
          <w:rFonts w:hint="eastAsia"/>
        </w:rPr>
        <w:t>Rubus corchorifolius</w:t>
      </w:r>
      <w:r w:rsidR="00E97427">
        <w:rPr>
          <w:rFonts w:hint="eastAsia"/>
        </w:rPr>
        <w:t>）</w:t>
      </w:r>
      <w:r>
        <w:rPr>
          <w:rFonts w:hint="eastAsia"/>
        </w:rPr>
        <w:t>和灰白毛莓</w:t>
      </w:r>
      <w:r w:rsidR="00E97427">
        <w:rPr>
          <w:rFonts w:hint="eastAsia"/>
        </w:rPr>
        <w:t>（</w:t>
      </w:r>
      <w:r>
        <w:rPr>
          <w:rFonts w:hint="eastAsia"/>
        </w:rPr>
        <w:t>Rubus tephuodes</w:t>
      </w:r>
      <w:r w:rsidR="00E97427">
        <w:rPr>
          <w:rFonts w:hint="eastAsia"/>
        </w:rPr>
        <w:t>）</w:t>
      </w:r>
      <w:r>
        <w:rPr>
          <w:rFonts w:hint="eastAsia"/>
        </w:rPr>
        <w:t>等。草本层较发达，</w:t>
      </w:r>
      <w:r>
        <w:rPr>
          <w:rFonts w:hint="eastAsia"/>
        </w:rPr>
        <w:t xml:space="preserve"> </w:t>
      </w:r>
      <w:r>
        <w:rPr>
          <w:rFonts w:hint="eastAsia"/>
        </w:rPr>
        <w:t>盖度达</w:t>
      </w:r>
      <w:r>
        <w:rPr>
          <w:rFonts w:hint="eastAsia"/>
        </w:rPr>
        <w:t xml:space="preserve"> 40%</w:t>
      </w:r>
      <w:r>
        <w:rPr>
          <w:rFonts w:hint="eastAsia"/>
        </w:rPr>
        <w:t>。种类有芒、五节芒</w:t>
      </w:r>
      <w:r w:rsidR="00E97427">
        <w:rPr>
          <w:rFonts w:hint="eastAsia"/>
        </w:rPr>
        <w:t>（</w:t>
      </w:r>
      <w:r>
        <w:rPr>
          <w:rFonts w:hint="eastAsia"/>
        </w:rPr>
        <w:t>Miscanthus floridulus</w:t>
      </w:r>
      <w:r w:rsidR="00E97427">
        <w:rPr>
          <w:rFonts w:hint="eastAsia"/>
        </w:rPr>
        <w:t>）</w:t>
      </w:r>
      <w:r>
        <w:rPr>
          <w:rFonts w:hint="eastAsia"/>
        </w:rPr>
        <w:t xml:space="preserve"> </w:t>
      </w:r>
      <w:r>
        <w:rPr>
          <w:rFonts w:hint="eastAsia"/>
        </w:rPr>
        <w:t>、白茅</w:t>
      </w:r>
      <w:r w:rsidR="00E97427">
        <w:rPr>
          <w:rFonts w:hint="eastAsia"/>
        </w:rPr>
        <w:t>（</w:t>
      </w:r>
      <w:r>
        <w:rPr>
          <w:rFonts w:hint="eastAsia"/>
        </w:rPr>
        <w:t>Imapterata cylindrica</w:t>
      </w:r>
      <w:r w:rsidR="00E97427">
        <w:rPr>
          <w:rFonts w:hint="eastAsia"/>
        </w:rPr>
        <w:t>）</w:t>
      </w:r>
      <w:r>
        <w:rPr>
          <w:rFonts w:hint="eastAsia"/>
        </w:rPr>
        <w:t>、芒萁、蕨</w:t>
      </w:r>
      <w:r w:rsidR="00E97427">
        <w:rPr>
          <w:rFonts w:hint="eastAsia"/>
        </w:rPr>
        <w:t>（</w:t>
      </w:r>
      <w:r>
        <w:rPr>
          <w:rFonts w:hint="eastAsia"/>
        </w:rPr>
        <w:t>Pteridium aquilinum var.latiusculum</w:t>
      </w:r>
      <w:r w:rsidR="00E97427">
        <w:rPr>
          <w:rFonts w:hint="eastAsia"/>
        </w:rPr>
        <w:t>）</w:t>
      </w:r>
      <w:r>
        <w:rPr>
          <w:rFonts w:hint="eastAsia"/>
        </w:rPr>
        <w:t>等。</w:t>
      </w:r>
    </w:p>
    <w:p w:rsidR="006175A6" w:rsidRDefault="009B4BA7">
      <w:pPr>
        <w:pStyle w:val="ae"/>
        <w:numPr>
          <w:ilvl w:val="0"/>
          <w:numId w:val="5"/>
        </w:numPr>
        <w:ind w:firstLineChars="0"/>
      </w:pPr>
      <w:r>
        <w:rPr>
          <w:rFonts w:hint="eastAsia"/>
        </w:rPr>
        <w:t>栓皮栎</w:t>
      </w:r>
      <w:r w:rsidR="00E97427">
        <w:rPr>
          <w:rFonts w:hint="eastAsia"/>
        </w:rPr>
        <w:t>（</w:t>
      </w:r>
      <w:r>
        <w:rPr>
          <w:rFonts w:hint="eastAsia"/>
        </w:rPr>
        <w:t>Form. Quercus variabilis</w:t>
      </w:r>
      <w:r w:rsidR="00E97427">
        <w:rPr>
          <w:rFonts w:hint="eastAsia"/>
        </w:rPr>
        <w:t>）</w:t>
      </w:r>
    </w:p>
    <w:p w:rsidR="006175A6" w:rsidRDefault="009B4BA7">
      <w:pPr>
        <w:ind w:firstLine="480"/>
      </w:pPr>
      <w:r>
        <w:rPr>
          <w:rFonts w:hint="eastAsia"/>
        </w:rPr>
        <w:t>该群落是夷陵区低山丘陵林地的主要成分，在全县海拔</w:t>
      </w:r>
      <w:r>
        <w:rPr>
          <w:rFonts w:hint="eastAsia"/>
        </w:rPr>
        <w:t xml:space="preserve"> 1500 </w:t>
      </w:r>
      <w:r>
        <w:rPr>
          <w:rFonts w:hint="eastAsia"/>
        </w:rPr>
        <w:t>以下都有分布。常与马尾松、枫香等树种混交伴生。乔木以栓皮栎为优势种，平均树高</w:t>
      </w:r>
      <w:r>
        <w:rPr>
          <w:rFonts w:hint="eastAsia"/>
        </w:rPr>
        <w:t xml:space="preserve"> 8~10m</w:t>
      </w:r>
      <w:r>
        <w:rPr>
          <w:rFonts w:hint="eastAsia"/>
        </w:rPr>
        <w:t>，郁闭度</w:t>
      </w:r>
      <w:r>
        <w:rPr>
          <w:rFonts w:hint="eastAsia"/>
        </w:rPr>
        <w:t xml:space="preserve"> 80% </w:t>
      </w:r>
      <w:r>
        <w:rPr>
          <w:rFonts w:hint="eastAsia"/>
        </w:rPr>
        <w:t>，</w:t>
      </w:r>
      <w:r>
        <w:rPr>
          <w:rFonts w:hint="eastAsia"/>
        </w:rPr>
        <w:t xml:space="preserve"> </w:t>
      </w:r>
      <w:r>
        <w:rPr>
          <w:rFonts w:hint="eastAsia"/>
        </w:rPr>
        <w:t>混生少量的马尾松</w:t>
      </w:r>
      <w:r w:rsidR="00E97427">
        <w:rPr>
          <w:rFonts w:hint="eastAsia"/>
        </w:rPr>
        <w:t>（</w:t>
      </w:r>
      <w:r>
        <w:rPr>
          <w:rFonts w:hint="eastAsia"/>
        </w:rPr>
        <w:t>Pinus massoniana</w:t>
      </w:r>
      <w:r w:rsidR="00E97427">
        <w:rPr>
          <w:rFonts w:hint="eastAsia"/>
        </w:rPr>
        <w:t>）</w:t>
      </w:r>
      <w:r>
        <w:rPr>
          <w:rFonts w:hint="eastAsia"/>
        </w:rPr>
        <w:t xml:space="preserve"> </w:t>
      </w:r>
      <w:r>
        <w:rPr>
          <w:rFonts w:hint="eastAsia"/>
        </w:rPr>
        <w:t>、</w:t>
      </w:r>
      <w:r>
        <w:rPr>
          <w:rFonts w:hint="eastAsia"/>
        </w:rPr>
        <w:t xml:space="preserve"> </w:t>
      </w:r>
      <w:r>
        <w:rPr>
          <w:rFonts w:hint="eastAsia"/>
        </w:rPr>
        <w:t>刺槐、</w:t>
      </w:r>
      <w:r>
        <w:rPr>
          <w:rFonts w:hint="eastAsia"/>
        </w:rPr>
        <w:t xml:space="preserve"> </w:t>
      </w:r>
      <w:r>
        <w:rPr>
          <w:rFonts w:hint="eastAsia"/>
        </w:rPr>
        <w:t>枫香</w:t>
      </w:r>
      <w:r w:rsidR="00E97427">
        <w:rPr>
          <w:rFonts w:hint="eastAsia"/>
        </w:rPr>
        <w:t>（</w:t>
      </w:r>
      <w:r>
        <w:rPr>
          <w:rFonts w:hint="eastAsia"/>
        </w:rPr>
        <w:t>Liquidambar formosana</w:t>
      </w:r>
      <w:r w:rsidR="00E97427">
        <w:rPr>
          <w:rFonts w:hint="eastAsia"/>
        </w:rPr>
        <w:t>）</w:t>
      </w:r>
      <w:r>
        <w:rPr>
          <w:rFonts w:hint="eastAsia"/>
        </w:rPr>
        <w:t>、化香</w:t>
      </w:r>
      <w:r w:rsidR="00E97427">
        <w:rPr>
          <w:rFonts w:hint="eastAsia"/>
        </w:rPr>
        <w:t>（</w:t>
      </w:r>
      <w:r>
        <w:rPr>
          <w:rFonts w:hint="eastAsia"/>
        </w:rPr>
        <w:t>Platycarya strobilacea</w:t>
      </w:r>
      <w:r w:rsidR="00E97427">
        <w:rPr>
          <w:rFonts w:hint="eastAsia"/>
        </w:rPr>
        <w:t>）</w:t>
      </w:r>
      <w:r>
        <w:rPr>
          <w:rFonts w:hint="eastAsia"/>
        </w:rPr>
        <w:t>、山合欢</w:t>
      </w:r>
      <w:r w:rsidR="00E97427">
        <w:rPr>
          <w:rFonts w:hint="eastAsia"/>
        </w:rPr>
        <w:t>（</w:t>
      </w:r>
      <w:r>
        <w:rPr>
          <w:rFonts w:hint="eastAsia"/>
        </w:rPr>
        <w:t>Albizia kalkora</w:t>
      </w:r>
      <w:r w:rsidR="00E97427">
        <w:rPr>
          <w:rFonts w:hint="eastAsia"/>
        </w:rPr>
        <w:t>）</w:t>
      </w:r>
      <w:r>
        <w:rPr>
          <w:rFonts w:hint="eastAsia"/>
        </w:rPr>
        <w:t>等。灌木层盖度为</w:t>
      </w:r>
      <w:r>
        <w:rPr>
          <w:rFonts w:hint="eastAsia"/>
        </w:rPr>
        <w:t>60%</w:t>
      </w:r>
      <w:r>
        <w:rPr>
          <w:rFonts w:hint="eastAsia"/>
        </w:rPr>
        <w:t>左右，以樟树幼苗、牡荆</w:t>
      </w:r>
      <w:r w:rsidR="00E97427">
        <w:rPr>
          <w:rFonts w:hint="eastAsia"/>
        </w:rPr>
        <w:t>（</w:t>
      </w:r>
      <w:r>
        <w:rPr>
          <w:rFonts w:hint="eastAsia"/>
        </w:rPr>
        <w:t>Vitex negundo</w:t>
      </w:r>
      <w:r w:rsidR="00E97427">
        <w:rPr>
          <w:rFonts w:hint="eastAsia"/>
        </w:rPr>
        <w:t>）</w:t>
      </w:r>
      <w:r>
        <w:rPr>
          <w:rFonts w:hint="eastAsia"/>
        </w:rPr>
        <w:t>、美丽胡枝子</w:t>
      </w:r>
      <w:r w:rsidR="00E97427">
        <w:rPr>
          <w:rFonts w:hint="eastAsia"/>
        </w:rPr>
        <w:t>（</w:t>
      </w:r>
      <w:r>
        <w:rPr>
          <w:rFonts w:hint="eastAsia"/>
        </w:rPr>
        <w:t>Lespedeza formosa</w:t>
      </w:r>
      <w:r w:rsidR="00E97427">
        <w:rPr>
          <w:rFonts w:hint="eastAsia"/>
        </w:rPr>
        <w:t>）</w:t>
      </w:r>
      <w:r>
        <w:rPr>
          <w:rFonts w:hint="eastAsia"/>
        </w:rPr>
        <w:t>为优势种，伴生种有菱叶海桐</w:t>
      </w:r>
      <w:r w:rsidR="00E97427">
        <w:rPr>
          <w:rFonts w:hint="eastAsia"/>
        </w:rPr>
        <w:t>（</w:t>
      </w:r>
      <w:r>
        <w:rPr>
          <w:rFonts w:hint="eastAsia"/>
        </w:rPr>
        <w:t>Pittosporum truncatum</w:t>
      </w:r>
      <w:r w:rsidR="00E97427">
        <w:rPr>
          <w:rFonts w:hint="eastAsia"/>
        </w:rPr>
        <w:t>）</w:t>
      </w:r>
      <w:r>
        <w:rPr>
          <w:rFonts w:hint="eastAsia"/>
        </w:rPr>
        <w:t>、黄栀子</w:t>
      </w:r>
      <w:r w:rsidR="00E97427">
        <w:rPr>
          <w:rFonts w:hint="eastAsia"/>
        </w:rPr>
        <w:t>（</w:t>
      </w:r>
      <w:r>
        <w:rPr>
          <w:rFonts w:hint="eastAsia"/>
        </w:rPr>
        <w:t>Gardenia jasminoides</w:t>
      </w:r>
      <w:r w:rsidR="00E97427">
        <w:rPr>
          <w:rFonts w:hint="eastAsia"/>
        </w:rPr>
        <w:t>）</w:t>
      </w:r>
      <w:r>
        <w:rPr>
          <w:rFonts w:hint="eastAsia"/>
        </w:rPr>
        <w:t>、小叶石楠、小果蔷薇、乌饭树</w:t>
      </w:r>
      <w:r w:rsidR="00E97427">
        <w:rPr>
          <w:rFonts w:hint="eastAsia"/>
        </w:rPr>
        <w:t>（</w:t>
      </w:r>
      <w:r>
        <w:rPr>
          <w:rFonts w:hint="eastAsia"/>
        </w:rPr>
        <w:t>Vaccinium bracteatum</w:t>
      </w:r>
      <w:r w:rsidR="00E97427">
        <w:rPr>
          <w:rFonts w:hint="eastAsia"/>
        </w:rPr>
        <w:t>）</w:t>
      </w:r>
      <w:r>
        <w:rPr>
          <w:rFonts w:hint="eastAsia"/>
        </w:rPr>
        <w:t xml:space="preserve"> </w:t>
      </w:r>
      <w:r>
        <w:rPr>
          <w:rFonts w:hint="eastAsia"/>
        </w:rPr>
        <w:t>等。草本层有苔草</w:t>
      </w:r>
      <w:r w:rsidR="00E97427">
        <w:rPr>
          <w:rFonts w:hint="eastAsia"/>
        </w:rPr>
        <w:t>（</w:t>
      </w:r>
      <w:r>
        <w:rPr>
          <w:rFonts w:hint="eastAsia"/>
        </w:rPr>
        <w:t>Carex doniana</w:t>
      </w:r>
      <w:r w:rsidR="00E97427">
        <w:rPr>
          <w:rFonts w:hint="eastAsia"/>
        </w:rPr>
        <w:t>）</w:t>
      </w:r>
      <w:r>
        <w:rPr>
          <w:rFonts w:hint="eastAsia"/>
        </w:rPr>
        <w:t xml:space="preserve"> </w:t>
      </w:r>
      <w:r>
        <w:rPr>
          <w:rFonts w:hint="eastAsia"/>
        </w:rPr>
        <w:t>、三脉马兰</w:t>
      </w:r>
      <w:r w:rsidR="00E97427">
        <w:rPr>
          <w:rFonts w:hint="eastAsia"/>
        </w:rPr>
        <w:t>（</w:t>
      </w:r>
      <w:r>
        <w:rPr>
          <w:rFonts w:hint="eastAsia"/>
        </w:rPr>
        <w:t>Kalimeris ageratoides</w:t>
      </w:r>
      <w:r w:rsidR="00E97427">
        <w:rPr>
          <w:rFonts w:hint="eastAsia"/>
        </w:rPr>
        <w:t>）</w:t>
      </w:r>
      <w:r>
        <w:rPr>
          <w:rFonts w:hint="eastAsia"/>
        </w:rPr>
        <w:t xml:space="preserve"> </w:t>
      </w:r>
      <w:r>
        <w:rPr>
          <w:rFonts w:hint="eastAsia"/>
        </w:rPr>
        <w:t>、乌蕨</w:t>
      </w:r>
      <w:r w:rsidR="00E97427">
        <w:rPr>
          <w:rFonts w:hint="eastAsia"/>
        </w:rPr>
        <w:t>（</w:t>
      </w:r>
      <w:r>
        <w:rPr>
          <w:rFonts w:hint="eastAsia"/>
        </w:rPr>
        <w:t>Stenoloma chusanum</w:t>
      </w:r>
      <w:r w:rsidR="00E97427">
        <w:rPr>
          <w:rFonts w:hint="eastAsia"/>
        </w:rPr>
        <w:t>）</w:t>
      </w:r>
      <w:r>
        <w:rPr>
          <w:rFonts w:hint="eastAsia"/>
        </w:rPr>
        <w:t xml:space="preserve"> </w:t>
      </w:r>
      <w:r>
        <w:rPr>
          <w:rFonts w:hint="eastAsia"/>
        </w:rPr>
        <w:t>、秋牡丹</w:t>
      </w:r>
      <w:r w:rsidR="00E97427">
        <w:rPr>
          <w:rFonts w:hint="eastAsia"/>
        </w:rPr>
        <w:t>（</w:t>
      </w:r>
      <w:r>
        <w:rPr>
          <w:rFonts w:hint="eastAsia"/>
        </w:rPr>
        <w:t>Anemone hupehensis lem. var .japonica</w:t>
      </w:r>
      <w:r w:rsidR="00E97427">
        <w:rPr>
          <w:rFonts w:hint="eastAsia"/>
        </w:rPr>
        <w:t>）</w:t>
      </w:r>
      <w:r>
        <w:rPr>
          <w:rFonts w:hint="eastAsia"/>
        </w:rPr>
        <w:t xml:space="preserve"> </w:t>
      </w:r>
      <w:r>
        <w:rPr>
          <w:rFonts w:hint="eastAsia"/>
        </w:rPr>
        <w:t>、黄精</w:t>
      </w:r>
      <w:r w:rsidR="00E97427">
        <w:rPr>
          <w:rFonts w:hint="eastAsia"/>
        </w:rPr>
        <w:t>（</w:t>
      </w:r>
      <w:r>
        <w:rPr>
          <w:rFonts w:hint="eastAsia"/>
        </w:rPr>
        <w:t>Polygonatum sibiricum</w:t>
      </w:r>
      <w:r w:rsidR="00E97427">
        <w:rPr>
          <w:rFonts w:hint="eastAsia"/>
        </w:rPr>
        <w:t>）</w:t>
      </w:r>
      <w:r>
        <w:rPr>
          <w:rFonts w:hint="eastAsia"/>
        </w:rPr>
        <w:t xml:space="preserve"> </w:t>
      </w:r>
      <w:r>
        <w:rPr>
          <w:rFonts w:hint="eastAsia"/>
        </w:rPr>
        <w:t>、江南星蕨</w:t>
      </w:r>
      <w:r w:rsidR="00E97427">
        <w:rPr>
          <w:rFonts w:hint="eastAsia"/>
        </w:rPr>
        <w:t>（</w:t>
      </w:r>
      <w:r>
        <w:rPr>
          <w:rFonts w:hint="eastAsia"/>
        </w:rPr>
        <w:t>Microsorium fortunei</w:t>
      </w:r>
      <w:r w:rsidR="00E97427">
        <w:rPr>
          <w:rFonts w:hint="eastAsia"/>
        </w:rPr>
        <w:t>）</w:t>
      </w:r>
      <w:r>
        <w:rPr>
          <w:rFonts w:hint="eastAsia"/>
        </w:rPr>
        <w:t>等。</w:t>
      </w:r>
    </w:p>
    <w:p w:rsidR="006175A6" w:rsidRDefault="009B4BA7">
      <w:pPr>
        <w:pStyle w:val="ae"/>
        <w:numPr>
          <w:ilvl w:val="0"/>
          <w:numId w:val="5"/>
        </w:numPr>
        <w:ind w:firstLineChars="0"/>
      </w:pPr>
      <w:r>
        <w:rPr>
          <w:rFonts w:hint="eastAsia"/>
        </w:rPr>
        <w:lastRenderedPageBreak/>
        <w:t>马桑灌丛</w:t>
      </w:r>
      <w:r w:rsidR="00E97427">
        <w:rPr>
          <w:rFonts w:hint="eastAsia"/>
        </w:rPr>
        <w:t>（</w:t>
      </w:r>
      <w:r>
        <w:rPr>
          <w:rFonts w:hint="eastAsia"/>
        </w:rPr>
        <w:t>Form. Coriaria sinica</w:t>
      </w:r>
      <w:r w:rsidR="00E97427">
        <w:rPr>
          <w:rFonts w:hint="eastAsia"/>
        </w:rPr>
        <w:t>）</w:t>
      </w:r>
    </w:p>
    <w:p w:rsidR="006175A6" w:rsidRDefault="009B4BA7">
      <w:pPr>
        <w:ind w:firstLine="480"/>
      </w:pPr>
      <w:r>
        <w:rPr>
          <w:rFonts w:hint="eastAsia"/>
        </w:rPr>
        <w:t>马尾松、栓皮栎等被砍伐后，演替而成的灌木类型。马桑灌丛多分布在半阴坡或半阳坡，坡度多在</w:t>
      </w:r>
      <w:r>
        <w:rPr>
          <w:rFonts w:hint="eastAsia"/>
        </w:rPr>
        <w:t xml:space="preserve"> 30~50</w:t>
      </w:r>
      <w:r>
        <w:rPr>
          <w:rFonts w:hint="eastAsia"/>
        </w:rPr>
        <w:t>°，分布较多，在较潮湿的地段长势良好，伴生种有火棘，呈簇状生长，盐肤木常混生其间，草本植物常见有白茅、打破碗花花等。</w:t>
      </w:r>
    </w:p>
    <w:p w:rsidR="006175A6" w:rsidRDefault="009B4BA7">
      <w:pPr>
        <w:pStyle w:val="ae"/>
        <w:numPr>
          <w:ilvl w:val="0"/>
          <w:numId w:val="5"/>
        </w:numPr>
        <w:ind w:firstLineChars="0"/>
      </w:pPr>
      <w:r>
        <w:rPr>
          <w:rFonts w:hint="eastAsia"/>
          <w:szCs w:val="24"/>
        </w:rPr>
        <w:t>黄栌灌丛</w:t>
      </w:r>
      <w:r w:rsidR="00E97427">
        <w:rPr>
          <w:szCs w:val="24"/>
        </w:rPr>
        <w:t>（</w:t>
      </w:r>
      <w:r>
        <w:rPr>
          <w:i/>
          <w:szCs w:val="24"/>
        </w:rPr>
        <w:t>Form. Cotinus coggygria var.pubescens</w:t>
      </w:r>
      <w:r w:rsidR="00E97427">
        <w:rPr>
          <w:szCs w:val="24"/>
        </w:rPr>
        <w:t>）</w:t>
      </w:r>
    </w:p>
    <w:p w:rsidR="006175A6" w:rsidRDefault="009B4BA7">
      <w:pPr>
        <w:ind w:firstLine="480"/>
      </w:pPr>
      <w:r>
        <w:rPr>
          <w:rFonts w:hint="eastAsia"/>
        </w:rPr>
        <w:t>该灌丛主要分布在马尾松或栓皮栎林下，或在石灰岩地段上成块状生长。灌木层的盖度为</w:t>
      </w:r>
      <w:r>
        <w:rPr>
          <w:rFonts w:hint="eastAsia"/>
        </w:rPr>
        <w:t xml:space="preserve"> 80%</w:t>
      </w:r>
      <w:r>
        <w:rPr>
          <w:rFonts w:hint="eastAsia"/>
        </w:rPr>
        <w:t>，以黄栌为优势种，伴生有小叶女贞</w:t>
      </w:r>
      <w:r w:rsidR="00E97427">
        <w:rPr>
          <w:rFonts w:hint="eastAsia"/>
        </w:rPr>
        <w:t>（</w:t>
      </w:r>
      <w:r>
        <w:rPr>
          <w:rFonts w:hint="eastAsia"/>
        </w:rPr>
        <w:t>Ligustrum quihoui</w:t>
      </w:r>
      <w:r w:rsidR="00E97427">
        <w:rPr>
          <w:rFonts w:hint="eastAsia"/>
        </w:rPr>
        <w:t>）</w:t>
      </w:r>
      <w:r>
        <w:rPr>
          <w:rFonts w:hint="eastAsia"/>
        </w:rPr>
        <w:t>、盐肤木</w:t>
      </w:r>
      <w:r w:rsidR="00E97427">
        <w:rPr>
          <w:rFonts w:hint="eastAsia"/>
        </w:rPr>
        <w:t>（</w:t>
      </w:r>
      <w:r>
        <w:rPr>
          <w:rFonts w:hint="eastAsia"/>
        </w:rPr>
        <w:t>Rhus chinensis</w:t>
      </w:r>
      <w:r w:rsidR="00E97427">
        <w:rPr>
          <w:rFonts w:hint="eastAsia"/>
        </w:rPr>
        <w:t>）</w:t>
      </w:r>
      <w:r>
        <w:rPr>
          <w:rFonts w:hint="eastAsia"/>
        </w:rPr>
        <w:t>、烟管荚蒾</w:t>
      </w:r>
      <w:r w:rsidR="00E97427">
        <w:rPr>
          <w:rFonts w:hint="eastAsia"/>
        </w:rPr>
        <w:t>（</w:t>
      </w:r>
      <w:r>
        <w:rPr>
          <w:rFonts w:hint="eastAsia"/>
        </w:rPr>
        <w:t>Viburnum utile</w:t>
      </w:r>
      <w:r w:rsidR="00E97427">
        <w:rPr>
          <w:rFonts w:hint="eastAsia"/>
        </w:rPr>
        <w:t>）</w:t>
      </w:r>
      <w:r>
        <w:rPr>
          <w:rFonts w:hint="eastAsia"/>
        </w:rPr>
        <w:t>等少量乔木。草本植物有芒萁、芒、沿阶草、吉祥草、金星蕨及江南短肠蕨</w:t>
      </w:r>
      <w:r w:rsidR="00E97427">
        <w:rPr>
          <w:rFonts w:hint="eastAsia"/>
        </w:rPr>
        <w:t>（</w:t>
      </w:r>
      <w:r>
        <w:rPr>
          <w:rFonts w:hint="eastAsia"/>
        </w:rPr>
        <w:t>Allantodia mettenina</w:t>
      </w:r>
      <w:r w:rsidR="00E97427">
        <w:rPr>
          <w:rFonts w:hint="eastAsia"/>
        </w:rPr>
        <w:t>）</w:t>
      </w:r>
      <w:r>
        <w:rPr>
          <w:rFonts w:hint="eastAsia"/>
        </w:rPr>
        <w:t>等，盖度在</w:t>
      </w:r>
      <w:r>
        <w:rPr>
          <w:rFonts w:hint="eastAsia"/>
        </w:rPr>
        <w:t xml:space="preserve"> 30~50%</w:t>
      </w:r>
      <w:r>
        <w:rPr>
          <w:rFonts w:hint="eastAsia"/>
        </w:rPr>
        <w:t>。</w:t>
      </w:r>
    </w:p>
    <w:p w:rsidR="006175A6" w:rsidRDefault="009B4BA7">
      <w:pPr>
        <w:pStyle w:val="ae"/>
        <w:numPr>
          <w:ilvl w:val="0"/>
          <w:numId w:val="5"/>
        </w:numPr>
        <w:ind w:firstLineChars="0"/>
      </w:pPr>
      <w:r>
        <w:rPr>
          <w:rFonts w:hint="eastAsia"/>
        </w:rPr>
        <w:t>蔷薇灌丛</w:t>
      </w:r>
      <w:r w:rsidR="00E97427">
        <w:rPr>
          <w:rFonts w:hint="eastAsia"/>
        </w:rPr>
        <w:t>（</w:t>
      </w:r>
      <w:r>
        <w:rPr>
          <w:rFonts w:hint="eastAsia"/>
        </w:rPr>
        <w:t>Form. Rosa.spp.</w:t>
      </w:r>
      <w:r w:rsidR="00E97427">
        <w:rPr>
          <w:rFonts w:hint="eastAsia"/>
        </w:rPr>
        <w:t>）</w:t>
      </w:r>
    </w:p>
    <w:p w:rsidR="006175A6" w:rsidRDefault="009B4BA7">
      <w:pPr>
        <w:ind w:firstLine="480"/>
      </w:pPr>
      <w:r>
        <w:rPr>
          <w:rFonts w:hint="eastAsia"/>
        </w:rPr>
        <w:t>主要分布在河谷或向阳山坡，该灌木层盖度达到</w:t>
      </w:r>
      <w:r>
        <w:rPr>
          <w:rFonts w:hint="eastAsia"/>
        </w:rPr>
        <w:t xml:space="preserve"> 80%</w:t>
      </w:r>
      <w:r>
        <w:rPr>
          <w:rFonts w:hint="eastAsia"/>
        </w:rPr>
        <w:t>，高度</w:t>
      </w:r>
      <w:r>
        <w:rPr>
          <w:rFonts w:hint="eastAsia"/>
        </w:rPr>
        <w:t xml:space="preserve"> 1.0~2.0m</w:t>
      </w:r>
      <w:r>
        <w:rPr>
          <w:rFonts w:hint="eastAsia"/>
        </w:rPr>
        <w:t>，以小果蔷薇、多花蔷薇</w:t>
      </w:r>
      <w:r w:rsidR="00E97427">
        <w:rPr>
          <w:rFonts w:hint="eastAsia"/>
        </w:rPr>
        <w:t>（</w:t>
      </w:r>
      <w:r>
        <w:rPr>
          <w:rFonts w:hint="eastAsia"/>
        </w:rPr>
        <w:t>Rosa multiflora</w:t>
      </w:r>
      <w:r w:rsidR="00E97427">
        <w:rPr>
          <w:rFonts w:hint="eastAsia"/>
        </w:rPr>
        <w:t>）</w:t>
      </w:r>
      <w:r>
        <w:rPr>
          <w:rFonts w:hint="eastAsia"/>
        </w:rPr>
        <w:t xml:space="preserve"> </w:t>
      </w:r>
      <w:r>
        <w:rPr>
          <w:rFonts w:hint="eastAsia"/>
        </w:rPr>
        <w:t>等多种蔷薇科灌木为优势种，伴生种有铁扫帚</w:t>
      </w:r>
      <w:r w:rsidR="00E97427">
        <w:rPr>
          <w:rFonts w:hint="eastAsia"/>
        </w:rPr>
        <w:t>（</w:t>
      </w:r>
      <w:r>
        <w:rPr>
          <w:rFonts w:hint="eastAsia"/>
        </w:rPr>
        <w:t>Indigofera bungeana</w:t>
      </w:r>
      <w:r w:rsidR="00E97427">
        <w:rPr>
          <w:rFonts w:hint="eastAsia"/>
        </w:rPr>
        <w:t>）</w:t>
      </w:r>
      <w:r>
        <w:rPr>
          <w:rFonts w:hint="eastAsia"/>
        </w:rPr>
        <w:t xml:space="preserve"> </w:t>
      </w:r>
      <w:r>
        <w:rPr>
          <w:rFonts w:hint="eastAsia"/>
        </w:rPr>
        <w:t>、杭子梢</w:t>
      </w:r>
      <w:r>
        <w:rPr>
          <w:rFonts w:hint="eastAsia"/>
        </w:rPr>
        <w:t xml:space="preserve"> </w:t>
      </w:r>
      <w:r w:rsidR="00E97427">
        <w:rPr>
          <w:rFonts w:hint="eastAsia"/>
        </w:rPr>
        <w:t>（</w:t>
      </w:r>
      <w:r>
        <w:rPr>
          <w:rFonts w:hint="eastAsia"/>
        </w:rPr>
        <w:t>Campylotropis macrocarpa</w:t>
      </w:r>
      <w:r w:rsidR="00E97427">
        <w:rPr>
          <w:rFonts w:hint="eastAsia"/>
        </w:rPr>
        <w:t>）</w:t>
      </w:r>
      <w:r>
        <w:rPr>
          <w:rFonts w:hint="eastAsia"/>
        </w:rPr>
        <w:t xml:space="preserve"> </w:t>
      </w:r>
      <w:r>
        <w:rPr>
          <w:rFonts w:hint="eastAsia"/>
        </w:rPr>
        <w:t>、</w:t>
      </w:r>
      <w:r>
        <w:rPr>
          <w:rFonts w:hint="eastAsia"/>
        </w:rPr>
        <w:t xml:space="preserve"> </w:t>
      </w:r>
      <w:r>
        <w:rPr>
          <w:rFonts w:hint="eastAsia"/>
        </w:rPr>
        <w:t>高</w:t>
      </w:r>
      <w:r>
        <w:rPr>
          <w:rFonts w:hint="eastAsia"/>
        </w:rPr>
        <w:t xml:space="preserve"> </w:t>
      </w:r>
      <w:r>
        <w:rPr>
          <w:rFonts w:hint="eastAsia"/>
        </w:rPr>
        <w:t>粱</w:t>
      </w:r>
      <w:r>
        <w:rPr>
          <w:rFonts w:hint="eastAsia"/>
        </w:rPr>
        <w:t xml:space="preserve"> </w:t>
      </w:r>
      <w:r>
        <w:rPr>
          <w:rFonts w:hint="eastAsia"/>
        </w:rPr>
        <w:t>泡</w:t>
      </w:r>
      <w:r>
        <w:rPr>
          <w:rFonts w:hint="eastAsia"/>
        </w:rPr>
        <w:t xml:space="preserve"> </w:t>
      </w:r>
      <w:r w:rsidR="00E97427">
        <w:rPr>
          <w:rFonts w:hint="eastAsia"/>
        </w:rPr>
        <w:t>（</w:t>
      </w:r>
      <w:r>
        <w:rPr>
          <w:rFonts w:hint="eastAsia"/>
        </w:rPr>
        <w:t>Rubus lambertianus</w:t>
      </w:r>
      <w:r w:rsidR="00E97427">
        <w:rPr>
          <w:rFonts w:hint="eastAsia"/>
        </w:rPr>
        <w:t>）</w:t>
      </w:r>
      <w:r>
        <w:rPr>
          <w:rFonts w:hint="eastAsia"/>
        </w:rPr>
        <w:t>、山胡椒、细齿柃</w:t>
      </w:r>
      <w:r w:rsidR="00E97427">
        <w:rPr>
          <w:rFonts w:hint="eastAsia"/>
        </w:rPr>
        <w:t>（</w:t>
      </w:r>
      <w:r>
        <w:rPr>
          <w:rFonts w:hint="eastAsia"/>
        </w:rPr>
        <w:t>Eurya nitida</w:t>
      </w:r>
      <w:r w:rsidR="00E97427">
        <w:rPr>
          <w:rFonts w:hint="eastAsia"/>
        </w:rPr>
        <w:t>）</w:t>
      </w:r>
      <w:r>
        <w:rPr>
          <w:rFonts w:hint="eastAsia"/>
        </w:rPr>
        <w:t>等种类，草本植物有蕨、芒萁、五节芒、莎草</w:t>
      </w:r>
      <w:r w:rsidR="00E97427">
        <w:rPr>
          <w:rFonts w:hint="eastAsia"/>
        </w:rPr>
        <w:t>（</w:t>
      </w:r>
      <w:r>
        <w:rPr>
          <w:rFonts w:hint="eastAsia"/>
        </w:rPr>
        <w:t>Cyperus sp.</w:t>
      </w:r>
      <w:r w:rsidR="00E97427">
        <w:rPr>
          <w:rFonts w:hint="eastAsia"/>
        </w:rPr>
        <w:t>）</w:t>
      </w:r>
      <w:r>
        <w:rPr>
          <w:rFonts w:hint="eastAsia"/>
        </w:rPr>
        <w:t>及多种禾本科植物等。</w:t>
      </w:r>
    </w:p>
    <w:p w:rsidR="006175A6" w:rsidRDefault="009B4BA7">
      <w:pPr>
        <w:pStyle w:val="ae"/>
        <w:numPr>
          <w:ilvl w:val="0"/>
          <w:numId w:val="5"/>
        </w:numPr>
        <w:ind w:firstLineChars="0"/>
      </w:pPr>
      <w:r>
        <w:rPr>
          <w:rFonts w:hint="eastAsia"/>
        </w:rPr>
        <w:t>火棘灌丛</w:t>
      </w:r>
      <w:r w:rsidR="00E97427">
        <w:rPr>
          <w:rFonts w:hint="eastAsia"/>
        </w:rPr>
        <w:t>（</w:t>
      </w:r>
      <w:r>
        <w:rPr>
          <w:rFonts w:hint="eastAsia"/>
        </w:rPr>
        <w:t>Form. Pyracantha fortuneana</w:t>
      </w:r>
      <w:r w:rsidR="00E97427">
        <w:rPr>
          <w:rFonts w:hint="eastAsia"/>
        </w:rPr>
        <w:t>）</w:t>
      </w:r>
    </w:p>
    <w:p w:rsidR="006175A6" w:rsidRDefault="009B4BA7">
      <w:pPr>
        <w:ind w:firstLine="480"/>
      </w:pPr>
      <w:r>
        <w:rPr>
          <w:rFonts w:hint="eastAsia"/>
        </w:rPr>
        <w:t>该灌木层盖度达到</w:t>
      </w:r>
      <w:r>
        <w:rPr>
          <w:rFonts w:hint="eastAsia"/>
        </w:rPr>
        <w:t xml:space="preserve"> 80%</w:t>
      </w:r>
      <w:r>
        <w:rPr>
          <w:rFonts w:hint="eastAsia"/>
        </w:rPr>
        <w:t>，以火棘为优势种，伴生种有栓皮栎、乌饭树、鼠刺</w:t>
      </w:r>
      <w:r w:rsidR="00E97427">
        <w:rPr>
          <w:rFonts w:hint="eastAsia"/>
        </w:rPr>
        <w:t>（</w:t>
      </w:r>
      <w:r>
        <w:rPr>
          <w:rFonts w:hint="eastAsia"/>
        </w:rPr>
        <w:t>Itea.sp.</w:t>
      </w:r>
      <w:r w:rsidR="00E97427">
        <w:rPr>
          <w:rFonts w:hint="eastAsia"/>
        </w:rPr>
        <w:t>）</w:t>
      </w:r>
      <w:r>
        <w:rPr>
          <w:rFonts w:hint="eastAsia"/>
        </w:rPr>
        <w:t>、柃木、油茶</w:t>
      </w:r>
      <w:r w:rsidR="00E97427">
        <w:rPr>
          <w:rFonts w:hint="eastAsia"/>
        </w:rPr>
        <w:t>（</w:t>
      </w:r>
      <w:r>
        <w:rPr>
          <w:rFonts w:hint="eastAsia"/>
        </w:rPr>
        <w:t>Camellia oleifera</w:t>
      </w:r>
      <w:r w:rsidR="00E97427">
        <w:rPr>
          <w:rFonts w:hint="eastAsia"/>
        </w:rPr>
        <w:t>）</w:t>
      </w:r>
      <w:r>
        <w:rPr>
          <w:rFonts w:hint="eastAsia"/>
        </w:rPr>
        <w:t>等。群落草本较稀疏，有苔草、金星蕨、白花败酱</w:t>
      </w:r>
      <w:r w:rsidR="00E97427">
        <w:rPr>
          <w:rFonts w:hint="eastAsia"/>
        </w:rPr>
        <w:t>（</w:t>
      </w:r>
      <w:r>
        <w:rPr>
          <w:rFonts w:hint="eastAsia"/>
        </w:rPr>
        <w:t>Patrinia sinensis</w:t>
      </w:r>
      <w:r w:rsidR="00E97427">
        <w:rPr>
          <w:rFonts w:hint="eastAsia"/>
        </w:rPr>
        <w:t>）</w:t>
      </w:r>
      <w:r>
        <w:rPr>
          <w:rFonts w:hint="eastAsia"/>
        </w:rPr>
        <w:t>等。藤本有鸡矢藤、忍冬、菝葜等。</w:t>
      </w:r>
    </w:p>
    <w:p w:rsidR="006175A6" w:rsidRDefault="009B4BA7">
      <w:pPr>
        <w:pStyle w:val="ae"/>
        <w:numPr>
          <w:ilvl w:val="0"/>
          <w:numId w:val="5"/>
        </w:numPr>
        <w:ind w:firstLineChars="0"/>
      </w:pPr>
      <w:r>
        <w:rPr>
          <w:rFonts w:hint="eastAsia"/>
        </w:rPr>
        <w:t>白茅灌草丛</w:t>
      </w:r>
      <w:r w:rsidR="00E97427">
        <w:rPr>
          <w:rFonts w:hint="eastAsia"/>
        </w:rPr>
        <w:t>（</w:t>
      </w:r>
      <w:r>
        <w:rPr>
          <w:rFonts w:hint="eastAsia"/>
        </w:rPr>
        <w:t>Form. Imperata cylindrica var.major</w:t>
      </w:r>
      <w:r w:rsidR="00E97427">
        <w:rPr>
          <w:rFonts w:hint="eastAsia"/>
        </w:rPr>
        <w:t>）</w:t>
      </w:r>
    </w:p>
    <w:p w:rsidR="006175A6" w:rsidRDefault="009B4BA7">
      <w:pPr>
        <w:ind w:firstLine="480"/>
      </w:pPr>
      <w:r>
        <w:rPr>
          <w:rFonts w:hint="eastAsia"/>
        </w:rPr>
        <w:t>该群落主要分布在海拔</w:t>
      </w:r>
      <w:r>
        <w:rPr>
          <w:rFonts w:hint="eastAsia"/>
        </w:rPr>
        <w:t xml:space="preserve"> 800m </w:t>
      </w:r>
      <w:r>
        <w:rPr>
          <w:rFonts w:hint="eastAsia"/>
        </w:rPr>
        <w:t>以下的山、土、田洼地处，以岗地、丘陵、低山火烧或抛荒后为多，群落多呈小块状生长。群落高度</w:t>
      </w:r>
      <w:r>
        <w:rPr>
          <w:rFonts w:hint="eastAsia"/>
        </w:rPr>
        <w:t>.5~1.0m</w:t>
      </w:r>
      <w:r>
        <w:rPr>
          <w:rFonts w:hint="eastAsia"/>
        </w:rPr>
        <w:t>，盖度</w:t>
      </w:r>
      <w:r>
        <w:rPr>
          <w:rFonts w:hint="eastAsia"/>
        </w:rPr>
        <w:t xml:space="preserve"> 60%</w:t>
      </w:r>
      <w:r>
        <w:rPr>
          <w:rFonts w:hint="eastAsia"/>
        </w:rPr>
        <w:t>以上，其组成以白茅为优势种，</w:t>
      </w:r>
      <w:r>
        <w:rPr>
          <w:rFonts w:hint="eastAsia"/>
        </w:rPr>
        <w:t xml:space="preserve"> </w:t>
      </w:r>
      <w:r>
        <w:rPr>
          <w:rFonts w:hint="eastAsia"/>
        </w:rPr>
        <w:t>常伴生有无芒鸭咀草</w:t>
      </w:r>
      <w:r w:rsidR="00E97427">
        <w:rPr>
          <w:rFonts w:hint="eastAsia"/>
        </w:rPr>
        <w:t>（</w:t>
      </w:r>
      <w:r>
        <w:rPr>
          <w:rFonts w:hint="eastAsia"/>
        </w:rPr>
        <w:t>Ischaemum muticum</w:t>
      </w:r>
      <w:r w:rsidR="00E97427">
        <w:rPr>
          <w:rFonts w:hint="eastAsia"/>
        </w:rPr>
        <w:t>）</w:t>
      </w:r>
      <w:r>
        <w:rPr>
          <w:rFonts w:hint="eastAsia"/>
        </w:rPr>
        <w:t>、芒、黄背草</w:t>
      </w:r>
      <w:r w:rsidR="00E97427">
        <w:rPr>
          <w:rFonts w:hint="eastAsia"/>
        </w:rPr>
        <w:t>（</w:t>
      </w:r>
      <w:r>
        <w:rPr>
          <w:rFonts w:hint="eastAsia"/>
        </w:rPr>
        <w:t>Themeda triandra Forsk.var.japonica</w:t>
      </w:r>
      <w:r w:rsidR="00E97427">
        <w:rPr>
          <w:rFonts w:hint="eastAsia"/>
        </w:rPr>
        <w:t>）</w:t>
      </w:r>
      <w:r>
        <w:rPr>
          <w:rFonts w:hint="eastAsia"/>
        </w:rPr>
        <w:t xml:space="preserve"> </w:t>
      </w:r>
      <w:r>
        <w:rPr>
          <w:rFonts w:hint="eastAsia"/>
        </w:rPr>
        <w:t>、</w:t>
      </w:r>
      <w:r>
        <w:rPr>
          <w:rFonts w:hint="eastAsia"/>
        </w:rPr>
        <w:t xml:space="preserve"> </w:t>
      </w:r>
      <w:r>
        <w:rPr>
          <w:rFonts w:hint="eastAsia"/>
        </w:rPr>
        <w:t>野艾蒿</w:t>
      </w:r>
      <w:r w:rsidR="00E97427">
        <w:rPr>
          <w:rFonts w:hint="eastAsia"/>
        </w:rPr>
        <w:t>（</w:t>
      </w:r>
      <w:r>
        <w:rPr>
          <w:rFonts w:hint="eastAsia"/>
        </w:rPr>
        <w:t>Artemisia lavandulaefolia</w:t>
      </w:r>
      <w:r w:rsidR="00E97427">
        <w:rPr>
          <w:rFonts w:hint="eastAsia"/>
        </w:rPr>
        <w:t>）</w:t>
      </w:r>
      <w:r>
        <w:rPr>
          <w:rFonts w:hint="eastAsia"/>
        </w:rPr>
        <w:t xml:space="preserve"> </w:t>
      </w:r>
      <w:r>
        <w:rPr>
          <w:rFonts w:hint="eastAsia"/>
        </w:rPr>
        <w:t>、</w:t>
      </w:r>
      <w:r>
        <w:rPr>
          <w:rFonts w:hint="eastAsia"/>
        </w:rPr>
        <w:t xml:space="preserve"> </w:t>
      </w:r>
      <w:r>
        <w:rPr>
          <w:rFonts w:hint="eastAsia"/>
        </w:rPr>
        <w:t>地念</w:t>
      </w:r>
      <w:r w:rsidR="00E97427">
        <w:rPr>
          <w:rFonts w:hint="eastAsia"/>
        </w:rPr>
        <w:t>（</w:t>
      </w:r>
      <w:r>
        <w:rPr>
          <w:rFonts w:hint="eastAsia"/>
        </w:rPr>
        <w:t>Melastoma dodecandrum</w:t>
      </w:r>
      <w:r w:rsidR="00E97427">
        <w:rPr>
          <w:rFonts w:hint="eastAsia"/>
        </w:rPr>
        <w:t>）</w:t>
      </w:r>
      <w:r>
        <w:rPr>
          <w:rFonts w:hint="eastAsia"/>
        </w:rPr>
        <w:t>、黑莎草</w:t>
      </w:r>
      <w:r w:rsidR="00E97427">
        <w:rPr>
          <w:rFonts w:hint="eastAsia"/>
        </w:rPr>
        <w:t>（</w:t>
      </w:r>
      <w:r>
        <w:rPr>
          <w:rFonts w:hint="eastAsia"/>
        </w:rPr>
        <w:t>Gahnia tristis</w:t>
      </w:r>
      <w:r w:rsidR="00E97427">
        <w:rPr>
          <w:rFonts w:hint="eastAsia"/>
        </w:rPr>
        <w:t>）</w:t>
      </w:r>
      <w:r>
        <w:rPr>
          <w:rFonts w:hint="eastAsia"/>
        </w:rPr>
        <w:t>和紫花地丁</w:t>
      </w:r>
      <w:r w:rsidR="00E97427">
        <w:rPr>
          <w:rFonts w:hint="eastAsia"/>
        </w:rPr>
        <w:t>（</w:t>
      </w:r>
      <w:r>
        <w:rPr>
          <w:rFonts w:hint="eastAsia"/>
        </w:rPr>
        <w:t>Viola chinensis</w:t>
      </w:r>
      <w:r w:rsidR="00E97427">
        <w:rPr>
          <w:rFonts w:hint="eastAsia"/>
        </w:rPr>
        <w:t>）</w:t>
      </w:r>
      <w:r>
        <w:rPr>
          <w:rFonts w:hint="eastAsia"/>
        </w:rPr>
        <w:t>等。散生灌木有白马骨、肖梵天花</w:t>
      </w:r>
      <w:r w:rsidR="00E97427">
        <w:rPr>
          <w:rFonts w:hint="eastAsia"/>
        </w:rPr>
        <w:t>（</w:t>
      </w:r>
      <w:r>
        <w:rPr>
          <w:rFonts w:hint="eastAsia"/>
        </w:rPr>
        <w:t>Urena lobata</w:t>
      </w:r>
      <w:r w:rsidR="00E97427">
        <w:rPr>
          <w:rFonts w:hint="eastAsia"/>
        </w:rPr>
        <w:t>）</w:t>
      </w:r>
      <w:r>
        <w:rPr>
          <w:rFonts w:hint="eastAsia"/>
        </w:rPr>
        <w:t>等。</w:t>
      </w:r>
    </w:p>
    <w:p w:rsidR="006175A6" w:rsidRDefault="009B4BA7">
      <w:pPr>
        <w:pStyle w:val="ae"/>
        <w:numPr>
          <w:ilvl w:val="0"/>
          <w:numId w:val="5"/>
        </w:numPr>
        <w:ind w:firstLineChars="0"/>
      </w:pPr>
      <w:r>
        <w:rPr>
          <w:rFonts w:hint="eastAsia"/>
        </w:rPr>
        <w:t>连翘灌丛</w:t>
      </w:r>
      <w:r w:rsidR="00E97427">
        <w:rPr>
          <w:rFonts w:hint="eastAsia"/>
        </w:rPr>
        <w:t>（</w:t>
      </w:r>
      <w:r>
        <w:rPr>
          <w:rFonts w:hint="eastAsia"/>
        </w:rPr>
        <w:t>Form. Forsythia suspensa</w:t>
      </w:r>
      <w:r w:rsidR="00E97427">
        <w:rPr>
          <w:rFonts w:hint="eastAsia"/>
        </w:rPr>
        <w:t>）</w:t>
      </w:r>
    </w:p>
    <w:p w:rsidR="006175A6" w:rsidRDefault="009B4BA7">
      <w:pPr>
        <w:ind w:firstLine="480"/>
      </w:pPr>
      <w:r>
        <w:rPr>
          <w:rFonts w:hint="eastAsia"/>
        </w:rPr>
        <w:lastRenderedPageBreak/>
        <w:t>此灌丛常生长于海拔</w:t>
      </w:r>
      <w:r>
        <w:rPr>
          <w:rFonts w:hint="eastAsia"/>
        </w:rPr>
        <w:t xml:space="preserve"> 1000m </w:t>
      </w:r>
      <w:r>
        <w:rPr>
          <w:rFonts w:hint="eastAsia"/>
        </w:rPr>
        <w:t>以下的山坡，常伴生有胡枝子</w:t>
      </w:r>
      <w:r w:rsidR="00E97427">
        <w:rPr>
          <w:rFonts w:hint="eastAsia"/>
        </w:rPr>
        <w:t>（</w:t>
      </w:r>
      <w:r>
        <w:rPr>
          <w:rFonts w:hint="eastAsia"/>
        </w:rPr>
        <w:t>Lespedeza bicolor</w:t>
      </w:r>
      <w:r w:rsidR="00E97427">
        <w:rPr>
          <w:rFonts w:hint="eastAsia"/>
        </w:rPr>
        <w:t>）</w:t>
      </w:r>
      <w:r>
        <w:rPr>
          <w:rFonts w:hint="eastAsia"/>
        </w:rPr>
        <w:t>、黄栌</w:t>
      </w:r>
      <w:r w:rsidR="00E97427">
        <w:rPr>
          <w:rFonts w:hint="eastAsia"/>
        </w:rPr>
        <w:t>（</w:t>
      </w:r>
      <w:r>
        <w:rPr>
          <w:rFonts w:hint="eastAsia"/>
        </w:rPr>
        <w:t>Cotinus coggygria var. cinerea</w:t>
      </w:r>
      <w:r w:rsidR="00E97427">
        <w:rPr>
          <w:rFonts w:hint="eastAsia"/>
        </w:rPr>
        <w:t>）</w:t>
      </w:r>
      <w:r>
        <w:rPr>
          <w:rFonts w:hint="eastAsia"/>
        </w:rPr>
        <w:t>、盐肤木</w:t>
      </w:r>
      <w:r w:rsidR="00E97427">
        <w:rPr>
          <w:rFonts w:hint="eastAsia"/>
        </w:rPr>
        <w:t>（</w:t>
      </w:r>
      <w:r>
        <w:rPr>
          <w:rFonts w:hint="eastAsia"/>
        </w:rPr>
        <w:t>Rhus chinensis</w:t>
      </w:r>
      <w:r w:rsidR="00E97427">
        <w:rPr>
          <w:rFonts w:hint="eastAsia"/>
        </w:rPr>
        <w:t>）</w:t>
      </w:r>
      <w:r>
        <w:rPr>
          <w:rFonts w:hint="eastAsia"/>
        </w:rPr>
        <w:t>等，连翘灌丛是山地的次生植被，常出现于林间空地和荒废坡地。连翘的萌生力很强，能忍耐干旱和瘠薄土壤，在人为活动频繁的地区，森林砍伐后，连翘能迅速形成群落。</w:t>
      </w:r>
    </w:p>
    <w:p w:rsidR="006175A6" w:rsidRDefault="009B4BA7">
      <w:pPr>
        <w:pStyle w:val="ae"/>
        <w:numPr>
          <w:ilvl w:val="0"/>
          <w:numId w:val="5"/>
        </w:numPr>
        <w:ind w:firstLineChars="0"/>
      </w:pPr>
      <w:r>
        <w:rPr>
          <w:rFonts w:hint="eastAsia"/>
        </w:rPr>
        <w:t>五节芒灌草丛</w:t>
      </w:r>
      <w:r w:rsidR="00E97427">
        <w:rPr>
          <w:rFonts w:hint="eastAsia"/>
        </w:rPr>
        <w:t>（</w:t>
      </w:r>
      <w:r>
        <w:rPr>
          <w:rFonts w:hint="eastAsia"/>
        </w:rPr>
        <w:t>Form. Miscanchus sinensis</w:t>
      </w:r>
      <w:r w:rsidR="00E97427">
        <w:rPr>
          <w:rFonts w:hint="eastAsia"/>
        </w:rPr>
        <w:t>）</w:t>
      </w:r>
    </w:p>
    <w:p w:rsidR="006175A6" w:rsidRDefault="009B4BA7">
      <w:pPr>
        <w:ind w:firstLine="480"/>
      </w:pPr>
      <w:r>
        <w:rPr>
          <w:rFonts w:hint="eastAsia"/>
        </w:rPr>
        <w:t>在森林砍伐迹地上生长的灌草丛类型，高度</w:t>
      </w:r>
      <w:r>
        <w:rPr>
          <w:rFonts w:hint="eastAsia"/>
        </w:rPr>
        <w:t xml:space="preserve"> 2~3m</w:t>
      </w:r>
      <w:r>
        <w:rPr>
          <w:rFonts w:hint="eastAsia"/>
        </w:rPr>
        <w:t>，嫩株作牲畜饲料，杆穗作扫帚或燃料，杆为造纸原料。</w:t>
      </w:r>
    </w:p>
    <w:p w:rsidR="006175A6" w:rsidRDefault="009B4BA7">
      <w:pPr>
        <w:ind w:firstLine="480"/>
      </w:pPr>
      <w:r>
        <w:rPr>
          <w:rFonts w:hint="eastAsia"/>
        </w:rPr>
        <w:t>（</w:t>
      </w:r>
      <w:r>
        <w:rPr>
          <w:rFonts w:hint="eastAsia"/>
        </w:rPr>
        <w:t>3</w:t>
      </w:r>
      <w:r>
        <w:rPr>
          <w:rFonts w:hint="eastAsia"/>
        </w:rPr>
        <w:t>）施工区域内植被状况</w:t>
      </w:r>
    </w:p>
    <w:p w:rsidR="006175A6" w:rsidRDefault="009B4BA7">
      <w:pPr>
        <w:ind w:firstLine="480"/>
      </w:pPr>
      <w:r>
        <w:rPr>
          <w:rFonts w:hint="eastAsia"/>
        </w:rPr>
        <w:t>在厂址周围主要植被为低矮灌丛和庄稼，弃碴场处植被主要为灌丛。其中灌木主要有：马尾松、楝树、构树、栎树、山合欢、胡枝子、盐肤木、马桑、火棘、苦木、毛竹等；灌草主要有：白茅、葎草、野艾蒿、一年蓬、野胡萝卜、接骨草、车前草、商陆、五节芒、蕨类、狗尾草、荩草、芦苇、水蓼、马兰等；庄稼主要为玉米、水稻。施工区内没有国家重点保护植物分布。</w:t>
      </w:r>
    </w:p>
    <w:p w:rsidR="006175A6" w:rsidRDefault="009B4BA7">
      <w:pPr>
        <w:ind w:firstLine="480"/>
      </w:pPr>
      <w:r>
        <w:rPr>
          <w:rFonts w:hint="eastAsia"/>
        </w:rPr>
        <w:t>（</w:t>
      </w:r>
      <w:r>
        <w:rPr>
          <w:rFonts w:hint="eastAsia"/>
        </w:rPr>
        <w:t>4</w:t>
      </w:r>
      <w:r>
        <w:rPr>
          <w:rFonts w:hint="eastAsia"/>
        </w:rPr>
        <w:t>）评价区域内植被状况简评</w:t>
      </w:r>
    </w:p>
    <w:p w:rsidR="006175A6" w:rsidRDefault="009B4BA7">
      <w:pPr>
        <w:ind w:firstLine="480"/>
      </w:pPr>
      <w:r>
        <w:rPr>
          <w:rFonts w:hint="eastAsia"/>
        </w:rPr>
        <w:t>评价区内植被中农业植被占较大比例，森林多为中幼林，疏林地和灌丛较多，</w:t>
      </w:r>
      <w:r>
        <w:rPr>
          <w:rFonts w:hint="eastAsia"/>
        </w:rPr>
        <w:t xml:space="preserve"> </w:t>
      </w:r>
      <w:r>
        <w:rPr>
          <w:rFonts w:hint="eastAsia"/>
        </w:rPr>
        <w:t>显示评价区植被受人类活动干扰强度大、时间长，这与评价区经济社会发展的历程是一致的。</w:t>
      </w:r>
    </w:p>
    <w:p w:rsidR="007E5FE7" w:rsidRDefault="007E5FE7">
      <w:pPr>
        <w:ind w:firstLine="480"/>
      </w:pPr>
      <w:r>
        <w:rPr>
          <w:rFonts w:hint="eastAsia"/>
        </w:rPr>
        <w:t>区域植被现状照片如下图所示：</w:t>
      </w:r>
    </w:p>
    <w:p w:rsidR="007E5FE7" w:rsidRDefault="007E5FE7" w:rsidP="007E5FE7">
      <w:pPr>
        <w:ind w:firstLine="480"/>
      </w:pPr>
      <w:r>
        <w:rPr>
          <w:noProof/>
        </w:rPr>
        <w:drawing>
          <wp:inline distT="0" distB="0" distL="0" distR="0" wp14:anchorId="65283A97" wp14:editId="535C9F33">
            <wp:extent cx="2115072" cy="1915064"/>
            <wp:effectExtent l="19050" t="19050" r="19050" b="28575"/>
            <wp:docPr id="14" name="图片 14" descr="F:\我   的    工   作    盘   2021\环评文件\环评2021\2、兴山县两河口水库（重新审核）报告书\5、建设单位资料\现场照片\新建文件夹\IMG_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我   的    工   作    盘   2021\环评文件\环评2021\2、兴山县两河口水库（重新审核）报告书\5、建设单位资料\现场照片\新建文件夹\IMG_47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092"/>
                    <a:stretch/>
                  </pic:blipFill>
                  <pic:spPr bwMode="auto">
                    <a:xfrm>
                      <a:off x="0" y="0"/>
                      <a:ext cx="2121793" cy="192114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23545A65" wp14:editId="761C999F">
            <wp:extent cx="2127096" cy="1923690"/>
            <wp:effectExtent l="19050" t="19050" r="26035" b="196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29370" cy="1925746"/>
                    </a:xfrm>
                    <a:prstGeom prst="rect">
                      <a:avLst/>
                    </a:prstGeom>
                    <a:ln>
                      <a:solidFill>
                        <a:schemeClr val="tx1"/>
                      </a:solidFill>
                    </a:ln>
                  </pic:spPr>
                </pic:pic>
              </a:graphicData>
            </a:graphic>
          </wp:inline>
        </w:drawing>
      </w:r>
    </w:p>
    <w:p w:rsidR="007E5FE7" w:rsidRDefault="007E5FE7" w:rsidP="007E5FE7">
      <w:pPr>
        <w:pStyle w:val="a3"/>
      </w:pPr>
      <w:r>
        <w:rPr>
          <w:rFonts w:hint="eastAsia"/>
        </w:rPr>
        <w:t>图</w:t>
      </w:r>
      <w:r>
        <w:rPr>
          <w:rFonts w:hint="eastAsia"/>
        </w:rPr>
        <w:t xml:space="preserve"> </w:t>
      </w:r>
      <w:r w:rsidR="00AC2588">
        <w:fldChar w:fldCharType="begin"/>
      </w:r>
      <w:r w:rsidR="00AC2588">
        <w:instrText xml:space="preserve"> </w:instrText>
      </w:r>
      <w:r w:rsidR="00AC2588">
        <w:rPr>
          <w:rFonts w:hint="eastAsia"/>
        </w:rPr>
        <w:instrText>STYLEREF 2 \s</w:instrText>
      </w:r>
      <w:r w:rsidR="00AC2588">
        <w:instrText xml:space="preserve"> </w:instrText>
      </w:r>
      <w:r w:rsidR="00AC2588">
        <w:fldChar w:fldCharType="separate"/>
      </w:r>
      <w:r w:rsidR="00E97427">
        <w:rPr>
          <w:noProof/>
        </w:rPr>
        <w:t>5.2</w:t>
      </w:r>
      <w:r w:rsidR="00AC2588">
        <w:fldChar w:fldCharType="end"/>
      </w:r>
      <w:r w:rsidR="00AC2588">
        <w:noBreakHyphen/>
      </w:r>
      <w:r w:rsidR="00AC2588">
        <w:fldChar w:fldCharType="begin"/>
      </w:r>
      <w:r w:rsidR="00AC2588">
        <w:instrText xml:space="preserve"> </w:instrText>
      </w:r>
      <w:r w:rsidR="00AC2588">
        <w:rPr>
          <w:rFonts w:hint="eastAsia"/>
        </w:rPr>
        <w:instrText xml:space="preserve">SEQ </w:instrText>
      </w:r>
      <w:r w:rsidR="00AC2588">
        <w:rPr>
          <w:rFonts w:hint="eastAsia"/>
        </w:rPr>
        <w:instrText>图</w:instrText>
      </w:r>
      <w:r w:rsidR="00AC2588">
        <w:rPr>
          <w:rFonts w:hint="eastAsia"/>
        </w:rPr>
        <w:instrText xml:space="preserve"> \* ARABIC \s 2</w:instrText>
      </w:r>
      <w:r w:rsidR="00AC2588">
        <w:instrText xml:space="preserve"> </w:instrText>
      </w:r>
      <w:r w:rsidR="00AC2588">
        <w:fldChar w:fldCharType="separate"/>
      </w:r>
      <w:r w:rsidR="00E97427">
        <w:rPr>
          <w:noProof/>
        </w:rPr>
        <w:t>1</w:t>
      </w:r>
      <w:r w:rsidR="00AC2588">
        <w:fldChar w:fldCharType="end"/>
      </w:r>
      <w:r>
        <w:rPr>
          <w:rFonts w:hint="eastAsia"/>
        </w:rPr>
        <w:t xml:space="preserve">  </w:t>
      </w:r>
      <w:r>
        <w:rPr>
          <w:rFonts w:hint="eastAsia"/>
        </w:rPr>
        <w:t>评价区域内植被现状图</w:t>
      </w:r>
    </w:p>
    <w:p w:rsidR="007E5FE7" w:rsidRDefault="007E5FE7" w:rsidP="007E5FE7">
      <w:pPr>
        <w:ind w:firstLine="480"/>
      </w:pPr>
      <w:r>
        <w:rPr>
          <w:rFonts w:hint="eastAsia"/>
        </w:rPr>
        <w:t>在评价区域内没发现国家重点保护植物和古大珍稀植物分布。</w:t>
      </w:r>
    </w:p>
    <w:p w:rsidR="006175A6" w:rsidRDefault="009B4BA7">
      <w:pPr>
        <w:pStyle w:val="3"/>
      </w:pPr>
      <w:r>
        <w:rPr>
          <w:rFonts w:hint="eastAsia"/>
        </w:rPr>
        <w:lastRenderedPageBreak/>
        <w:t>陆生动物资源现状</w:t>
      </w:r>
    </w:p>
    <w:p w:rsidR="006175A6" w:rsidRDefault="009B4BA7">
      <w:pPr>
        <w:ind w:firstLine="480"/>
      </w:pPr>
      <w:r>
        <w:rPr>
          <w:rFonts w:hint="eastAsia"/>
        </w:rPr>
        <w:t>（</w:t>
      </w:r>
      <w:r>
        <w:rPr>
          <w:rFonts w:hint="eastAsia"/>
        </w:rPr>
        <w:t>1</w:t>
      </w:r>
      <w:r>
        <w:rPr>
          <w:rFonts w:hint="eastAsia"/>
        </w:rPr>
        <w:t>）两栖类</w:t>
      </w:r>
    </w:p>
    <w:p w:rsidR="006175A6" w:rsidRDefault="009B4BA7">
      <w:pPr>
        <w:pStyle w:val="ae"/>
        <w:numPr>
          <w:ilvl w:val="0"/>
          <w:numId w:val="5"/>
        </w:numPr>
        <w:ind w:firstLineChars="0"/>
      </w:pPr>
      <w:r>
        <w:rPr>
          <w:rFonts w:hint="eastAsia"/>
        </w:rPr>
        <w:t>种类</w:t>
      </w:r>
    </w:p>
    <w:p w:rsidR="006175A6" w:rsidRDefault="009B4BA7">
      <w:pPr>
        <w:ind w:firstLine="480"/>
      </w:pPr>
      <w:r>
        <w:rPr>
          <w:rFonts w:hint="eastAsia"/>
        </w:rPr>
        <w:t>评价区内有两栖类动物</w:t>
      </w:r>
      <w:r>
        <w:rPr>
          <w:rFonts w:hint="eastAsia"/>
        </w:rPr>
        <w:t xml:space="preserve"> 1 </w:t>
      </w:r>
      <w:r>
        <w:rPr>
          <w:rFonts w:hint="eastAsia"/>
        </w:rPr>
        <w:t>目</w:t>
      </w:r>
      <w:r>
        <w:rPr>
          <w:rFonts w:hint="eastAsia"/>
        </w:rPr>
        <w:t xml:space="preserve"> 4 </w:t>
      </w:r>
      <w:r>
        <w:rPr>
          <w:rFonts w:hint="eastAsia"/>
        </w:rPr>
        <w:t>科</w:t>
      </w:r>
      <w:r>
        <w:rPr>
          <w:rFonts w:hint="eastAsia"/>
        </w:rPr>
        <w:t xml:space="preserve"> 8 </w:t>
      </w:r>
      <w:r>
        <w:rPr>
          <w:rFonts w:hint="eastAsia"/>
        </w:rPr>
        <w:t>种，其中省级保护动物</w:t>
      </w:r>
      <w:r>
        <w:rPr>
          <w:rFonts w:hint="eastAsia"/>
        </w:rPr>
        <w:t xml:space="preserve"> 5 </w:t>
      </w:r>
      <w:r>
        <w:rPr>
          <w:rFonts w:hint="eastAsia"/>
        </w:rPr>
        <w:t>种：中华蟾蜍、中国林蛙、泽陆蛙、绿臭蛙、饰纹姬蛙；列入《中国濒危动物红皮书》有</w:t>
      </w:r>
      <w:r>
        <w:rPr>
          <w:rFonts w:hint="eastAsia"/>
        </w:rPr>
        <w:t xml:space="preserve"> 1 </w:t>
      </w:r>
      <w:r>
        <w:rPr>
          <w:rFonts w:hint="eastAsia"/>
        </w:rPr>
        <w:t>种中国林蛙，为易危种。评价区两栖类动物名录见下表。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评价区两栖类动物名录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96"/>
        <w:gridCol w:w="1563"/>
        <w:gridCol w:w="2104"/>
        <w:gridCol w:w="750"/>
        <w:gridCol w:w="595"/>
        <w:gridCol w:w="910"/>
        <w:gridCol w:w="898"/>
      </w:tblGrid>
      <w:tr w:rsidR="006175A6">
        <w:trPr>
          <w:trHeight w:val="340"/>
        </w:trPr>
        <w:tc>
          <w:tcPr>
            <w:tcW w:w="899" w:type="pct"/>
            <w:vAlign w:val="center"/>
          </w:tcPr>
          <w:p w:rsidR="006175A6" w:rsidRDefault="009B4BA7">
            <w:pPr>
              <w:pStyle w:val="TableParagraph"/>
              <w:rPr>
                <w:rFonts w:cs="Times New Roman"/>
                <w:sz w:val="21"/>
                <w:szCs w:val="21"/>
              </w:rPr>
            </w:pPr>
            <w:r>
              <w:rPr>
                <w:rFonts w:cs="Times New Roman" w:hint="eastAsia"/>
                <w:sz w:val="21"/>
                <w:szCs w:val="21"/>
              </w:rPr>
              <w:t>科名</w:t>
            </w:r>
          </w:p>
        </w:tc>
        <w:tc>
          <w:tcPr>
            <w:tcW w:w="940" w:type="pct"/>
            <w:vAlign w:val="center"/>
          </w:tcPr>
          <w:p w:rsidR="006175A6" w:rsidRDefault="009B4BA7">
            <w:pPr>
              <w:pStyle w:val="TableParagraph"/>
              <w:rPr>
                <w:rFonts w:cs="Times New Roman"/>
                <w:sz w:val="21"/>
                <w:szCs w:val="21"/>
              </w:rPr>
            </w:pPr>
            <w:r>
              <w:rPr>
                <w:rFonts w:cs="Times New Roman" w:hint="eastAsia"/>
                <w:sz w:val="21"/>
                <w:szCs w:val="21"/>
              </w:rPr>
              <w:t>种名</w:t>
            </w:r>
          </w:p>
        </w:tc>
        <w:tc>
          <w:tcPr>
            <w:tcW w:w="1265" w:type="pct"/>
            <w:vAlign w:val="center"/>
          </w:tcPr>
          <w:p w:rsidR="006175A6" w:rsidRDefault="009B4BA7">
            <w:pPr>
              <w:pStyle w:val="TableParagraph"/>
              <w:rPr>
                <w:rFonts w:cs="Times New Roman"/>
                <w:sz w:val="21"/>
                <w:szCs w:val="21"/>
              </w:rPr>
            </w:pPr>
            <w:r>
              <w:rPr>
                <w:rFonts w:cs="Times New Roman" w:hint="eastAsia"/>
                <w:sz w:val="21"/>
                <w:szCs w:val="21"/>
              </w:rPr>
              <w:t>生境</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区系</w:t>
            </w:r>
          </w:p>
        </w:tc>
        <w:tc>
          <w:tcPr>
            <w:tcW w:w="358" w:type="pct"/>
            <w:vAlign w:val="center"/>
          </w:tcPr>
          <w:p w:rsidR="006175A6" w:rsidRDefault="009B4BA7">
            <w:pPr>
              <w:pStyle w:val="TableParagraph"/>
              <w:rPr>
                <w:rFonts w:cs="Times New Roman"/>
                <w:sz w:val="21"/>
                <w:szCs w:val="21"/>
              </w:rPr>
            </w:pPr>
            <w:r>
              <w:rPr>
                <w:rFonts w:cs="Times New Roman" w:hint="eastAsia"/>
                <w:sz w:val="21"/>
                <w:szCs w:val="21"/>
              </w:rPr>
              <w:t>数量</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保护等级</w:t>
            </w:r>
          </w:p>
        </w:tc>
        <w:tc>
          <w:tcPr>
            <w:tcW w:w="540" w:type="pct"/>
            <w:vAlign w:val="center"/>
          </w:tcPr>
          <w:p w:rsidR="006175A6" w:rsidRDefault="009B4BA7">
            <w:pPr>
              <w:pStyle w:val="TableParagraph"/>
              <w:rPr>
                <w:rFonts w:cs="Times New Roman"/>
                <w:sz w:val="21"/>
                <w:szCs w:val="21"/>
              </w:rPr>
            </w:pPr>
            <w:r>
              <w:rPr>
                <w:rFonts w:cs="Times New Roman" w:hint="eastAsia"/>
                <w:sz w:val="21"/>
                <w:szCs w:val="21"/>
              </w:rPr>
              <w:t>濒危等级</w:t>
            </w:r>
          </w:p>
        </w:tc>
      </w:tr>
      <w:tr w:rsidR="006175A6">
        <w:trPr>
          <w:trHeight w:val="340"/>
        </w:trPr>
        <w:tc>
          <w:tcPr>
            <w:tcW w:w="4460" w:type="pct"/>
            <w:gridSpan w:val="6"/>
            <w:vAlign w:val="center"/>
          </w:tcPr>
          <w:p w:rsidR="006175A6" w:rsidRDefault="009B4BA7">
            <w:pPr>
              <w:pStyle w:val="TableParagraph"/>
              <w:rPr>
                <w:rFonts w:ascii="Times New Roman"/>
                <w:sz w:val="21"/>
                <w:szCs w:val="21"/>
              </w:rPr>
            </w:pPr>
            <w:r>
              <w:rPr>
                <w:rFonts w:cs="Times New Roman" w:hint="eastAsia"/>
                <w:sz w:val="21"/>
                <w:szCs w:val="21"/>
              </w:rPr>
              <w:t xml:space="preserve">一、无尾目 </w:t>
            </w:r>
            <w:r>
              <w:rPr>
                <w:rFonts w:ascii="Times New Roman"/>
                <w:sz w:val="21"/>
                <w:szCs w:val="21"/>
              </w:rPr>
              <w:t>ANURA</w:t>
            </w:r>
          </w:p>
        </w:tc>
        <w:tc>
          <w:tcPr>
            <w:tcW w:w="540" w:type="pct"/>
            <w:vAlign w:val="center"/>
          </w:tcPr>
          <w:p w:rsidR="006175A6" w:rsidRDefault="006175A6">
            <w:pPr>
              <w:pStyle w:val="TableParagraph"/>
              <w:rPr>
                <w:rFonts w:ascii="Times New Roman"/>
                <w:sz w:val="20"/>
                <w:szCs w:val="20"/>
              </w:rPr>
            </w:pPr>
          </w:p>
        </w:tc>
      </w:tr>
      <w:tr w:rsidR="006175A6">
        <w:trPr>
          <w:trHeight w:val="340"/>
        </w:trPr>
        <w:tc>
          <w:tcPr>
            <w:tcW w:w="899"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一</w:t>
            </w:r>
            <w:r>
              <w:rPr>
                <w:rFonts w:ascii="Times New Roman"/>
                <w:sz w:val="21"/>
                <w:szCs w:val="21"/>
              </w:rPr>
              <w:t>）</w:t>
            </w:r>
            <w:r w:rsidR="009B4BA7">
              <w:rPr>
                <w:rFonts w:cs="Times New Roman" w:hint="eastAsia"/>
                <w:sz w:val="21"/>
                <w:szCs w:val="21"/>
              </w:rPr>
              <w:t>蟾蜍科</w:t>
            </w:r>
            <w:r w:rsidR="009B4BA7">
              <w:rPr>
                <w:rFonts w:ascii="Times New Roman"/>
                <w:sz w:val="21"/>
                <w:szCs w:val="21"/>
              </w:rPr>
              <w:t>Bufonidae</w:t>
            </w:r>
          </w:p>
        </w:tc>
        <w:tc>
          <w:tcPr>
            <w:tcW w:w="940" w:type="pct"/>
            <w:vAlign w:val="center"/>
          </w:tcPr>
          <w:p w:rsidR="006175A6" w:rsidRDefault="009B4BA7">
            <w:pPr>
              <w:pStyle w:val="TableParagraph"/>
              <w:rPr>
                <w:rFonts w:cs="Times New Roman"/>
                <w:sz w:val="21"/>
                <w:szCs w:val="21"/>
              </w:rPr>
            </w:pPr>
            <w:r>
              <w:rPr>
                <w:rFonts w:ascii="Times New Roman"/>
                <w:sz w:val="21"/>
                <w:szCs w:val="21"/>
              </w:rPr>
              <w:t>1.</w:t>
            </w:r>
            <w:r>
              <w:rPr>
                <w:rFonts w:cs="Times New Roman" w:hint="eastAsia"/>
                <w:sz w:val="21"/>
                <w:szCs w:val="21"/>
              </w:rPr>
              <w:t>中华蟾蜍</w:t>
            </w:r>
          </w:p>
          <w:p w:rsidR="006175A6" w:rsidRDefault="009B4BA7">
            <w:pPr>
              <w:pStyle w:val="TableParagraph"/>
              <w:rPr>
                <w:rFonts w:ascii="Times New Roman"/>
                <w:i/>
                <w:sz w:val="21"/>
                <w:szCs w:val="21"/>
              </w:rPr>
            </w:pPr>
            <w:r>
              <w:rPr>
                <w:rFonts w:ascii="Times New Roman"/>
                <w:i/>
                <w:sz w:val="21"/>
                <w:szCs w:val="21"/>
              </w:rPr>
              <w:t>Bufo gargarizans</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池塘、沟渠、河岸边及</w:t>
            </w:r>
          </w:p>
          <w:p w:rsidR="006175A6" w:rsidRDefault="009B4BA7">
            <w:pPr>
              <w:pStyle w:val="TableParagraph"/>
              <w:rPr>
                <w:rFonts w:cs="Times New Roman"/>
                <w:sz w:val="21"/>
                <w:szCs w:val="21"/>
                <w:lang w:eastAsia="zh-CN"/>
              </w:rPr>
            </w:pPr>
            <w:r>
              <w:rPr>
                <w:rFonts w:cs="Times New Roman" w:hint="eastAsia"/>
                <w:sz w:val="21"/>
                <w:szCs w:val="21"/>
                <w:lang w:eastAsia="zh-CN"/>
              </w:rPr>
              <w:t>田埂、池边或房屋周围</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广布</w:t>
            </w:r>
          </w:p>
          <w:p w:rsidR="006175A6" w:rsidRDefault="009B4BA7">
            <w:pPr>
              <w:pStyle w:val="TableParagraph"/>
              <w:rPr>
                <w:rFonts w:cs="Times New Roman"/>
                <w:sz w:val="21"/>
                <w:szCs w:val="21"/>
              </w:rPr>
            </w:pPr>
            <w:r>
              <w:rPr>
                <w:rFonts w:cs="Times New Roman" w:hint="eastAsia"/>
                <w:sz w:val="21"/>
                <w:szCs w:val="21"/>
              </w:rPr>
              <w:t>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540" w:type="pct"/>
            <w:vAlign w:val="center"/>
          </w:tcPr>
          <w:p w:rsidR="006175A6" w:rsidRDefault="006175A6">
            <w:pPr>
              <w:pStyle w:val="TableParagraph"/>
              <w:rPr>
                <w:rFonts w:ascii="Times New Roman"/>
              </w:rPr>
            </w:pPr>
          </w:p>
        </w:tc>
      </w:tr>
      <w:tr w:rsidR="006175A6">
        <w:trPr>
          <w:trHeight w:val="340"/>
        </w:trPr>
        <w:tc>
          <w:tcPr>
            <w:tcW w:w="899" w:type="pct"/>
            <w:vAlign w:val="center"/>
          </w:tcPr>
          <w:p w:rsidR="006175A6" w:rsidRDefault="009B4BA7">
            <w:pPr>
              <w:pStyle w:val="TableParagraph"/>
              <w:rPr>
                <w:rFonts w:ascii="Times New Roman"/>
                <w:sz w:val="21"/>
                <w:szCs w:val="21"/>
              </w:rPr>
            </w:pPr>
            <w:r>
              <w:rPr>
                <w:rFonts w:ascii="Times New Roman"/>
                <w:sz w:val="21"/>
                <w:szCs w:val="21"/>
              </w:rPr>
              <w:t xml:space="preserve"> </w:t>
            </w:r>
            <w:r w:rsidR="00E97427">
              <w:rPr>
                <w:rFonts w:ascii="Times New Roman"/>
                <w:sz w:val="21"/>
                <w:szCs w:val="21"/>
              </w:rPr>
              <w:t>（</w:t>
            </w:r>
            <w:r>
              <w:rPr>
                <w:rFonts w:cs="Times New Roman" w:hint="eastAsia"/>
                <w:sz w:val="21"/>
                <w:szCs w:val="21"/>
              </w:rPr>
              <w:t>二</w:t>
            </w:r>
            <w:r w:rsidR="00E97427">
              <w:rPr>
                <w:rFonts w:ascii="Times New Roman"/>
                <w:sz w:val="21"/>
                <w:szCs w:val="21"/>
              </w:rPr>
              <w:t>）</w:t>
            </w:r>
            <w:r>
              <w:rPr>
                <w:rFonts w:cs="Times New Roman" w:hint="eastAsia"/>
                <w:sz w:val="21"/>
                <w:szCs w:val="21"/>
              </w:rPr>
              <w:t>雨蛙科</w:t>
            </w:r>
            <w:r>
              <w:rPr>
                <w:rFonts w:ascii="Times New Roman"/>
                <w:sz w:val="21"/>
                <w:szCs w:val="21"/>
              </w:rPr>
              <w:t>Hylidae</w:t>
            </w:r>
          </w:p>
        </w:tc>
        <w:tc>
          <w:tcPr>
            <w:tcW w:w="940" w:type="pct"/>
            <w:vAlign w:val="center"/>
          </w:tcPr>
          <w:p w:rsidR="006175A6" w:rsidRDefault="009B4BA7">
            <w:pPr>
              <w:pStyle w:val="TableParagraph"/>
              <w:rPr>
                <w:rFonts w:ascii="Times New Roman"/>
                <w:i/>
                <w:sz w:val="21"/>
                <w:szCs w:val="21"/>
              </w:rPr>
            </w:pPr>
            <w:r>
              <w:rPr>
                <w:rFonts w:ascii="Times New Roman"/>
                <w:sz w:val="21"/>
                <w:szCs w:val="21"/>
              </w:rPr>
              <w:t>2.</w:t>
            </w:r>
            <w:r>
              <w:rPr>
                <w:rFonts w:cs="Times New Roman" w:hint="eastAsia"/>
                <w:sz w:val="21"/>
                <w:szCs w:val="21"/>
              </w:rPr>
              <w:t>无斑雨蛙</w:t>
            </w:r>
            <w:r>
              <w:rPr>
                <w:rFonts w:ascii="Times New Roman"/>
                <w:i/>
                <w:sz w:val="21"/>
                <w:szCs w:val="21"/>
              </w:rPr>
              <w:t>Hylaarborea immaculate</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栖于低山或丘陵平原地区水田、池塘、河沟及沼泽附近灌丛及农作物植株上。</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古北种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540" w:type="pct"/>
            <w:vAlign w:val="center"/>
          </w:tcPr>
          <w:p w:rsidR="006175A6" w:rsidRDefault="006175A6">
            <w:pPr>
              <w:pStyle w:val="TableParagraph"/>
              <w:rPr>
                <w:rFonts w:ascii="Times New Roman"/>
              </w:rPr>
            </w:pPr>
          </w:p>
        </w:tc>
      </w:tr>
      <w:tr w:rsidR="006175A6">
        <w:trPr>
          <w:trHeight w:val="340"/>
        </w:trPr>
        <w:tc>
          <w:tcPr>
            <w:tcW w:w="899" w:type="pct"/>
            <w:vMerge w:val="restart"/>
            <w:vAlign w:val="center"/>
          </w:tcPr>
          <w:p w:rsidR="006175A6" w:rsidRDefault="009B4BA7">
            <w:pPr>
              <w:pStyle w:val="TableParagraph"/>
              <w:rPr>
                <w:rFonts w:ascii="Times New Roman"/>
                <w:sz w:val="21"/>
                <w:szCs w:val="21"/>
              </w:rPr>
            </w:pPr>
            <w:r>
              <w:rPr>
                <w:rFonts w:ascii="Times New Roman"/>
                <w:sz w:val="21"/>
                <w:szCs w:val="21"/>
              </w:rPr>
              <w:t xml:space="preserve"> </w:t>
            </w:r>
            <w:r w:rsidR="00E97427">
              <w:rPr>
                <w:rFonts w:ascii="Times New Roman"/>
                <w:sz w:val="21"/>
                <w:szCs w:val="21"/>
              </w:rPr>
              <w:t>（</w:t>
            </w:r>
            <w:r>
              <w:rPr>
                <w:rFonts w:cs="Times New Roman" w:hint="eastAsia"/>
                <w:sz w:val="21"/>
                <w:szCs w:val="21"/>
              </w:rPr>
              <w:t>三</w:t>
            </w:r>
            <w:r w:rsidR="00E97427">
              <w:rPr>
                <w:rFonts w:ascii="Times New Roman"/>
                <w:sz w:val="21"/>
                <w:szCs w:val="21"/>
              </w:rPr>
              <w:t>）</w:t>
            </w:r>
            <w:r>
              <w:rPr>
                <w:rFonts w:cs="Times New Roman" w:hint="eastAsia"/>
                <w:sz w:val="21"/>
                <w:szCs w:val="21"/>
              </w:rPr>
              <w:t>蛙科</w:t>
            </w:r>
            <w:r>
              <w:rPr>
                <w:rFonts w:ascii="Times New Roman"/>
                <w:sz w:val="21"/>
                <w:szCs w:val="21"/>
              </w:rPr>
              <w:t>Ranidae</w:t>
            </w:r>
          </w:p>
        </w:tc>
        <w:tc>
          <w:tcPr>
            <w:tcW w:w="940" w:type="pct"/>
            <w:vAlign w:val="center"/>
          </w:tcPr>
          <w:p w:rsidR="006175A6" w:rsidRDefault="009B4BA7">
            <w:pPr>
              <w:pStyle w:val="TableParagraph"/>
              <w:rPr>
                <w:rFonts w:cs="Times New Roman"/>
                <w:sz w:val="21"/>
                <w:szCs w:val="21"/>
              </w:rPr>
            </w:pPr>
            <w:r>
              <w:rPr>
                <w:rFonts w:ascii="Times New Roman"/>
                <w:sz w:val="21"/>
                <w:szCs w:val="21"/>
              </w:rPr>
              <w:t>3.</w:t>
            </w:r>
            <w:r>
              <w:rPr>
                <w:rFonts w:cs="Times New Roman" w:hint="eastAsia"/>
                <w:sz w:val="21"/>
                <w:szCs w:val="21"/>
              </w:rPr>
              <w:t>中国林蛙</w:t>
            </w:r>
          </w:p>
          <w:p w:rsidR="006175A6" w:rsidRDefault="009B4BA7">
            <w:pPr>
              <w:pStyle w:val="TableParagraph"/>
              <w:rPr>
                <w:rFonts w:ascii="Times New Roman"/>
                <w:i/>
                <w:sz w:val="21"/>
                <w:szCs w:val="21"/>
              </w:rPr>
            </w:pPr>
            <w:r>
              <w:rPr>
                <w:rFonts w:ascii="Times New Roman"/>
                <w:i/>
                <w:sz w:val="21"/>
                <w:szCs w:val="21"/>
              </w:rPr>
              <w:t>R.chinensis</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春夏间栖居阴湿的山坡树丛中，离水较远。</w:t>
            </w:r>
            <w:r>
              <w:rPr>
                <w:rFonts w:ascii="Times New Roman"/>
                <w:sz w:val="21"/>
                <w:szCs w:val="21"/>
                <w:lang w:eastAsia="zh-CN"/>
              </w:rPr>
              <w:t xml:space="preserve">9 </w:t>
            </w:r>
            <w:r>
              <w:rPr>
                <w:rFonts w:cs="Times New Roman" w:hint="eastAsia"/>
                <w:sz w:val="21"/>
                <w:szCs w:val="21"/>
                <w:lang w:eastAsia="zh-CN"/>
              </w:rPr>
              <w:t xml:space="preserve">月至翌年 </w:t>
            </w:r>
            <w:r>
              <w:rPr>
                <w:rFonts w:ascii="Times New Roman"/>
                <w:sz w:val="21"/>
                <w:szCs w:val="21"/>
                <w:lang w:eastAsia="zh-CN"/>
              </w:rPr>
              <w:t>3</w:t>
            </w:r>
            <w:r>
              <w:rPr>
                <w:rFonts w:cs="Times New Roman" w:hint="eastAsia"/>
                <w:sz w:val="21"/>
                <w:szCs w:val="21"/>
                <w:lang w:eastAsia="zh-CN"/>
              </w:rPr>
              <w:t>月间营水栖生活，冬季成群匿在水中石下冬眠。</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540" w:type="pct"/>
            <w:vAlign w:val="center"/>
          </w:tcPr>
          <w:p w:rsidR="006175A6" w:rsidRDefault="009B4BA7">
            <w:pPr>
              <w:pStyle w:val="TableParagraph"/>
              <w:rPr>
                <w:rFonts w:cs="Times New Roman"/>
                <w:sz w:val="21"/>
                <w:szCs w:val="21"/>
              </w:rPr>
            </w:pPr>
            <w:r>
              <w:rPr>
                <w:rFonts w:cs="Times New Roman" w:hint="eastAsia"/>
                <w:sz w:val="21"/>
                <w:szCs w:val="21"/>
              </w:rPr>
              <w:t>易危</w:t>
            </w:r>
          </w:p>
        </w:tc>
      </w:tr>
      <w:tr w:rsidR="006175A6">
        <w:trPr>
          <w:trHeight w:val="340"/>
        </w:trPr>
        <w:tc>
          <w:tcPr>
            <w:tcW w:w="899" w:type="pct"/>
            <w:vMerge/>
            <w:vAlign w:val="center"/>
          </w:tcPr>
          <w:p w:rsidR="006175A6" w:rsidRDefault="006175A6">
            <w:pPr>
              <w:widowControl/>
              <w:spacing w:line="240" w:lineRule="auto"/>
              <w:ind w:firstLineChars="0" w:firstLine="0"/>
              <w:jc w:val="center"/>
              <w:rPr>
                <w:rFonts w:hAnsi="宋体" w:cs="宋体"/>
                <w:sz w:val="21"/>
              </w:rPr>
            </w:pPr>
          </w:p>
        </w:tc>
        <w:tc>
          <w:tcPr>
            <w:tcW w:w="940" w:type="pct"/>
            <w:vAlign w:val="center"/>
          </w:tcPr>
          <w:p w:rsidR="006175A6" w:rsidRDefault="009B4BA7">
            <w:pPr>
              <w:pStyle w:val="TableParagraph"/>
              <w:rPr>
                <w:rFonts w:ascii="Times New Roman"/>
                <w:i/>
                <w:sz w:val="21"/>
                <w:szCs w:val="21"/>
              </w:rPr>
            </w:pPr>
            <w:r>
              <w:rPr>
                <w:rFonts w:ascii="Times New Roman"/>
                <w:sz w:val="21"/>
                <w:szCs w:val="21"/>
              </w:rPr>
              <w:t>4.</w:t>
            </w:r>
            <w:r>
              <w:rPr>
                <w:rFonts w:cs="Times New Roman" w:hint="eastAsia"/>
                <w:sz w:val="21"/>
                <w:szCs w:val="21"/>
              </w:rPr>
              <w:t>黑斑侧褶蛙</w:t>
            </w:r>
            <w:r>
              <w:rPr>
                <w:rFonts w:ascii="Times New Roman"/>
                <w:i/>
                <w:sz w:val="21"/>
                <w:szCs w:val="21"/>
              </w:rPr>
              <w:t>Pelophylax nigromaculata</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常栖息于池塘、水沟或小河内，或附近的草丛中。</w:t>
            </w:r>
          </w:p>
          <w:p w:rsidR="006175A6" w:rsidRDefault="009B4BA7">
            <w:pPr>
              <w:pStyle w:val="TableParagraph"/>
              <w:rPr>
                <w:rFonts w:cs="Times New Roman"/>
                <w:sz w:val="21"/>
                <w:szCs w:val="21"/>
              </w:rPr>
            </w:pPr>
            <w:r>
              <w:rPr>
                <w:rFonts w:cs="Times New Roman" w:hint="eastAsia"/>
                <w:sz w:val="21"/>
                <w:szCs w:val="21"/>
              </w:rPr>
              <w:t xml:space="preserve">产卵季节为 </w:t>
            </w:r>
            <w:r>
              <w:rPr>
                <w:rFonts w:ascii="Times New Roman"/>
                <w:sz w:val="21"/>
                <w:szCs w:val="21"/>
              </w:rPr>
              <w:t xml:space="preserve">3~6 </w:t>
            </w:r>
            <w:r>
              <w:rPr>
                <w:rFonts w:cs="Times New Roman" w:hint="eastAsia"/>
                <w:sz w:val="21"/>
                <w:szCs w:val="21"/>
              </w:rPr>
              <w:t>月。</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540" w:type="pct"/>
            <w:vAlign w:val="center"/>
          </w:tcPr>
          <w:p w:rsidR="006175A6" w:rsidRDefault="006175A6">
            <w:pPr>
              <w:pStyle w:val="TableParagraph"/>
              <w:rPr>
                <w:rFonts w:ascii="Times New Roman"/>
              </w:rPr>
            </w:pPr>
          </w:p>
        </w:tc>
      </w:tr>
      <w:tr w:rsidR="006175A6">
        <w:trPr>
          <w:trHeight w:val="340"/>
        </w:trPr>
        <w:tc>
          <w:tcPr>
            <w:tcW w:w="899" w:type="pct"/>
            <w:vMerge/>
            <w:vAlign w:val="center"/>
          </w:tcPr>
          <w:p w:rsidR="006175A6" w:rsidRDefault="006175A6">
            <w:pPr>
              <w:widowControl/>
              <w:spacing w:line="240" w:lineRule="auto"/>
              <w:ind w:firstLineChars="0" w:firstLine="0"/>
              <w:jc w:val="center"/>
              <w:rPr>
                <w:rFonts w:hAnsi="宋体" w:cs="宋体"/>
                <w:sz w:val="21"/>
              </w:rPr>
            </w:pPr>
          </w:p>
        </w:tc>
        <w:tc>
          <w:tcPr>
            <w:tcW w:w="940" w:type="pct"/>
            <w:vAlign w:val="center"/>
          </w:tcPr>
          <w:p w:rsidR="006175A6" w:rsidRDefault="009B4BA7">
            <w:pPr>
              <w:pStyle w:val="TableParagraph"/>
              <w:rPr>
                <w:rFonts w:cs="Times New Roman"/>
                <w:sz w:val="21"/>
                <w:szCs w:val="21"/>
              </w:rPr>
            </w:pPr>
            <w:r>
              <w:rPr>
                <w:rFonts w:ascii="Times New Roman"/>
                <w:sz w:val="21"/>
                <w:szCs w:val="21"/>
              </w:rPr>
              <w:t>5.</w:t>
            </w:r>
            <w:r>
              <w:rPr>
                <w:rFonts w:cs="Times New Roman" w:hint="eastAsia"/>
                <w:sz w:val="21"/>
                <w:szCs w:val="21"/>
              </w:rPr>
              <w:t>泽陆蛙</w:t>
            </w:r>
          </w:p>
          <w:p w:rsidR="006175A6" w:rsidRDefault="009B4BA7">
            <w:pPr>
              <w:pStyle w:val="TableParagraph"/>
              <w:rPr>
                <w:rFonts w:ascii="Times New Roman"/>
                <w:i/>
                <w:sz w:val="21"/>
                <w:szCs w:val="21"/>
              </w:rPr>
            </w:pPr>
            <w:r>
              <w:rPr>
                <w:rFonts w:ascii="Times New Roman"/>
                <w:i/>
                <w:sz w:val="21"/>
                <w:szCs w:val="21"/>
              </w:rPr>
              <w:t>R.limnocharis</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栖息于池沼、水田及其</w:t>
            </w:r>
          </w:p>
          <w:p w:rsidR="006175A6" w:rsidRDefault="009B4BA7">
            <w:pPr>
              <w:pStyle w:val="TableParagraph"/>
              <w:rPr>
                <w:rFonts w:cs="Times New Roman"/>
                <w:sz w:val="21"/>
                <w:szCs w:val="21"/>
                <w:lang w:eastAsia="zh-CN"/>
              </w:rPr>
            </w:pPr>
            <w:r>
              <w:rPr>
                <w:rFonts w:cs="Times New Roman" w:hint="eastAsia"/>
                <w:sz w:val="21"/>
                <w:szCs w:val="21"/>
                <w:lang w:eastAsia="zh-CN"/>
              </w:rPr>
              <w:t>附近的田野和潮湿环境。</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540" w:type="pct"/>
            <w:vAlign w:val="center"/>
          </w:tcPr>
          <w:p w:rsidR="006175A6" w:rsidRDefault="006175A6">
            <w:pPr>
              <w:pStyle w:val="TableParagraph"/>
              <w:rPr>
                <w:rFonts w:ascii="Times New Roman"/>
              </w:rPr>
            </w:pPr>
          </w:p>
        </w:tc>
      </w:tr>
      <w:tr w:rsidR="006175A6">
        <w:trPr>
          <w:trHeight w:val="340"/>
        </w:trPr>
        <w:tc>
          <w:tcPr>
            <w:tcW w:w="899" w:type="pct"/>
            <w:vMerge/>
            <w:vAlign w:val="center"/>
          </w:tcPr>
          <w:p w:rsidR="006175A6" w:rsidRDefault="006175A6">
            <w:pPr>
              <w:widowControl/>
              <w:spacing w:line="240" w:lineRule="auto"/>
              <w:ind w:firstLineChars="0" w:firstLine="0"/>
              <w:jc w:val="center"/>
              <w:rPr>
                <w:rFonts w:hAnsi="宋体" w:cs="宋体"/>
                <w:sz w:val="21"/>
              </w:rPr>
            </w:pPr>
          </w:p>
        </w:tc>
        <w:tc>
          <w:tcPr>
            <w:tcW w:w="940" w:type="pct"/>
            <w:vAlign w:val="center"/>
          </w:tcPr>
          <w:p w:rsidR="006175A6" w:rsidRDefault="009B4BA7">
            <w:pPr>
              <w:pStyle w:val="TableParagraph"/>
              <w:rPr>
                <w:rFonts w:ascii="Times New Roman"/>
                <w:i/>
                <w:sz w:val="21"/>
                <w:szCs w:val="21"/>
              </w:rPr>
            </w:pPr>
            <w:r>
              <w:rPr>
                <w:rFonts w:ascii="Times New Roman"/>
                <w:sz w:val="21"/>
                <w:szCs w:val="21"/>
              </w:rPr>
              <w:t>6.</w:t>
            </w:r>
            <w:r>
              <w:rPr>
                <w:rFonts w:cs="Times New Roman" w:hint="eastAsia"/>
                <w:sz w:val="21"/>
                <w:szCs w:val="21"/>
              </w:rPr>
              <w:t>湖北侧褶蛙</w:t>
            </w:r>
            <w:r>
              <w:rPr>
                <w:rFonts w:ascii="Times New Roman"/>
                <w:i/>
                <w:sz w:val="21"/>
                <w:szCs w:val="21"/>
              </w:rPr>
              <w:t>Pelophylax hubeiensisi</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常栖息于池塘、水沟或</w:t>
            </w:r>
          </w:p>
          <w:p w:rsidR="006175A6" w:rsidRDefault="009B4BA7">
            <w:pPr>
              <w:pStyle w:val="TableParagraph"/>
              <w:rPr>
                <w:rFonts w:cs="Times New Roman"/>
                <w:sz w:val="21"/>
                <w:szCs w:val="21"/>
                <w:lang w:eastAsia="zh-CN"/>
              </w:rPr>
            </w:pPr>
            <w:r>
              <w:rPr>
                <w:rFonts w:cs="Times New Roman" w:hint="eastAsia"/>
                <w:sz w:val="21"/>
                <w:szCs w:val="21"/>
                <w:lang w:eastAsia="zh-CN"/>
              </w:rPr>
              <w:t>小河内，或附近的草丛中。</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540" w:type="pct"/>
            <w:vAlign w:val="center"/>
          </w:tcPr>
          <w:p w:rsidR="006175A6" w:rsidRDefault="006175A6">
            <w:pPr>
              <w:pStyle w:val="TableParagraph"/>
              <w:rPr>
                <w:rFonts w:ascii="Times New Roman"/>
              </w:rPr>
            </w:pPr>
          </w:p>
        </w:tc>
      </w:tr>
      <w:tr w:rsidR="006175A6">
        <w:trPr>
          <w:trHeight w:val="340"/>
        </w:trPr>
        <w:tc>
          <w:tcPr>
            <w:tcW w:w="899" w:type="pct"/>
            <w:vMerge/>
            <w:vAlign w:val="center"/>
          </w:tcPr>
          <w:p w:rsidR="006175A6" w:rsidRDefault="006175A6">
            <w:pPr>
              <w:widowControl/>
              <w:spacing w:line="240" w:lineRule="auto"/>
              <w:ind w:firstLineChars="0" w:firstLine="0"/>
              <w:jc w:val="center"/>
              <w:rPr>
                <w:rFonts w:hAnsi="宋体" w:cs="宋体"/>
                <w:sz w:val="21"/>
              </w:rPr>
            </w:pPr>
          </w:p>
        </w:tc>
        <w:tc>
          <w:tcPr>
            <w:tcW w:w="940" w:type="pct"/>
            <w:vAlign w:val="center"/>
          </w:tcPr>
          <w:p w:rsidR="006175A6" w:rsidRDefault="009B4BA7">
            <w:pPr>
              <w:pStyle w:val="TableParagraph"/>
              <w:rPr>
                <w:rFonts w:cs="Times New Roman"/>
                <w:sz w:val="21"/>
                <w:szCs w:val="21"/>
              </w:rPr>
            </w:pPr>
            <w:r>
              <w:rPr>
                <w:rFonts w:ascii="Times New Roman"/>
                <w:sz w:val="21"/>
                <w:szCs w:val="21"/>
              </w:rPr>
              <w:t>7.</w:t>
            </w:r>
            <w:r>
              <w:rPr>
                <w:rFonts w:cs="Times New Roman" w:hint="eastAsia"/>
                <w:sz w:val="21"/>
                <w:szCs w:val="21"/>
              </w:rPr>
              <w:t>绿臭蛙</w:t>
            </w:r>
          </w:p>
          <w:p w:rsidR="006175A6" w:rsidRDefault="009B4BA7">
            <w:pPr>
              <w:pStyle w:val="TableParagraph"/>
              <w:rPr>
                <w:rFonts w:ascii="Times New Roman"/>
                <w:i/>
                <w:sz w:val="21"/>
                <w:szCs w:val="21"/>
              </w:rPr>
            </w:pPr>
            <w:r>
              <w:rPr>
                <w:rFonts w:ascii="Times New Roman"/>
                <w:i/>
                <w:sz w:val="21"/>
                <w:szCs w:val="21"/>
              </w:rPr>
              <w:t>R.margaratae</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栖息于山涧湍溪长满苔藓植物的陡岩上。</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东洋</w:t>
            </w:r>
          </w:p>
          <w:p w:rsidR="006175A6" w:rsidRDefault="009B4BA7">
            <w:pPr>
              <w:pStyle w:val="TableParagraph"/>
              <w:rPr>
                <w:rFonts w:cs="Times New Roman"/>
                <w:sz w:val="21"/>
                <w:szCs w:val="21"/>
              </w:rPr>
            </w:pPr>
            <w:r>
              <w:rPr>
                <w:rFonts w:cs="Times New Roman" w:hint="eastAsia"/>
                <w:sz w:val="21"/>
                <w:szCs w:val="21"/>
              </w:rPr>
              <w:t>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540" w:type="pct"/>
            <w:vAlign w:val="center"/>
          </w:tcPr>
          <w:p w:rsidR="006175A6" w:rsidRDefault="006175A6">
            <w:pPr>
              <w:pStyle w:val="TableParagraph"/>
              <w:rPr>
                <w:rFonts w:ascii="Times New Roman"/>
              </w:rPr>
            </w:pPr>
          </w:p>
        </w:tc>
      </w:tr>
      <w:tr w:rsidR="006175A6">
        <w:trPr>
          <w:trHeight w:val="340"/>
        </w:trPr>
        <w:tc>
          <w:tcPr>
            <w:tcW w:w="899"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四</w:t>
            </w:r>
            <w:r>
              <w:rPr>
                <w:rFonts w:ascii="Times New Roman"/>
                <w:sz w:val="21"/>
                <w:szCs w:val="21"/>
              </w:rPr>
              <w:t>）</w:t>
            </w:r>
            <w:r w:rsidR="009B4BA7">
              <w:rPr>
                <w:rFonts w:cs="Times New Roman" w:hint="eastAsia"/>
                <w:sz w:val="21"/>
                <w:szCs w:val="21"/>
              </w:rPr>
              <w:t>姬蛙科</w:t>
            </w:r>
            <w:r w:rsidR="009B4BA7">
              <w:rPr>
                <w:rFonts w:ascii="Times New Roman"/>
                <w:sz w:val="21"/>
                <w:szCs w:val="21"/>
              </w:rPr>
              <w:t>Microhylidae</w:t>
            </w:r>
          </w:p>
        </w:tc>
        <w:tc>
          <w:tcPr>
            <w:tcW w:w="940" w:type="pct"/>
            <w:vAlign w:val="center"/>
          </w:tcPr>
          <w:p w:rsidR="006175A6" w:rsidRDefault="009B4BA7">
            <w:pPr>
              <w:pStyle w:val="TableParagraph"/>
              <w:rPr>
                <w:rFonts w:cs="Times New Roman"/>
                <w:sz w:val="21"/>
                <w:szCs w:val="21"/>
              </w:rPr>
            </w:pPr>
            <w:r>
              <w:rPr>
                <w:rFonts w:ascii="Times New Roman"/>
                <w:sz w:val="21"/>
                <w:szCs w:val="21"/>
              </w:rPr>
              <w:t>8.</w:t>
            </w:r>
            <w:r>
              <w:rPr>
                <w:rFonts w:cs="Times New Roman" w:hint="eastAsia"/>
                <w:sz w:val="21"/>
                <w:szCs w:val="21"/>
              </w:rPr>
              <w:t>饰纹姬蛙</w:t>
            </w:r>
          </w:p>
          <w:p w:rsidR="006175A6" w:rsidRDefault="009B4BA7">
            <w:pPr>
              <w:pStyle w:val="TableParagraph"/>
              <w:rPr>
                <w:rFonts w:ascii="Times New Roman"/>
                <w:i/>
                <w:sz w:val="21"/>
                <w:szCs w:val="21"/>
              </w:rPr>
            </w:pPr>
            <w:r>
              <w:rPr>
                <w:rFonts w:ascii="Times New Roman"/>
                <w:i/>
                <w:sz w:val="21"/>
                <w:szCs w:val="21"/>
              </w:rPr>
              <w:t>M.ornata</w:t>
            </w:r>
          </w:p>
        </w:tc>
        <w:tc>
          <w:tcPr>
            <w:tcW w:w="126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生活于水田或水塘彼岸草丛中，以蚁及小型鞘翅目昆虫为食。</w:t>
            </w:r>
          </w:p>
        </w:tc>
        <w:tc>
          <w:tcPr>
            <w:tcW w:w="451"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358" w:type="pct"/>
            <w:vAlign w:val="center"/>
          </w:tcPr>
          <w:p w:rsidR="006175A6" w:rsidRDefault="009B4BA7">
            <w:pPr>
              <w:pStyle w:val="TableParagraph"/>
              <w:rPr>
                <w:rFonts w:ascii="Times New Roman"/>
                <w:sz w:val="21"/>
                <w:szCs w:val="21"/>
              </w:rPr>
            </w:pPr>
            <w:r>
              <w:rPr>
                <w:rFonts w:ascii="Times New Roman"/>
                <w:sz w:val="21"/>
                <w:szCs w:val="21"/>
              </w:rPr>
              <w:t>+</w:t>
            </w:r>
          </w:p>
        </w:tc>
        <w:tc>
          <w:tcPr>
            <w:tcW w:w="547"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540" w:type="pct"/>
            <w:vAlign w:val="center"/>
          </w:tcPr>
          <w:p w:rsidR="006175A6" w:rsidRDefault="006175A6">
            <w:pPr>
              <w:pStyle w:val="TableParagraph"/>
              <w:rPr>
                <w:rFonts w:ascii="Times New Roman"/>
              </w:rPr>
            </w:pPr>
          </w:p>
        </w:tc>
      </w:tr>
    </w:tbl>
    <w:p w:rsidR="006175A6" w:rsidRDefault="009B4BA7">
      <w:pPr>
        <w:pStyle w:val="ae"/>
        <w:numPr>
          <w:ilvl w:val="0"/>
          <w:numId w:val="5"/>
        </w:numPr>
        <w:ind w:firstLineChars="0"/>
      </w:pPr>
      <w:r>
        <w:rPr>
          <w:rFonts w:hint="eastAsia"/>
        </w:rPr>
        <w:t>生态分布</w:t>
      </w:r>
    </w:p>
    <w:p w:rsidR="006175A6" w:rsidRDefault="009B4BA7">
      <w:pPr>
        <w:ind w:firstLine="480"/>
      </w:pPr>
      <w:r>
        <w:rPr>
          <w:rFonts w:hint="eastAsia"/>
        </w:rPr>
        <w:t>根据两栖类的生活习性，将评价区内两栖类的生态分布划分为以下</w:t>
      </w:r>
      <w:r>
        <w:rPr>
          <w:rFonts w:hint="eastAsia"/>
        </w:rPr>
        <w:t xml:space="preserve"> 3 </w:t>
      </w:r>
      <w:r>
        <w:rPr>
          <w:rFonts w:hint="eastAsia"/>
        </w:rPr>
        <w:t>类：</w:t>
      </w:r>
    </w:p>
    <w:p w:rsidR="006175A6" w:rsidRDefault="009B4BA7">
      <w:pPr>
        <w:ind w:firstLine="480"/>
      </w:pPr>
      <w:r>
        <w:rPr>
          <w:rFonts w:hint="eastAsia"/>
        </w:rPr>
        <w:t>陆栖型：即成体可在离水源较远的陆地上生活的类型，包括中华大蟾蜍、泽</w:t>
      </w:r>
      <w:r>
        <w:rPr>
          <w:rFonts w:hint="eastAsia"/>
        </w:rPr>
        <w:lastRenderedPageBreak/>
        <w:t>陆蛙、中国林蛙。</w:t>
      </w:r>
    </w:p>
    <w:p w:rsidR="006175A6" w:rsidRDefault="009B4BA7">
      <w:pPr>
        <w:ind w:firstLine="480"/>
      </w:pPr>
      <w:r>
        <w:rPr>
          <w:rFonts w:hint="eastAsia"/>
        </w:rPr>
        <w:t>树栖型：成体可在树上或竹枝上生活的类型，只有无斑雨蛙一种。</w:t>
      </w:r>
    </w:p>
    <w:p w:rsidR="006175A6" w:rsidRDefault="009B4BA7">
      <w:pPr>
        <w:ind w:firstLine="480"/>
      </w:pPr>
      <w:r>
        <w:rPr>
          <w:rFonts w:hint="eastAsia"/>
        </w:rPr>
        <w:t>静水型：在静水或缓流水中生活的类型，包括湖北侧褶蛙、黑斑侧褶蛙、饰纹姬蛙。</w:t>
      </w:r>
    </w:p>
    <w:p w:rsidR="006175A6" w:rsidRDefault="009B4BA7">
      <w:pPr>
        <w:ind w:firstLine="480"/>
      </w:pPr>
      <w:r>
        <w:rPr>
          <w:rFonts w:hint="eastAsia"/>
        </w:rPr>
        <w:t>流栖型：在山间溪流中生活的类型，只有绿臭蛙一种。</w:t>
      </w:r>
    </w:p>
    <w:p w:rsidR="006175A6" w:rsidRDefault="009B4BA7">
      <w:pPr>
        <w:pStyle w:val="ae"/>
        <w:numPr>
          <w:ilvl w:val="0"/>
          <w:numId w:val="5"/>
        </w:numPr>
        <w:ind w:firstLineChars="0"/>
      </w:pPr>
      <w:r>
        <w:rPr>
          <w:rFonts w:hint="eastAsia"/>
        </w:rPr>
        <w:t>主要种类的分布与数量</w:t>
      </w:r>
    </w:p>
    <w:p w:rsidR="006175A6" w:rsidRDefault="009B4BA7">
      <w:pPr>
        <w:ind w:firstLine="480"/>
      </w:pPr>
      <w:r>
        <w:rPr>
          <w:rFonts w:hint="eastAsia"/>
        </w:rPr>
        <w:t>中华大蟾蜍，俗名“癞蛤蟆”，主要栖息在阴暗潮湿的林间草丛、农田、河沟、村舍附近，在评价区内广泛分布。</w:t>
      </w:r>
    </w:p>
    <w:p w:rsidR="006175A6" w:rsidRDefault="009B4BA7">
      <w:pPr>
        <w:ind w:firstLine="480"/>
      </w:pPr>
      <w:r>
        <w:rPr>
          <w:rFonts w:hint="eastAsia"/>
        </w:rPr>
        <w:t>黑斑侧褶蛙，又名“田鸡、青蛙”，常栖息于水田、河沟或附近的草丛中，在评价区内广泛分布。</w:t>
      </w:r>
    </w:p>
    <w:p w:rsidR="006175A6" w:rsidRDefault="009B4BA7">
      <w:pPr>
        <w:ind w:firstLine="480"/>
      </w:pPr>
      <w:r>
        <w:rPr>
          <w:rFonts w:hint="eastAsia"/>
        </w:rPr>
        <w:t>根据对两栖类的调查访问，中华大蟾蜍、泽陆蛙、绿臭蛙的数量较多；无斑雨蛙、中国林蛙、饰纹姬蛙的数量较少。但总的来说，两栖类在评价区内的种群数量较少。</w:t>
      </w:r>
    </w:p>
    <w:p w:rsidR="006175A6" w:rsidRDefault="009B4BA7">
      <w:pPr>
        <w:ind w:firstLine="480"/>
      </w:pPr>
      <w:r>
        <w:rPr>
          <w:rFonts w:hint="eastAsia"/>
        </w:rPr>
        <w:t>（</w:t>
      </w:r>
      <w:r>
        <w:rPr>
          <w:rFonts w:hint="eastAsia"/>
        </w:rPr>
        <w:t>2</w:t>
      </w:r>
      <w:r>
        <w:rPr>
          <w:rFonts w:hint="eastAsia"/>
        </w:rPr>
        <w:t>）爬行类</w:t>
      </w:r>
    </w:p>
    <w:p w:rsidR="006175A6" w:rsidRDefault="009B4BA7">
      <w:pPr>
        <w:ind w:firstLine="480"/>
      </w:pPr>
      <w:r>
        <w:rPr>
          <w:rFonts w:hint="eastAsia"/>
        </w:rPr>
        <w:t>评价区爬行类共有</w:t>
      </w:r>
      <w:r>
        <w:rPr>
          <w:rFonts w:hint="eastAsia"/>
        </w:rPr>
        <w:t xml:space="preserve"> 1 </w:t>
      </w:r>
      <w:r>
        <w:rPr>
          <w:rFonts w:hint="eastAsia"/>
        </w:rPr>
        <w:t>目</w:t>
      </w:r>
      <w:r>
        <w:rPr>
          <w:rFonts w:hint="eastAsia"/>
        </w:rPr>
        <w:t xml:space="preserve"> 3 </w:t>
      </w:r>
      <w:r>
        <w:rPr>
          <w:rFonts w:hint="eastAsia"/>
        </w:rPr>
        <w:t>科</w:t>
      </w:r>
      <w:r>
        <w:rPr>
          <w:rFonts w:hint="eastAsia"/>
        </w:rPr>
        <w:t xml:space="preserve"> 10 </w:t>
      </w:r>
      <w:r>
        <w:rPr>
          <w:rFonts w:hint="eastAsia"/>
        </w:rPr>
        <w:t>种，见表</w:t>
      </w:r>
      <w:r>
        <w:rPr>
          <w:rFonts w:hint="eastAsia"/>
        </w:rPr>
        <w:t xml:space="preserve"> 4-6</w:t>
      </w:r>
      <w:r>
        <w:rPr>
          <w:rFonts w:hint="eastAsia"/>
        </w:rPr>
        <w:t>。无没有国家级重点保护动物；有省级重点保护动物</w:t>
      </w:r>
      <w:r>
        <w:rPr>
          <w:rFonts w:hint="eastAsia"/>
        </w:rPr>
        <w:t xml:space="preserve"> 3 </w:t>
      </w:r>
      <w:r>
        <w:rPr>
          <w:rFonts w:hint="eastAsia"/>
        </w:rPr>
        <w:t>种：玉斑锦蛇、王锦蛇、乌梢蛇；《中国濒危动物红皮书》所列易危种一种：蝮蛇。</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评价区爬行动物资源现状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46"/>
        <w:gridCol w:w="1984"/>
        <w:gridCol w:w="2714"/>
        <w:gridCol w:w="903"/>
        <w:gridCol w:w="1269"/>
      </w:tblGrid>
      <w:tr w:rsidR="006175A6">
        <w:trPr>
          <w:trHeight w:val="340"/>
        </w:trPr>
        <w:tc>
          <w:tcPr>
            <w:tcW w:w="8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科名</w:t>
            </w: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中文</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拉丁种名</w:t>
            </w:r>
          </w:p>
        </w:tc>
        <w:tc>
          <w:tcPr>
            <w:tcW w:w="1632"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生境</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数量</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保护等级</w:t>
            </w:r>
          </w:p>
        </w:tc>
      </w:tr>
      <w:tr w:rsidR="006175A6">
        <w:trPr>
          <w:trHeight w:val="340"/>
        </w:trPr>
        <w:tc>
          <w:tcPr>
            <w:tcW w:w="5000" w:type="pct"/>
            <w:gridSpan w:val="5"/>
            <w:vAlign w:val="center"/>
          </w:tcPr>
          <w:p w:rsidR="006175A6" w:rsidRDefault="009B4BA7">
            <w:pPr>
              <w:pStyle w:val="TableParagraph"/>
              <w:jc w:val="left"/>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一、有鳞目</w:t>
            </w:r>
            <w:r>
              <w:rPr>
                <w:rFonts w:ascii="Times New Roman" w:eastAsiaTheme="majorEastAsia" w:hAnsi="Times New Roman" w:cs="Times New Roman"/>
                <w:b/>
                <w:sz w:val="21"/>
                <w:szCs w:val="21"/>
              </w:rPr>
              <w:t xml:space="preserve"> Squamata</w:t>
            </w:r>
          </w:p>
        </w:tc>
      </w:tr>
      <w:tr w:rsidR="006175A6">
        <w:trPr>
          <w:trHeight w:val="340"/>
        </w:trPr>
        <w:tc>
          <w:tcPr>
            <w:tcW w:w="8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一</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壁虎科</w:t>
            </w:r>
            <w:r w:rsidR="009B4BA7">
              <w:rPr>
                <w:rFonts w:ascii="Times New Roman" w:eastAsiaTheme="majorEastAsia" w:hAnsi="Times New Roman" w:cs="Times New Roman"/>
                <w:sz w:val="21"/>
                <w:szCs w:val="21"/>
              </w:rPr>
              <w:t>Gekkonidae</w:t>
            </w: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、多疣壁虎</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Gekko japonicus</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多居于建筑物内及附近地区。</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trPr>
        <w:tc>
          <w:tcPr>
            <w:tcW w:w="8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 </w:t>
            </w:r>
            <w:r w:rsidR="00E97427">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二</w:t>
            </w:r>
            <w:r w:rsidR="00E97427">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石龙子科</w:t>
            </w:r>
            <w:r>
              <w:rPr>
                <w:rFonts w:ascii="Times New Roman" w:eastAsiaTheme="majorEastAsia" w:hAnsi="Times New Roman" w:cs="Times New Roman"/>
                <w:sz w:val="21"/>
                <w:szCs w:val="21"/>
              </w:rPr>
              <w:t>Scincidae</w:t>
            </w: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、石龙子</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Eumeces chinensis</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栖居于平源、丘陵及山区路</w:t>
            </w:r>
          </w:p>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边的草丛、乱石堆中。</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trPr>
        <w:tc>
          <w:tcPr>
            <w:tcW w:w="869" w:type="pct"/>
            <w:vAlign w:val="center"/>
          </w:tcPr>
          <w:p w:rsidR="006175A6" w:rsidRDefault="006175A6">
            <w:pPr>
              <w:autoSpaceDE w:val="0"/>
              <w:autoSpaceDN w:val="0"/>
              <w:spacing w:line="240" w:lineRule="auto"/>
              <w:ind w:firstLineChars="0" w:firstLine="0"/>
              <w:jc w:val="center"/>
              <w:rPr>
                <w:rFonts w:eastAsiaTheme="majorEastAsia"/>
                <w:sz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、堰蜓</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Lygosoma indicum</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栖居于山区、丘陵之荒地、溪边、山坡、路边乱石杂草丛中。</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trPr>
        <w:tc>
          <w:tcPr>
            <w:tcW w:w="869" w:type="pct"/>
            <w:vMerge w:val="restar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 </w:t>
            </w:r>
            <w:r w:rsidR="00E97427">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三</w:t>
            </w:r>
            <w:r w:rsidR="00E97427">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游蛇科</w:t>
            </w:r>
            <w:r>
              <w:rPr>
                <w:rFonts w:ascii="Times New Roman" w:eastAsiaTheme="majorEastAsia" w:hAnsi="Times New Roman" w:cs="Times New Roman"/>
                <w:sz w:val="21"/>
                <w:szCs w:val="21"/>
              </w:rPr>
              <w:t>Colubridae</w:t>
            </w: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、玉斑锦蛇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Elaphe mandarina</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pacing w:val="-10"/>
                <w:sz w:val="21"/>
                <w:szCs w:val="21"/>
                <w:lang w:eastAsia="zh-CN"/>
              </w:rPr>
              <w:t>生活于海拔</w:t>
            </w:r>
            <w:r>
              <w:rPr>
                <w:rFonts w:ascii="Times New Roman" w:eastAsiaTheme="majorEastAsia" w:hAnsi="Times New Roman" w:cs="Times New Roman"/>
                <w:spacing w:val="-10"/>
                <w:sz w:val="21"/>
                <w:szCs w:val="21"/>
                <w:lang w:eastAsia="zh-CN"/>
              </w:rPr>
              <w:t xml:space="preserve"> </w:t>
            </w:r>
            <w:r>
              <w:rPr>
                <w:rFonts w:ascii="Times New Roman" w:eastAsiaTheme="majorEastAsia" w:hAnsi="Times New Roman" w:cs="Times New Roman"/>
                <w:sz w:val="21"/>
                <w:szCs w:val="21"/>
                <w:lang w:eastAsia="zh-CN"/>
              </w:rPr>
              <w:t xml:space="preserve">200-1360m </w:t>
            </w:r>
            <w:r>
              <w:rPr>
                <w:rFonts w:ascii="Times New Roman" w:eastAsiaTheme="majorEastAsia" w:hAnsi="Times New Roman" w:cs="Times New Roman"/>
                <w:spacing w:val="-7"/>
                <w:sz w:val="21"/>
                <w:szCs w:val="21"/>
                <w:lang w:eastAsia="zh-CN"/>
              </w:rPr>
              <w:t>的平</w:t>
            </w:r>
            <w:r>
              <w:rPr>
                <w:rFonts w:ascii="Times New Roman" w:eastAsiaTheme="majorEastAsia" w:hAnsi="Times New Roman" w:cs="Times New Roman"/>
                <w:sz w:val="21"/>
                <w:szCs w:val="21"/>
                <w:lang w:eastAsia="zh-CN"/>
              </w:rPr>
              <w:t>原、山区、林地，亦常见于民宅附近，沟边或山地草丛中。</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trPr>
        <w:tc>
          <w:tcPr>
            <w:tcW w:w="869" w:type="pct"/>
            <w:vMerge/>
            <w:vAlign w:val="center"/>
          </w:tcPr>
          <w:p w:rsidR="006175A6" w:rsidRDefault="006175A6">
            <w:pPr>
              <w:widowControl/>
              <w:spacing w:line="240" w:lineRule="auto"/>
              <w:ind w:firstLineChars="0" w:firstLine="0"/>
              <w:jc w:val="center"/>
              <w:rPr>
                <w:rFonts w:eastAsiaTheme="majorEastAsia"/>
                <w:sz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、王锦蛇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Elaphe carinata</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栖居于平源、丘陵和山区，</w:t>
            </w:r>
            <w:r>
              <w:rPr>
                <w:rFonts w:ascii="Times New Roman" w:eastAsiaTheme="majorEastAsia" w:hAnsi="Times New Roman" w:cs="Times New Roman"/>
                <w:sz w:val="21"/>
                <w:szCs w:val="21"/>
                <w:lang w:eastAsia="zh-CN"/>
              </w:rPr>
              <w:t xml:space="preserve"> </w:t>
            </w:r>
            <w:r>
              <w:rPr>
                <w:rFonts w:ascii="Times New Roman" w:eastAsiaTheme="majorEastAsia" w:hAnsi="Times New Roman" w:cs="Times New Roman"/>
                <w:sz w:val="21"/>
                <w:szCs w:val="21"/>
                <w:lang w:eastAsia="zh-CN"/>
              </w:rPr>
              <w:t>性活动泼，行动敏捷，昼夜活动，但夜间更活跃，常在山区灌丛，田野沟边，山谷溪旁以及丘陵地带的灌草丛中活动觅食。</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trPr>
        <w:tc>
          <w:tcPr>
            <w:tcW w:w="869" w:type="pct"/>
            <w:vMerge/>
            <w:vAlign w:val="center"/>
          </w:tcPr>
          <w:p w:rsidR="006175A6" w:rsidRDefault="006175A6">
            <w:pPr>
              <w:widowControl/>
              <w:spacing w:line="240" w:lineRule="auto"/>
              <w:ind w:firstLineChars="0" w:firstLine="0"/>
              <w:jc w:val="center"/>
              <w:rPr>
                <w:rFonts w:eastAsiaTheme="majorEastAsia"/>
                <w:sz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、翠青蛇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Entechinus</w:t>
            </w:r>
            <w:r>
              <w:rPr>
                <w:rFonts w:ascii="Times New Roman" w:eastAsiaTheme="majorEastAsia" w:hAnsi="Times New Roman" w:cs="Times New Roman"/>
                <w:i/>
                <w:spacing w:val="51"/>
                <w:sz w:val="21"/>
                <w:szCs w:val="21"/>
                <w:lang w:eastAsia="zh-CN"/>
              </w:rPr>
              <w:t xml:space="preserve"> </w:t>
            </w:r>
            <w:r>
              <w:rPr>
                <w:rFonts w:ascii="Times New Roman" w:eastAsiaTheme="majorEastAsia" w:hAnsi="Times New Roman" w:cs="Times New Roman"/>
                <w:i/>
                <w:sz w:val="21"/>
                <w:szCs w:val="21"/>
              </w:rPr>
              <w:t>major</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栖居于山区的树林、草丛或</w:t>
            </w:r>
          </w:p>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农田周围。</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trPr>
        <w:tc>
          <w:tcPr>
            <w:tcW w:w="869" w:type="pct"/>
            <w:vMerge/>
            <w:vAlign w:val="center"/>
          </w:tcPr>
          <w:p w:rsidR="006175A6" w:rsidRDefault="006175A6">
            <w:pPr>
              <w:widowControl/>
              <w:spacing w:line="240" w:lineRule="auto"/>
              <w:ind w:firstLineChars="0" w:firstLine="0"/>
              <w:jc w:val="center"/>
              <w:rPr>
                <w:rFonts w:eastAsiaTheme="majorEastAsia"/>
                <w:sz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、虎斑游蛇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Rhabdophis tigrina lateralis</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生活于平原、丘陵和山区的水域附近。</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705"/>
        </w:trPr>
        <w:tc>
          <w:tcPr>
            <w:tcW w:w="869" w:type="pct"/>
            <w:vMerge/>
            <w:vAlign w:val="center"/>
          </w:tcPr>
          <w:p w:rsidR="006175A6" w:rsidRDefault="006175A6">
            <w:pPr>
              <w:widowControl/>
              <w:spacing w:line="240" w:lineRule="auto"/>
              <w:ind w:firstLineChars="0" w:firstLine="0"/>
              <w:jc w:val="center"/>
              <w:rPr>
                <w:rFonts w:eastAsiaTheme="majorEastAsia"/>
                <w:sz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、乌梢蛇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Zaocys dhumnades</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栖居于平原、丘陵和山区的农田附近，房屋周围。</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trPr>
        <w:tc>
          <w:tcPr>
            <w:tcW w:w="869" w:type="pct"/>
            <w:vMerge w:val="restar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四</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蝰科</w:t>
            </w:r>
            <w:r w:rsidR="009B4BA7">
              <w:rPr>
                <w:rFonts w:ascii="Times New Roman" w:eastAsiaTheme="majorEastAsia" w:hAnsi="Times New Roman" w:cs="Times New Roman"/>
                <w:sz w:val="21"/>
                <w:szCs w:val="21"/>
              </w:rPr>
              <w:t>Viperidae</w:t>
            </w: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、蝮</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蛇</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Agkistrodon blomhoffii</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brevicaudus</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常见于乱石堆、杂草坡灌丛、田地、村舍等处。</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易危</w:t>
            </w:r>
          </w:p>
        </w:tc>
      </w:tr>
      <w:tr w:rsidR="006175A6">
        <w:trPr>
          <w:trHeight w:val="340"/>
        </w:trPr>
        <w:tc>
          <w:tcPr>
            <w:tcW w:w="869" w:type="pct"/>
            <w:vMerge/>
            <w:vAlign w:val="center"/>
          </w:tcPr>
          <w:p w:rsidR="006175A6" w:rsidRDefault="006175A6">
            <w:pPr>
              <w:pStyle w:val="TableParagraph"/>
              <w:rPr>
                <w:rFonts w:ascii="Times New Roman" w:eastAsiaTheme="majorEastAsia" w:hAnsi="Times New Roman" w:cs="Times New Roman"/>
                <w:sz w:val="21"/>
                <w:szCs w:val="21"/>
              </w:rPr>
            </w:pPr>
          </w:p>
        </w:tc>
        <w:tc>
          <w:tcPr>
            <w:tcW w:w="119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10</w:t>
            </w:r>
            <w:r>
              <w:rPr>
                <w:rFonts w:ascii="Times New Roman" w:eastAsiaTheme="majorEastAsia" w:hAnsi="Times New Roman" w:cs="Times New Roman"/>
                <w:sz w:val="21"/>
                <w:szCs w:val="21"/>
              </w:rPr>
              <w:t>、菜花烙铁头</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Trimeresurus jerdonii</w:t>
            </w:r>
          </w:p>
        </w:tc>
        <w:tc>
          <w:tcPr>
            <w:tcW w:w="163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pacing w:val="-1"/>
                <w:sz w:val="21"/>
                <w:szCs w:val="21"/>
                <w:lang w:eastAsia="zh-CN"/>
              </w:rPr>
              <w:t>栖于海拔较高的山区丘陵或高原，常在荒草坡、耕地、路边草丛、乱石堆下或灌木</w:t>
            </w:r>
          </w:p>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林中，有时栖息于树枝上。</w:t>
            </w:r>
          </w:p>
        </w:tc>
        <w:tc>
          <w:tcPr>
            <w:tcW w:w="54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763"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bl>
    <w:p w:rsidR="006175A6" w:rsidRDefault="009B4BA7">
      <w:pPr>
        <w:ind w:firstLine="480"/>
      </w:pPr>
      <w:r>
        <w:rPr>
          <w:rFonts w:hint="eastAsia"/>
        </w:rPr>
        <w:t>多疣壁虎、石龙子，俗称为“四脚蛇”，主要分布于评价区的灌丛中，数量较多。</w:t>
      </w:r>
    </w:p>
    <w:p w:rsidR="006175A6" w:rsidRDefault="009B4BA7">
      <w:pPr>
        <w:ind w:firstLine="480"/>
      </w:pPr>
      <w:r>
        <w:rPr>
          <w:rFonts w:hint="eastAsia"/>
        </w:rPr>
        <w:t>乌梢蛇在评价区内广泛分布，无毒，是当地的主要经济蛇类，多以蛙、壁虎为食。多栖息于森林、灌丛、草丛和附近的农田中。</w:t>
      </w:r>
    </w:p>
    <w:p w:rsidR="006175A6" w:rsidRDefault="009B4BA7">
      <w:pPr>
        <w:ind w:firstLine="480"/>
      </w:pPr>
      <w:r>
        <w:rPr>
          <w:rFonts w:hint="eastAsia"/>
        </w:rPr>
        <w:t>王锦蛇、玉斑锦蛇，分布于低山常绿阔叶林、针阔混交林、灌丛及农田生境中；以蛙类、鼠类、蜥蜴类为食，无毒。数量较少。</w:t>
      </w:r>
    </w:p>
    <w:p w:rsidR="006175A6" w:rsidRDefault="009B4BA7">
      <w:pPr>
        <w:ind w:firstLine="480"/>
      </w:pPr>
      <w:r>
        <w:rPr>
          <w:rFonts w:hint="eastAsia"/>
        </w:rPr>
        <w:t>翠青蛇，通体翠绿色，体色和体型似竹叶青，但比竹叶青稍长，无毒。多栖息于山区常绿阔叶林、针阔混交林、灌丛中；以蛙类、鼠类、蜥蜴类为食，数量较少。</w:t>
      </w:r>
    </w:p>
    <w:p w:rsidR="006175A6" w:rsidRDefault="009B4BA7">
      <w:pPr>
        <w:ind w:firstLine="480"/>
      </w:pPr>
      <w:r>
        <w:rPr>
          <w:rFonts w:hint="eastAsia"/>
        </w:rPr>
        <w:t>虎斑游蛇，有毒，栖息于灌丛、草丛和农田中，数量较少。</w:t>
      </w:r>
    </w:p>
    <w:p w:rsidR="006175A6" w:rsidRDefault="009B4BA7">
      <w:pPr>
        <w:ind w:firstLine="480"/>
      </w:pPr>
      <w:r>
        <w:rPr>
          <w:rFonts w:hint="eastAsia"/>
        </w:rPr>
        <w:t>菜花烙铁头、蝮蛇，有剧毒，栖息于灌丛和草丛中，以蛙类、蜥蜴类、鼠类为食，分布广泛但数量较少。</w:t>
      </w:r>
    </w:p>
    <w:p w:rsidR="006175A6" w:rsidRDefault="009B4BA7">
      <w:pPr>
        <w:ind w:firstLine="480"/>
      </w:pPr>
      <w:r>
        <w:rPr>
          <w:rFonts w:hint="eastAsia"/>
        </w:rPr>
        <w:t>（</w:t>
      </w:r>
      <w:r>
        <w:rPr>
          <w:rFonts w:hint="eastAsia"/>
        </w:rPr>
        <w:t>3</w:t>
      </w:r>
      <w:r>
        <w:rPr>
          <w:rFonts w:hint="eastAsia"/>
        </w:rPr>
        <w:t>）鸟类</w:t>
      </w:r>
    </w:p>
    <w:p w:rsidR="006175A6" w:rsidRDefault="009B4BA7">
      <w:pPr>
        <w:ind w:firstLine="480"/>
      </w:pPr>
      <w:r>
        <w:rPr>
          <w:rFonts w:hint="eastAsia"/>
        </w:rPr>
        <w:t>调查表明评价区鸟类有</w:t>
      </w:r>
      <w:r>
        <w:rPr>
          <w:rFonts w:hint="eastAsia"/>
        </w:rPr>
        <w:t xml:space="preserve"> 18 </w:t>
      </w:r>
      <w:r>
        <w:rPr>
          <w:rFonts w:hint="eastAsia"/>
        </w:rPr>
        <w:t>种，隶属于</w:t>
      </w:r>
      <w:r>
        <w:rPr>
          <w:rFonts w:hint="eastAsia"/>
        </w:rPr>
        <w:t xml:space="preserve"> 6 </w:t>
      </w:r>
      <w:r>
        <w:rPr>
          <w:rFonts w:hint="eastAsia"/>
        </w:rPr>
        <w:t>目</w:t>
      </w:r>
      <w:r>
        <w:rPr>
          <w:rFonts w:hint="eastAsia"/>
        </w:rPr>
        <w:t xml:space="preserve"> 11 </w:t>
      </w:r>
      <w:r>
        <w:rPr>
          <w:rFonts w:hint="eastAsia"/>
        </w:rPr>
        <w:t>科。其中以雀形目鸟类最多，共</w:t>
      </w:r>
      <w:r>
        <w:rPr>
          <w:rFonts w:hint="eastAsia"/>
        </w:rPr>
        <w:t xml:space="preserve"> 9 </w:t>
      </w:r>
      <w:r>
        <w:rPr>
          <w:rFonts w:hint="eastAsia"/>
        </w:rPr>
        <w:t>种，占</w:t>
      </w:r>
      <w:r>
        <w:rPr>
          <w:rFonts w:hint="eastAsia"/>
        </w:rPr>
        <w:t xml:space="preserve"> 50%</w:t>
      </w:r>
      <w:r>
        <w:rPr>
          <w:rFonts w:hint="eastAsia"/>
        </w:rPr>
        <w:t>，留鸟占绝大部分</w:t>
      </w:r>
      <w:r w:rsidR="00E97427">
        <w:rPr>
          <w:rFonts w:hint="eastAsia"/>
        </w:rPr>
        <w:t>（</w:t>
      </w:r>
      <w:r>
        <w:rPr>
          <w:rFonts w:hint="eastAsia"/>
        </w:rPr>
        <w:t xml:space="preserve">16 </w:t>
      </w:r>
      <w:r>
        <w:rPr>
          <w:rFonts w:hint="eastAsia"/>
        </w:rPr>
        <w:t>种</w:t>
      </w:r>
      <w:r w:rsidR="00E97427">
        <w:rPr>
          <w:rFonts w:hint="eastAsia"/>
        </w:rPr>
        <w:t>）</w:t>
      </w:r>
      <w:r>
        <w:rPr>
          <w:rFonts w:hint="eastAsia"/>
        </w:rPr>
        <w:t>。有国家Ⅱ级保护动物</w:t>
      </w:r>
      <w:r>
        <w:rPr>
          <w:rFonts w:hint="eastAsia"/>
        </w:rPr>
        <w:t xml:space="preserve"> 1 </w:t>
      </w:r>
      <w:r>
        <w:rPr>
          <w:rFonts w:hint="eastAsia"/>
        </w:rPr>
        <w:t>种：鸢；有省级重点保护动物</w:t>
      </w:r>
      <w:r>
        <w:rPr>
          <w:rFonts w:hint="eastAsia"/>
        </w:rPr>
        <w:t xml:space="preserve"> 6 </w:t>
      </w:r>
      <w:r>
        <w:rPr>
          <w:rFonts w:hint="eastAsia"/>
        </w:rPr>
        <w:t>种：灰胸竹鸡、珠颈斑鸠、金腰燕、大嘴乌鸦、喜鹊和灰喜鹊。</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评价区鸟类资源现状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10"/>
        <w:gridCol w:w="699"/>
        <w:gridCol w:w="723"/>
        <w:gridCol w:w="823"/>
        <w:gridCol w:w="2365"/>
        <w:gridCol w:w="1096"/>
      </w:tblGrid>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目、科、种名</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区系成份</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季节相</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数量级</w:t>
            </w:r>
          </w:p>
        </w:tc>
        <w:tc>
          <w:tcPr>
            <w:tcW w:w="1422"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生</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境</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保护等级</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sz w:val="21"/>
                <w:szCs w:val="21"/>
              </w:rPr>
            </w:pPr>
            <w:r>
              <w:rPr>
                <w:rFonts w:ascii="Times New Roman" w:eastAsiaTheme="majorEastAsia" w:hAnsi="Times New Roman" w:cs="Times New Roman"/>
                <w:b/>
                <w:sz w:val="21"/>
                <w:szCs w:val="21"/>
              </w:rPr>
              <w:t>一、隼形目</w:t>
            </w:r>
            <w:r>
              <w:rPr>
                <w:rFonts w:ascii="Times New Roman" w:eastAsiaTheme="majorEastAsia" w:hAnsi="Times New Roman" w:cs="Times New Roman"/>
                <w:b/>
                <w:sz w:val="21"/>
                <w:szCs w:val="21"/>
              </w:rPr>
              <w:t xml:space="preserve"> FALCONIFORME</w:t>
            </w:r>
            <w:r>
              <w:rPr>
                <w:rFonts w:ascii="Times New Roman" w:eastAsiaTheme="majorEastAsia" w:hAnsi="Times New Roman" w:cs="Times New Roman"/>
                <w:sz w:val="21"/>
                <w:szCs w:val="21"/>
              </w:rPr>
              <w:t>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w:t>
            </w:r>
            <w:r w:rsidR="009B4BA7">
              <w:rPr>
                <w:rFonts w:ascii="Times New Roman" w:eastAsiaTheme="majorEastAsia" w:hAnsi="Times New Roman" w:cs="Times New Roman"/>
                <w:sz w:val="21"/>
                <w:szCs w:val="21"/>
              </w:rPr>
              <w:t>一</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鹰科</w:t>
            </w:r>
            <w:r w:rsidR="009B4BA7">
              <w:rPr>
                <w:rFonts w:ascii="Times New Roman" w:eastAsiaTheme="majorEastAsia" w:hAnsi="Times New Roman" w:cs="Times New Roman"/>
                <w:sz w:val="21"/>
                <w:szCs w:val="21"/>
              </w:rPr>
              <w:t xml:space="preserve"> Accipitridae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鸢</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Black-eared Kite</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多栖息在山区林地、河流沿岸、林边。</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列入国家保护</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二、鸡形目</w:t>
            </w:r>
            <w:r>
              <w:rPr>
                <w:rFonts w:ascii="Times New Roman" w:eastAsiaTheme="majorEastAsia" w:hAnsi="Times New Roman" w:cs="Times New Roman"/>
                <w:b/>
                <w:sz w:val="21"/>
                <w:szCs w:val="21"/>
              </w:rPr>
              <w:t xml:space="preserve"> CALLIFORMES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二</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雉科</w:t>
            </w:r>
            <w:r w:rsidR="009B4BA7">
              <w:rPr>
                <w:rFonts w:ascii="Times New Roman" w:eastAsiaTheme="majorEastAsia" w:hAnsi="Times New Roman" w:cs="Times New Roman"/>
                <w:sz w:val="21"/>
                <w:szCs w:val="21"/>
              </w:rPr>
              <w:t xml:space="preserve"> Phasianidae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灰胸竹鸡</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Bambusicola thoracica</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栖息于低山灌丛、竹林和杂草丛处。</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雉鸡</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Phasianus colchicus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pacing w:val="-2"/>
                <w:sz w:val="21"/>
                <w:szCs w:val="21"/>
                <w:lang w:eastAsia="zh-CN"/>
              </w:rPr>
              <w:t>栖息于山区灌木丛、小竹簇、草丛、山谷草甸及林</w:t>
            </w:r>
          </w:p>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缘、近山耕地和苇塘内。</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鹌鹑</w:t>
            </w:r>
          </w:p>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Coturnix cjaponica</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栖息于干燥而近水的低山地带，草丛、灌丛、林间空地及农田边。</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三、鸽形目</w:t>
            </w:r>
            <w:r>
              <w:rPr>
                <w:rFonts w:ascii="Times New Roman" w:eastAsiaTheme="majorEastAsia" w:hAnsi="Times New Roman" w:cs="Times New Roman"/>
                <w:b/>
                <w:sz w:val="21"/>
                <w:szCs w:val="21"/>
              </w:rPr>
              <w:t xml:space="preserve"> COLUMBIFORMES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三</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鸠鸽科</w:t>
            </w:r>
            <w:r w:rsidR="009B4BA7">
              <w:rPr>
                <w:rFonts w:ascii="Times New Roman" w:eastAsiaTheme="majorEastAsia" w:hAnsi="Times New Roman" w:cs="Times New Roman"/>
                <w:sz w:val="21"/>
                <w:szCs w:val="21"/>
              </w:rPr>
              <w:t xml:space="preserve"> Columbidae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山斑鸠</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Streptopelia orientalis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栖息于山区、丘陵多树木地带。</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珠颈斑鸠</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Streptopelia chinensis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栖息于丘陵山地树林和多树的平原郊野、农田附近，秋季通常结成小群活动。</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四、鹃形目</w:t>
            </w:r>
            <w:r>
              <w:rPr>
                <w:rFonts w:ascii="Times New Roman" w:eastAsiaTheme="majorEastAsia" w:hAnsi="Times New Roman" w:cs="Times New Roman"/>
                <w:b/>
                <w:sz w:val="21"/>
                <w:szCs w:val="21"/>
              </w:rPr>
              <w:t xml:space="preserve"> CUCULIFORMES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四</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杜鹃科</w:t>
            </w:r>
            <w:r w:rsidR="009B4BA7">
              <w:rPr>
                <w:rFonts w:ascii="Times New Roman" w:eastAsiaTheme="majorEastAsia" w:hAnsi="Times New Roman" w:cs="Times New Roman"/>
                <w:sz w:val="21"/>
                <w:szCs w:val="21"/>
              </w:rPr>
              <w:t xml:space="preserve"> Cuculidae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小杜鹃</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Cuculus Poliocephalus Latham</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夏</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栖息于低山丘陵的树丛等处</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五、雀形目</w:t>
            </w:r>
            <w:r>
              <w:rPr>
                <w:rFonts w:ascii="Times New Roman" w:eastAsiaTheme="majorEastAsia" w:hAnsi="Times New Roman" w:cs="Times New Roman"/>
                <w:b/>
                <w:sz w:val="21"/>
                <w:szCs w:val="21"/>
              </w:rPr>
              <w:t xml:space="preserve"> PASSERIFORMES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五</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燕科</w:t>
            </w:r>
            <w:r w:rsidR="009B4BA7">
              <w:rPr>
                <w:rFonts w:ascii="Times New Roman" w:eastAsiaTheme="majorEastAsia" w:hAnsi="Times New Roman" w:cs="Times New Roman"/>
                <w:sz w:val="21"/>
                <w:szCs w:val="21"/>
              </w:rPr>
              <w:t xml:space="preserve"> Hirundinidae</w:t>
            </w:r>
          </w:p>
        </w:tc>
        <w:tc>
          <w:tcPr>
            <w:tcW w:w="420" w:type="pct"/>
            <w:vAlign w:val="center"/>
          </w:tcPr>
          <w:p w:rsidR="006175A6" w:rsidRDefault="006175A6">
            <w:pPr>
              <w:pStyle w:val="TableParagraph"/>
              <w:jc w:val="both"/>
              <w:rPr>
                <w:rFonts w:ascii="Times New Roman" w:eastAsiaTheme="majorEastAsia" w:hAnsi="Times New Roman" w:cs="Times New Roman"/>
                <w:sz w:val="21"/>
                <w:szCs w:val="21"/>
                <w:lang w:eastAsia="zh-CN"/>
              </w:rPr>
            </w:pPr>
          </w:p>
        </w:tc>
        <w:tc>
          <w:tcPr>
            <w:tcW w:w="435" w:type="pct"/>
            <w:vAlign w:val="center"/>
          </w:tcPr>
          <w:p w:rsidR="006175A6" w:rsidRDefault="006175A6">
            <w:pPr>
              <w:pStyle w:val="TableParagraph"/>
              <w:jc w:val="both"/>
              <w:rPr>
                <w:rFonts w:ascii="Times New Roman" w:eastAsiaTheme="majorEastAsia" w:hAnsi="Times New Roman" w:cs="Times New Roman"/>
                <w:sz w:val="21"/>
                <w:szCs w:val="21"/>
                <w:lang w:eastAsia="zh-CN"/>
              </w:rPr>
            </w:pPr>
          </w:p>
        </w:tc>
        <w:tc>
          <w:tcPr>
            <w:tcW w:w="495" w:type="pct"/>
            <w:vAlign w:val="center"/>
          </w:tcPr>
          <w:p w:rsidR="006175A6" w:rsidRDefault="006175A6">
            <w:pPr>
              <w:pStyle w:val="TableParagraph"/>
              <w:jc w:val="both"/>
              <w:rPr>
                <w:rFonts w:ascii="Times New Roman" w:eastAsiaTheme="majorEastAsia" w:hAnsi="Times New Roman" w:cs="Times New Roman"/>
                <w:sz w:val="21"/>
                <w:szCs w:val="21"/>
                <w:lang w:eastAsia="zh-CN"/>
              </w:rPr>
            </w:pPr>
          </w:p>
        </w:tc>
        <w:tc>
          <w:tcPr>
            <w:tcW w:w="1422" w:type="pct"/>
            <w:vAlign w:val="center"/>
          </w:tcPr>
          <w:p w:rsidR="006175A6" w:rsidRDefault="006175A6">
            <w:pPr>
              <w:pStyle w:val="TableParagraph"/>
              <w:rPr>
                <w:rFonts w:ascii="Times New Roman" w:eastAsiaTheme="majorEastAsia" w:hAnsi="Times New Roman" w:cs="Times New Roman"/>
                <w:sz w:val="21"/>
                <w:szCs w:val="21"/>
              </w:rPr>
            </w:pPr>
          </w:p>
        </w:tc>
        <w:tc>
          <w:tcPr>
            <w:tcW w:w="659" w:type="pct"/>
            <w:vAlign w:val="center"/>
          </w:tcPr>
          <w:p w:rsidR="006175A6" w:rsidRDefault="006175A6">
            <w:pPr>
              <w:pStyle w:val="TableParagraph"/>
              <w:jc w:val="both"/>
              <w:rPr>
                <w:rFonts w:ascii="Times New Roman" w:eastAsiaTheme="majorEastAsia" w:hAnsi="Times New Roman" w:cs="Times New Roman"/>
                <w:sz w:val="21"/>
                <w:szCs w:val="21"/>
                <w:lang w:eastAsia="zh-CN"/>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金腰燕</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Hirundo daurica</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夏</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栖息于村落附近，常到田野上空飞行。</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六</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鸦科</w:t>
            </w:r>
            <w:r w:rsidR="009B4BA7">
              <w:rPr>
                <w:rFonts w:ascii="Times New Roman" w:eastAsiaTheme="majorEastAsia" w:hAnsi="Times New Roman" w:cs="Times New Roman"/>
                <w:sz w:val="21"/>
                <w:szCs w:val="21"/>
              </w:rPr>
              <w:t xml:space="preserve"> Corvidae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大嘴乌鸦</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Corvus macrorhynchos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栖息于山区、田野、村郊大树上。</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10.</w:t>
            </w:r>
            <w:r>
              <w:rPr>
                <w:rFonts w:ascii="Times New Roman" w:eastAsiaTheme="majorEastAsia" w:hAnsi="Times New Roman" w:cs="Times New Roman"/>
                <w:sz w:val="21"/>
                <w:szCs w:val="21"/>
              </w:rPr>
              <w:t>喜鹊</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Pica pica.sericea</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古</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栖息于山地村落、平原林</w:t>
            </w:r>
            <w:r>
              <w:rPr>
                <w:rFonts w:ascii="Times New Roman" w:eastAsiaTheme="majorEastAsia" w:hAnsi="Times New Roman" w:cs="Times New Roman"/>
                <w:sz w:val="21"/>
                <w:szCs w:val="21"/>
                <w:lang w:eastAsia="zh-CN"/>
              </w:rPr>
              <w:t xml:space="preserve"> </w:t>
            </w:r>
            <w:r>
              <w:rPr>
                <w:rFonts w:ascii="Times New Roman" w:eastAsiaTheme="majorEastAsia" w:hAnsi="Times New Roman" w:cs="Times New Roman"/>
                <w:spacing w:val="-1"/>
                <w:sz w:val="21"/>
                <w:szCs w:val="21"/>
                <w:lang w:eastAsia="zh-CN"/>
              </w:rPr>
              <w:t>中。常在村庄、田野、山边</w:t>
            </w:r>
            <w:r>
              <w:rPr>
                <w:rFonts w:ascii="Times New Roman" w:eastAsiaTheme="majorEastAsia" w:hAnsi="Times New Roman" w:cs="Times New Roman"/>
                <w:sz w:val="21"/>
                <w:szCs w:val="21"/>
                <w:lang w:eastAsia="zh-CN"/>
              </w:rPr>
              <w:t>林缘活动。</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省级</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11.</w:t>
            </w:r>
            <w:r>
              <w:rPr>
                <w:rFonts w:ascii="Times New Roman" w:eastAsiaTheme="majorEastAsia" w:hAnsi="Times New Roman" w:cs="Times New Roman"/>
                <w:sz w:val="21"/>
                <w:szCs w:val="21"/>
              </w:rPr>
              <w:t>灰喜鹊</w:t>
            </w:r>
          </w:p>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Cyanopica cyana swinhoei</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栖息于半山区林地、灌全或村庄附近的杂木林、松林中。</w:t>
            </w:r>
          </w:p>
        </w:tc>
        <w:tc>
          <w:tcPr>
            <w:tcW w:w="659"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省级</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七</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山雀科</w:t>
            </w:r>
            <w:r w:rsidR="009B4BA7">
              <w:rPr>
                <w:rFonts w:ascii="Times New Roman" w:eastAsiaTheme="majorEastAsia" w:hAnsi="Times New Roman" w:cs="Times New Roman"/>
                <w:sz w:val="21"/>
                <w:szCs w:val="21"/>
              </w:rPr>
              <w:t xml:space="preserve"> Paridae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12.</w:t>
            </w:r>
            <w:r>
              <w:rPr>
                <w:rFonts w:ascii="Times New Roman" w:eastAsiaTheme="majorEastAsia" w:hAnsi="Times New Roman" w:cs="Times New Roman"/>
                <w:sz w:val="21"/>
                <w:szCs w:val="21"/>
              </w:rPr>
              <w:t>大山雀</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Parus major</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栖息于平原、丘陵、山区的林间，食昆虫。</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13.</w:t>
            </w:r>
            <w:r>
              <w:rPr>
                <w:rFonts w:ascii="Times New Roman" w:eastAsiaTheme="majorEastAsia" w:hAnsi="Times New Roman" w:cs="Times New Roman"/>
                <w:sz w:val="21"/>
                <w:szCs w:val="21"/>
              </w:rPr>
              <w:t>黄腹山雀</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lastRenderedPageBreak/>
              <w:t>Parus venustulus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森林鸟类，活动于平原树</w:t>
            </w:r>
            <w:r>
              <w:rPr>
                <w:rFonts w:ascii="Times New Roman" w:eastAsiaTheme="majorEastAsia" w:hAnsi="Times New Roman" w:cs="Times New Roman"/>
                <w:sz w:val="21"/>
                <w:szCs w:val="21"/>
                <w:lang w:eastAsia="zh-CN"/>
              </w:rPr>
              <w:t xml:space="preserve"> </w:t>
            </w:r>
            <w:r>
              <w:rPr>
                <w:rFonts w:ascii="Times New Roman" w:eastAsiaTheme="majorEastAsia" w:hAnsi="Times New Roman" w:cs="Times New Roman"/>
                <w:spacing w:val="-1"/>
                <w:sz w:val="21"/>
                <w:szCs w:val="21"/>
                <w:lang w:eastAsia="zh-CN"/>
              </w:rPr>
              <w:lastRenderedPageBreak/>
              <w:t>林、庭园，秋冬常集成小群</w:t>
            </w:r>
            <w:r>
              <w:rPr>
                <w:rFonts w:ascii="Times New Roman" w:eastAsiaTheme="majorEastAsia" w:hAnsi="Times New Roman" w:cs="Times New Roman"/>
                <w:sz w:val="21"/>
                <w:szCs w:val="21"/>
                <w:lang w:eastAsia="zh-CN"/>
              </w:rPr>
              <w:t>活动。</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未列入</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w:t>
            </w:r>
            <w:r w:rsidR="009B4BA7">
              <w:rPr>
                <w:rFonts w:ascii="Times New Roman" w:eastAsiaTheme="majorEastAsia" w:hAnsi="Times New Roman" w:cs="Times New Roman"/>
                <w:sz w:val="21"/>
                <w:szCs w:val="21"/>
              </w:rPr>
              <w:t>八</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百灵科</w:t>
            </w:r>
            <w:r w:rsidR="009B4BA7">
              <w:rPr>
                <w:rFonts w:ascii="Times New Roman" w:eastAsiaTheme="majorEastAsia" w:hAnsi="Times New Roman" w:cs="Times New Roman"/>
                <w:sz w:val="21"/>
                <w:szCs w:val="21"/>
              </w:rPr>
              <w:t xml:space="preserve"> Zosterpidae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14.</w:t>
            </w:r>
            <w:r>
              <w:rPr>
                <w:rFonts w:ascii="Times New Roman" w:eastAsiaTheme="majorEastAsia" w:hAnsi="Times New Roman" w:cs="Times New Roman"/>
                <w:sz w:val="21"/>
                <w:szCs w:val="21"/>
              </w:rPr>
              <w:t>短趾百灵</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Zosterops japonica</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东</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多在山地灌丛和次生林中活动。</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九</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文鸟科</w:t>
            </w:r>
            <w:r w:rsidR="009B4BA7">
              <w:rPr>
                <w:rFonts w:ascii="Times New Roman" w:eastAsiaTheme="majorEastAsia" w:hAnsi="Times New Roman" w:cs="Times New Roman"/>
                <w:sz w:val="21"/>
                <w:szCs w:val="21"/>
              </w:rPr>
              <w:t xml:space="preserve"> Ploceidae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15.</w:t>
            </w:r>
            <w:r>
              <w:rPr>
                <w:rFonts w:ascii="Times New Roman" w:eastAsiaTheme="majorEastAsia" w:hAnsi="Times New Roman" w:cs="Times New Roman"/>
                <w:sz w:val="21"/>
                <w:szCs w:val="21"/>
              </w:rPr>
              <w:t>麻雀</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Passer montanus</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栖于村镇和农田附近，活动范围广泛。</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十</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雀科</w:t>
            </w:r>
            <w:r w:rsidR="009B4BA7">
              <w:rPr>
                <w:rFonts w:ascii="Times New Roman" w:eastAsiaTheme="majorEastAsia" w:hAnsi="Times New Roman" w:cs="Times New Roman"/>
                <w:sz w:val="21"/>
                <w:szCs w:val="21"/>
              </w:rPr>
              <w:t xml:space="preserve"> Fringillidae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16. </w:t>
            </w:r>
            <w:r>
              <w:rPr>
                <w:rFonts w:ascii="Times New Roman" w:eastAsiaTheme="majorEastAsia" w:hAnsi="Times New Roman" w:cs="Times New Roman"/>
                <w:sz w:val="21"/>
                <w:szCs w:val="21"/>
              </w:rPr>
              <w:t>金翅雀</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Grey-capped Greenfinch</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栖息于低山丘陵阔叶林林缘及灌丛。</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5000" w:type="pct"/>
            <w:gridSpan w:val="6"/>
            <w:vAlign w:val="center"/>
          </w:tcPr>
          <w:p w:rsidR="006175A6" w:rsidRDefault="009B4BA7">
            <w:pPr>
              <w:pStyle w:val="TableParagraph"/>
              <w:jc w:val="both"/>
              <w:rPr>
                <w:rFonts w:ascii="Times New Roman" w:eastAsiaTheme="majorEastAsia" w:hAnsi="Times New Roman" w:cs="Times New Roman"/>
                <w:b/>
                <w:sz w:val="21"/>
                <w:szCs w:val="21"/>
              </w:rPr>
            </w:pPr>
            <w:r>
              <w:rPr>
                <w:rFonts w:ascii="Times New Roman" w:eastAsiaTheme="majorEastAsia" w:hAnsi="Times New Roman" w:cs="Times New Roman"/>
                <w:b/>
                <w:sz w:val="21"/>
                <w:szCs w:val="21"/>
              </w:rPr>
              <w:t>六</w:t>
            </w:r>
            <w:r>
              <w:rPr>
                <w:rFonts w:ascii="Times New Roman" w:eastAsiaTheme="majorEastAsia" w:hAnsi="Times New Roman" w:cs="Times New Roman"/>
                <w:b/>
                <w:sz w:val="21"/>
                <w:szCs w:val="21"/>
              </w:rPr>
              <w:t xml:space="preserve"> </w:t>
            </w:r>
            <w:r>
              <w:rPr>
                <w:rFonts w:ascii="Times New Roman" w:eastAsiaTheme="majorEastAsia" w:hAnsi="Times New Roman" w:cs="Times New Roman"/>
                <w:b/>
                <w:sz w:val="21"/>
                <w:szCs w:val="21"/>
              </w:rPr>
              <w:t>鴷形目</w:t>
            </w:r>
            <w:r>
              <w:rPr>
                <w:rFonts w:ascii="Times New Roman" w:eastAsiaTheme="majorEastAsia" w:hAnsi="Times New Roman" w:cs="Times New Roman"/>
                <w:b/>
                <w:sz w:val="21"/>
                <w:szCs w:val="21"/>
              </w:rPr>
              <w:t xml:space="preserve"> Piciformes</w:t>
            </w:r>
          </w:p>
        </w:tc>
      </w:tr>
      <w:tr w:rsidR="006175A6">
        <w:trPr>
          <w:trHeight w:val="340"/>
          <w:jc w:val="center"/>
        </w:trPr>
        <w:tc>
          <w:tcPr>
            <w:tcW w:w="1569" w:type="pct"/>
            <w:vAlign w:val="center"/>
          </w:tcPr>
          <w:p w:rsidR="006175A6" w:rsidRDefault="00E9742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十一</w:t>
            </w:r>
            <w:r>
              <w:rPr>
                <w:rFonts w:ascii="Times New Roman" w:eastAsiaTheme="majorEastAsia" w:hAnsi="Times New Roman" w:cs="Times New Roman"/>
                <w:sz w:val="21"/>
                <w:szCs w:val="21"/>
              </w:rPr>
              <w:t>）</w:t>
            </w:r>
            <w:r w:rsidR="009B4BA7">
              <w:rPr>
                <w:rFonts w:ascii="Times New Roman" w:eastAsiaTheme="majorEastAsia" w:hAnsi="Times New Roman" w:cs="Times New Roman"/>
                <w:sz w:val="21"/>
                <w:szCs w:val="21"/>
              </w:rPr>
              <w:t>啄木鸟科</w:t>
            </w:r>
            <w:r w:rsidR="009B4BA7">
              <w:rPr>
                <w:rFonts w:ascii="Times New Roman" w:eastAsiaTheme="majorEastAsia" w:hAnsi="Times New Roman" w:cs="Times New Roman"/>
                <w:sz w:val="21"/>
                <w:szCs w:val="21"/>
              </w:rPr>
              <w:t xml:space="preserve"> Picidae</w:t>
            </w:r>
          </w:p>
        </w:tc>
        <w:tc>
          <w:tcPr>
            <w:tcW w:w="3431" w:type="pct"/>
            <w:gridSpan w:val="5"/>
            <w:vAlign w:val="center"/>
          </w:tcPr>
          <w:p w:rsidR="006175A6" w:rsidRDefault="006175A6">
            <w:pPr>
              <w:pStyle w:val="TableParagraph"/>
              <w:rPr>
                <w:rFonts w:ascii="Times New Roman" w:eastAsiaTheme="majorEastAsia" w:hAnsi="Times New Roman" w:cs="Times New Roman"/>
                <w:sz w:val="21"/>
                <w:szCs w:val="21"/>
              </w:rPr>
            </w:pP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17.</w:t>
            </w:r>
            <w:r>
              <w:rPr>
                <w:rFonts w:ascii="Times New Roman" w:eastAsiaTheme="majorEastAsia" w:hAnsi="Times New Roman" w:cs="Times New Roman"/>
                <w:sz w:val="21"/>
                <w:szCs w:val="21"/>
              </w:rPr>
              <w:t>黄冠啄木鸟</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Lesser Yellowlape</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栖息于山区、田野、村郊大树上，食昆虫。</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r w:rsidR="006175A6">
        <w:trPr>
          <w:trHeight w:val="340"/>
          <w:jc w:val="center"/>
        </w:trPr>
        <w:tc>
          <w:tcPr>
            <w:tcW w:w="156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18. </w:t>
            </w:r>
            <w:r>
              <w:rPr>
                <w:rFonts w:ascii="Times New Roman" w:eastAsiaTheme="majorEastAsia" w:hAnsi="Times New Roman" w:cs="Times New Roman"/>
                <w:sz w:val="21"/>
                <w:szCs w:val="21"/>
              </w:rPr>
              <w:t>大斑啄木鸟</w:t>
            </w:r>
          </w:p>
          <w:p w:rsidR="006175A6" w:rsidRDefault="009B4BA7">
            <w:pPr>
              <w:pStyle w:val="TableParagraph"/>
              <w:rPr>
                <w:rFonts w:ascii="Times New Roman" w:eastAsiaTheme="majorEastAsia" w:hAnsi="Times New Roman" w:cs="Times New Roman"/>
                <w:i/>
                <w:sz w:val="21"/>
                <w:szCs w:val="21"/>
              </w:rPr>
            </w:pPr>
            <w:r>
              <w:rPr>
                <w:rFonts w:ascii="Times New Roman" w:eastAsiaTheme="majorEastAsia" w:hAnsi="Times New Roman" w:cs="Times New Roman"/>
                <w:i/>
                <w:sz w:val="21"/>
                <w:szCs w:val="21"/>
              </w:rPr>
              <w:t>Dendrocopos Major</w:t>
            </w:r>
          </w:p>
        </w:tc>
        <w:tc>
          <w:tcPr>
            <w:tcW w:w="420"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广</w:t>
            </w:r>
          </w:p>
        </w:tc>
        <w:tc>
          <w:tcPr>
            <w:tcW w:w="43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留</w:t>
            </w:r>
          </w:p>
        </w:tc>
        <w:tc>
          <w:tcPr>
            <w:tcW w:w="495"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1422" w:type="pct"/>
            <w:vAlign w:val="center"/>
          </w:tcPr>
          <w:p w:rsidR="006175A6" w:rsidRDefault="009B4BA7">
            <w:pPr>
              <w:pStyle w:val="TableParagraph"/>
              <w:rPr>
                <w:rFonts w:ascii="Times New Roman" w:eastAsiaTheme="majorEastAsia" w:hAnsi="Times New Roman" w:cs="Times New Roman"/>
                <w:sz w:val="21"/>
                <w:szCs w:val="21"/>
                <w:lang w:eastAsia="zh-CN"/>
              </w:rPr>
            </w:pPr>
            <w:r>
              <w:rPr>
                <w:rFonts w:ascii="Times New Roman" w:eastAsiaTheme="majorEastAsia" w:hAnsi="Times New Roman" w:cs="Times New Roman"/>
                <w:sz w:val="21"/>
                <w:szCs w:val="21"/>
                <w:lang w:eastAsia="zh-CN"/>
              </w:rPr>
              <w:t>栖息于山区、田野、村郊大树上，食昆虫。</w:t>
            </w:r>
          </w:p>
        </w:tc>
        <w:tc>
          <w:tcPr>
            <w:tcW w:w="659" w:type="pct"/>
            <w:vAlign w:val="center"/>
          </w:tcPr>
          <w:p w:rsidR="006175A6" w:rsidRDefault="009B4BA7">
            <w:pPr>
              <w:pStyle w:val="TableParagraph"/>
              <w:rPr>
                <w:rFonts w:ascii="Times New Roman" w:eastAsiaTheme="majorEastAsia" w:hAnsi="Times New Roman" w:cs="Times New Roman"/>
                <w:sz w:val="21"/>
                <w:szCs w:val="21"/>
              </w:rPr>
            </w:pPr>
            <w:r>
              <w:rPr>
                <w:rFonts w:ascii="Times New Roman" w:eastAsiaTheme="majorEastAsia" w:hAnsi="Times New Roman" w:cs="Times New Roman"/>
                <w:sz w:val="21"/>
                <w:szCs w:val="21"/>
              </w:rPr>
              <w:t>未列入</w:t>
            </w:r>
          </w:p>
        </w:tc>
      </w:tr>
    </w:tbl>
    <w:p w:rsidR="006175A6" w:rsidRDefault="009B4BA7">
      <w:pPr>
        <w:spacing w:line="240" w:lineRule="auto"/>
        <w:ind w:firstLine="420"/>
        <w:rPr>
          <w:sz w:val="21"/>
        </w:rPr>
      </w:pPr>
      <w:r>
        <w:rPr>
          <w:rFonts w:hint="eastAsia"/>
          <w:sz w:val="21"/>
        </w:rPr>
        <w:t>注：东：东洋种，古：古北种，广：广布种；留：留鸟，夏：夏候鸟，冬：冬候鸟</w:t>
      </w:r>
    </w:p>
    <w:p w:rsidR="006175A6" w:rsidRDefault="009B4BA7">
      <w:pPr>
        <w:ind w:firstLine="480"/>
      </w:pPr>
      <w:r>
        <w:rPr>
          <w:rFonts w:hint="eastAsia"/>
        </w:rPr>
        <w:t>按生活习性来分，可以将</w:t>
      </w:r>
      <w:r>
        <w:rPr>
          <w:rFonts w:hint="eastAsia"/>
        </w:rPr>
        <w:t xml:space="preserve"> 18 </w:t>
      </w:r>
      <w:r>
        <w:rPr>
          <w:rFonts w:hint="eastAsia"/>
        </w:rPr>
        <w:t>种鸟类分为一下</w:t>
      </w:r>
      <w:r>
        <w:rPr>
          <w:rFonts w:hint="eastAsia"/>
        </w:rPr>
        <w:t xml:space="preserve"> 4 </w:t>
      </w:r>
      <w:r>
        <w:rPr>
          <w:rFonts w:hint="eastAsia"/>
        </w:rPr>
        <w:t>类：</w:t>
      </w:r>
    </w:p>
    <w:p w:rsidR="006175A6" w:rsidRDefault="009B4BA7">
      <w:pPr>
        <w:ind w:firstLine="480"/>
      </w:pPr>
      <w:r>
        <w:rPr>
          <w:rFonts w:hint="eastAsia"/>
        </w:rPr>
        <w:t>陆禽</w:t>
      </w:r>
      <w:r>
        <w:rPr>
          <w:rFonts w:hint="eastAsia"/>
        </w:rPr>
        <w:t xml:space="preserve"> 5 </w:t>
      </w:r>
      <w:r>
        <w:rPr>
          <w:rFonts w:hint="eastAsia"/>
        </w:rPr>
        <w:t>种：鹌鹑、灰胸竹鸡、雉鸡、山斑鸠、珠颈斑鸠</w:t>
      </w:r>
    </w:p>
    <w:p w:rsidR="006175A6" w:rsidRDefault="009B4BA7">
      <w:pPr>
        <w:ind w:firstLine="480"/>
      </w:pPr>
      <w:r>
        <w:rPr>
          <w:rFonts w:hint="eastAsia"/>
        </w:rPr>
        <w:t>猛禽</w:t>
      </w:r>
      <w:r>
        <w:rPr>
          <w:rFonts w:hint="eastAsia"/>
        </w:rPr>
        <w:t xml:space="preserve"> 1 </w:t>
      </w:r>
      <w:r>
        <w:rPr>
          <w:rFonts w:hint="eastAsia"/>
        </w:rPr>
        <w:t>种：鸢。</w:t>
      </w:r>
    </w:p>
    <w:p w:rsidR="006175A6" w:rsidRDefault="009B4BA7">
      <w:pPr>
        <w:ind w:firstLine="480"/>
      </w:pPr>
      <w:r>
        <w:rPr>
          <w:rFonts w:hint="eastAsia"/>
        </w:rPr>
        <w:t>攀禽</w:t>
      </w:r>
      <w:r>
        <w:rPr>
          <w:rFonts w:hint="eastAsia"/>
        </w:rPr>
        <w:t xml:space="preserve"> 3 </w:t>
      </w:r>
      <w:r>
        <w:rPr>
          <w:rFonts w:hint="eastAsia"/>
        </w:rPr>
        <w:t>种：小杜鹃、黄冠啄木鸟、大斑啄木鸟。</w:t>
      </w:r>
    </w:p>
    <w:p w:rsidR="006175A6" w:rsidRDefault="009B4BA7">
      <w:pPr>
        <w:ind w:firstLine="480"/>
      </w:pPr>
      <w:r>
        <w:rPr>
          <w:rFonts w:hint="eastAsia"/>
        </w:rPr>
        <w:t>鸣禽</w:t>
      </w:r>
      <w:r>
        <w:rPr>
          <w:rFonts w:hint="eastAsia"/>
        </w:rPr>
        <w:t xml:space="preserve"> 8 </w:t>
      </w:r>
      <w:r>
        <w:rPr>
          <w:rFonts w:hint="eastAsia"/>
        </w:rPr>
        <w:t>种：喜鹊、灰喜鹊、大嘴乌鸦、大山雀、黄腹山雀、麻雀、金腰燕、金翅雀、短趾百灵。</w:t>
      </w:r>
    </w:p>
    <w:p w:rsidR="006175A6" w:rsidRDefault="009B4BA7">
      <w:pPr>
        <w:ind w:firstLine="480"/>
      </w:pPr>
      <w:r>
        <w:rPr>
          <w:rFonts w:hint="eastAsia"/>
        </w:rPr>
        <w:t>区系成分：在</w:t>
      </w:r>
      <w:r>
        <w:rPr>
          <w:rFonts w:hint="eastAsia"/>
        </w:rPr>
        <w:t xml:space="preserve"> 18 </w:t>
      </w:r>
      <w:r>
        <w:rPr>
          <w:rFonts w:hint="eastAsia"/>
        </w:rPr>
        <w:t>种鸟类中，属于东洋界分布的种类有</w:t>
      </w:r>
      <w:r>
        <w:rPr>
          <w:rFonts w:hint="eastAsia"/>
        </w:rPr>
        <w:t xml:space="preserve"> 7 </w:t>
      </w:r>
      <w:r>
        <w:rPr>
          <w:rFonts w:hint="eastAsia"/>
        </w:rPr>
        <w:t>种，占</w:t>
      </w:r>
      <w:r>
        <w:rPr>
          <w:rFonts w:hint="eastAsia"/>
        </w:rPr>
        <w:t xml:space="preserve"> 38.9%</w:t>
      </w:r>
      <w:r>
        <w:rPr>
          <w:rFonts w:hint="eastAsia"/>
        </w:rPr>
        <w:t>；属于古北界分布的种类有</w:t>
      </w:r>
      <w:r>
        <w:rPr>
          <w:rFonts w:hint="eastAsia"/>
        </w:rPr>
        <w:t xml:space="preserve"> 1 </w:t>
      </w:r>
      <w:r>
        <w:rPr>
          <w:rFonts w:hint="eastAsia"/>
        </w:rPr>
        <w:t>种，占</w:t>
      </w:r>
      <w:r>
        <w:rPr>
          <w:rFonts w:hint="eastAsia"/>
        </w:rPr>
        <w:t xml:space="preserve"> 5.6%</w:t>
      </w:r>
      <w:r>
        <w:rPr>
          <w:rFonts w:hint="eastAsia"/>
        </w:rPr>
        <w:t>；广泛分布的种类有</w:t>
      </w:r>
      <w:r>
        <w:rPr>
          <w:rFonts w:hint="eastAsia"/>
        </w:rPr>
        <w:t xml:space="preserve"> 10 </w:t>
      </w:r>
      <w:r>
        <w:rPr>
          <w:rFonts w:hint="eastAsia"/>
        </w:rPr>
        <w:t>种，占</w:t>
      </w:r>
      <w:r>
        <w:rPr>
          <w:rFonts w:hint="eastAsia"/>
        </w:rPr>
        <w:t xml:space="preserve"> 55.5%</w:t>
      </w:r>
      <w:r>
        <w:rPr>
          <w:rFonts w:hint="eastAsia"/>
        </w:rPr>
        <w:t>。</w:t>
      </w:r>
    </w:p>
    <w:p w:rsidR="006175A6" w:rsidRDefault="009B4BA7">
      <w:pPr>
        <w:ind w:firstLine="480"/>
      </w:pPr>
      <w:r>
        <w:rPr>
          <w:rFonts w:hint="eastAsia"/>
        </w:rPr>
        <w:t>数量：数量多的有金腰燕、大山雀、雉鸡等</w:t>
      </w:r>
      <w:r>
        <w:rPr>
          <w:rFonts w:hint="eastAsia"/>
        </w:rPr>
        <w:t xml:space="preserve"> 3 </w:t>
      </w:r>
      <w:r>
        <w:rPr>
          <w:rFonts w:hint="eastAsia"/>
        </w:rPr>
        <w:t>种；数量较多的有鹌鹑、灰胸竹鸡、麻雀、山斑鸠、小杜鹃、喜鹊、灰喜鹊、黄腹山雀、短趾百灵、金翅雀、黄冠啄木鸟、大斑啄木鸟等</w:t>
      </w:r>
      <w:r>
        <w:rPr>
          <w:rFonts w:hint="eastAsia"/>
        </w:rPr>
        <w:t xml:space="preserve"> 12 </w:t>
      </w:r>
      <w:r>
        <w:rPr>
          <w:rFonts w:hint="eastAsia"/>
        </w:rPr>
        <w:t>种；而其它的鸟类数量较少。</w:t>
      </w:r>
    </w:p>
    <w:p w:rsidR="006175A6" w:rsidRDefault="009B4BA7">
      <w:pPr>
        <w:ind w:firstLine="480"/>
      </w:pPr>
      <w:r>
        <w:rPr>
          <w:rFonts w:hint="eastAsia"/>
        </w:rPr>
        <w:t>（</w:t>
      </w:r>
      <w:r>
        <w:rPr>
          <w:rFonts w:hint="eastAsia"/>
        </w:rPr>
        <w:t>4</w:t>
      </w:r>
      <w:r>
        <w:rPr>
          <w:rFonts w:hint="eastAsia"/>
        </w:rPr>
        <w:t>）兽类</w:t>
      </w:r>
    </w:p>
    <w:p w:rsidR="006175A6" w:rsidRDefault="009B4BA7">
      <w:pPr>
        <w:ind w:firstLine="480"/>
      </w:pPr>
      <w:r>
        <w:rPr>
          <w:rFonts w:hint="eastAsia"/>
        </w:rPr>
        <w:t>评价区的兽类共有</w:t>
      </w:r>
      <w:r>
        <w:rPr>
          <w:rFonts w:hint="eastAsia"/>
        </w:rPr>
        <w:t xml:space="preserve"> 6 </w:t>
      </w:r>
      <w:r>
        <w:rPr>
          <w:rFonts w:hint="eastAsia"/>
        </w:rPr>
        <w:t>目</w:t>
      </w:r>
      <w:r>
        <w:rPr>
          <w:rFonts w:hint="eastAsia"/>
        </w:rPr>
        <w:t xml:space="preserve"> 9 </w:t>
      </w:r>
      <w:r>
        <w:rPr>
          <w:rFonts w:hint="eastAsia"/>
        </w:rPr>
        <w:t>科</w:t>
      </w:r>
      <w:r>
        <w:rPr>
          <w:rFonts w:hint="eastAsia"/>
        </w:rPr>
        <w:t xml:space="preserve"> 14 </w:t>
      </w:r>
      <w:r>
        <w:rPr>
          <w:rFonts w:hint="eastAsia"/>
        </w:rPr>
        <w:t>种。评价区内没有国家级重点保护兽类；有省级兽类重点保护动物</w:t>
      </w:r>
      <w:r>
        <w:rPr>
          <w:rFonts w:hint="eastAsia"/>
        </w:rPr>
        <w:t xml:space="preserve"> 5 </w:t>
      </w:r>
      <w:r>
        <w:rPr>
          <w:rFonts w:hint="eastAsia"/>
        </w:rPr>
        <w:t>种：草兔、红白鼯鼠、赤腹松鼠、猪獾、小麂。</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r>
        <w:rPr>
          <w:rFonts w:hint="eastAsia"/>
        </w:rPr>
        <w:t xml:space="preserve">  </w:t>
      </w:r>
      <w:r>
        <w:rPr>
          <w:rFonts w:hint="eastAsia"/>
        </w:rPr>
        <w:t>评价区兽类资源现状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73"/>
        <w:gridCol w:w="730"/>
        <w:gridCol w:w="757"/>
        <w:gridCol w:w="2683"/>
        <w:gridCol w:w="1673"/>
      </w:tblGrid>
      <w:tr w:rsidR="006175A6">
        <w:trPr>
          <w:trHeight w:val="340"/>
        </w:trPr>
        <w:tc>
          <w:tcPr>
            <w:tcW w:w="1487" w:type="pct"/>
            <w:vAlign w:val="center"/>
          </w:tcPr>
          <w:p w:rsidR="006175A6" w:rsidRDefault="009B4BA7">
            <w:pPr>
              <w:pStyle w:val="TableParagraph"/>
              <w:rPr>
                <w:rFonts w:cs="Times New Roman"/>
                <w:sz w:val="21"/>
                <w:szCs w:val="21"/>
              </w:rPr>
            </w:pPr>
            <w:r>
              <w:rPr>
                <w:rFonts w:cs="Times New Roman" w:hint="eastAsia"/>
                <w:sz w:val="21"/>
                <w:szCs w:val="21"/>
              </w:rPr>
              <w:t>目、科、种名</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区系</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保护等级</w:t>
            </w:r>
          </w:p>
        </w:tc>
        <w:tc>
          <w:tcPr>
            <w:tcW w:w="1613" w:type="pct"/>
            <w:vAlign w:val="center"/>
          </w:tcPr>
          <w:p w:rsidR="006175A6" w:rsidRDefault="009B4BA7">
            <w:pPr>
              <w:pStyle w:val="TableParagraph"/>
              <w:rPr>
                <w:rFonts w:cs="Times New Roman"/>
                <w:sz w:val="21"/>
                <w:szCs w:val="21"/>
              </w:rPr>
            </w:pPr>
            <w:r>
              <w:rPr>
                <w:rFonts w:cs="Times New Roman" w:hint="eastAsia"/>
                <w:sz w:val="21"/>
                <w:szCs w:val="21"/>
              </w:rPr>
              <w:t>生境</w:t>
            </w:r>
          </w:p>
        </w:tc>
        <w:tc>
          <w:tcPr>
            <w:tcW w:w="1005" w:type="pct"/>
            <w:vAlign w:val="center"/>
          </w:tcPr>
          <w:p w:rsidR="006175A6" w:rsidRDefault="009B4BA7">
            <w:pPr>
              <w:pStyle w:val="TableParagraph"/>
              <w:rPr>
                <w:rFonts w:cs="Times New Roman"/>
                <w:sz w:val="21"/>
                <w:szCs w:val="21"/>
              </w:rPr>
            </w:pPr>
            <w:r>
              <w:rPr>
                <w:rFonts w:cs="Times New Roman" w:hint="eastAsia"/>
                <w:sz w:val="21"/>
                <w:szCs w:val="21"/>
              </w:rPr>
              <w:t>数量级</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t xml:space="preserve">一、食虫目 </w:t>
            </w:r>
            <w:r>
              <w:rPr>
                <w:rFonts w:ascii="Times New Roman"/>
                <w:b/>
                <w:sz w:val="21"/>
                <w:szCs w:val="21"/>
              </w:rPr>
              <w:t>INSECTIVORA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lastRenderedPageBreak/>
              <w:t>（</w:t>
            </w:r>
            <w:r w:rsidR="009B4BA7">
              <w:rPr>
                <w:rFonts w:cs="Times New Roman" w:hint="eastAsia"/>
                <w:sz w:val="21"/>
                <w:szCs w:val="21"/>
              </w:rPr>
              <w:t>一</w:t>
            </w:r>
            <w:r>
              <w:rPr>
                <w:rFonts w:ascii="Times New Roman"/>
                <w:sz w:val="21"/>
                <w:szCs w:val="21"/>
              </w:rPr>
              <w:t>）</w:t>
            </w:r>
            <w:r w:rsidR="009B4BA7">
              <w:rPr>
                <w:rFonts w:cs="Times New Roman" w:hint="eastAsia"/>
                <w:sz w:val="21"/>
                <w:szCs w:val="21"/>
              </w:rPr>
              <w:t xml:space="preserve">猬科 </w:t>
            </w:r>
            <w:r w:rsidR="009B4BA7">
              <w:rPr>
                <w:rFonts w:ascii="Times New Roman"/>
                <w:sz w:val="21"/>
                <w:szCs w:val="21"/>
              </w:rPr>
              <w:t>Erinaceidae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w:t>
            </w:r>
            <w:r>
              <w:rPr>
                <w:rFonts w:cs="Times New Roman" w:hint="eastAsia"/>
                <w:sz w:val="21"/>
                <w:szCs w:val="21"/>
              </w:rPr>
              <w:t>刺猬</w:t>
            </w:r>
          </w:p>
          <w:p w:rsidR="006175A6" w:rsidRDefault="009B4BA7">
            <w:pPr>
              <w:pStyle w:val="TableParagraph"/>
              <w:rPr>
                <w:rFonts w:ascii="Times New Roman"/>
                <w:i/>
                <w:sz w:val="21"/>
                <w:szCs w:val="21"/>
              </w:rPr>
            </w:pPr>
            <w:r>
              <w:rPr>
                <w:rFonts w:ascii="Times New Roman"/>
                <w:i/>
                <w:sz w:val="21"/>
                <w:szCs w:val="21"/>
              </w:rPr>
              <w:t>Erinaceus europaeus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古北种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生境多样，在树根、倒木、石隙、灌丛等处做窝。</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t xml:space="preserve">二、翼手目 </w:t>
            </w:r>
            <w:r>
              <w:rPr>
                <w:rFonts w:ascii="Times New Roman"/>
                <w:b/>
                <w:sz w:val="21"/>
                <w:szCs w:val="21"/>
              </w:rPr>
              <w:t>CHIROPTERA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二</w:t>
            </w:r>
            <w:r>
              <w:rPr>
                <w:rFonts w:ascii="Times New Roman"/>
                <w:sz w:val="21"/>
                <w:szCs w:val="21"/>
              </w:rPr>
              <w:t>）</w:t>
            </w:r>
            <w:r w:rsidR="009B4BA7">
              <w:rPr>
                <w:rFonts w:cs="Times New Roman" w:hint="eastAsia"/>
                <w:sz w:val="21"/>
                <w:szCs w:val="21"/>
              </w:rPr>
              <w:t xml:space="preserve">蝙蝠科 </w:t>
            </w:r>
            <w:r w:rsidR="009B4BA7">
              <w:rPr>
                <w:rFonts w:ascii="Times New Roman"/>
                <w:sz w:val="21"/>
                <w:szCs w:val="21"/>
              </w:rPr>
              <w:t>Vespertilionidae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2.</w:t>
            </w:r>
            <w:r>
              <w:rPr>
                <w:rFonts w:cs="Times New Roman" w:hint="eastAsia"/>
                <w:sz w:val="21"/>
                <w:szCs w:val="21"/>
              </w:rPr>
              <w:t>普通伏翼</w:t>
            </w:r>
          </w:p>
          <w:p w:rsidR="006175A6" w:rsidRDefault="009B4BA7">
            <w:pPr>
              <w:pStyle w:val="TableParagraph"/>
              <w:rPr>
                <w:rFonts w:ascii="Times New Roman"/>
                <w:i/>
                <w:sz w:val="21"/>
                <w:szCs w:val="21"/>
              </w:rPr>
            </w:pPr>
            <w:r>
              <w:rPr>
                <w:rFonts w:ascii="Times New Roman"/>
                <w:i/>
                <w:sz w:val="21"/>
                <w:szCs w:val="21"/>
              </w:rPr>
              <w:t>Pipistrellus abramus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 xml:space="preserve">生活于屋檐、天花板、墙、门窗缝隙中。集群，一群 </w:t>
            </w:r>
            <w:r>
              <w:rPr>
                <w:rFonts w:ascii="Times New Roman"/>
                <w:sz w:val="21"/>
                <w:szCs w:val="21"/>
                <w:lang w:eastAsia="zh-CN"/>
              </w:rPr>
              <w:t xml:space="preserve">5~20 </w:t>
            </w:r>
            <w:r>
              <w:rPr>
                <w:rFonts w:cs="Times New Roman" w:hint="eastAsia"/>
                <w:sz w:val="21"/>
                <w:szCs w:val="21"/>
                <w:lang w:eastAsia="zh-CN"/>
              </w:rPr>
              <w:t>只，栖息地随食物而迁。</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t xml:space="preserve">三、兔形目 </w:t>
            </w:r>
            <w:r>
              <w:rPr>
                <w:rFonts w:ascii="Times New Roman"/>
                <w:b/>
                <w:sz w:val="21"/>
                <w:szCs w:val="21"/>
              </w:rPr>
              <w:t>LAGOMORPHA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三</w:t>
            </w:r>
            <w:r>
              <w:rPr>
                <w:rFonts w:ascii="Times New Roman"/>
                <w:sz w:val="21"/>
                <w:szCs w:val="21"/>
              </w:rPr>
              <w:t>）</w:t>
            </w:r>
            <w:r w:rsidR="009B4BA7">
              <w:rPr>
                <w:rFonts w:cs="Times New Roman" w:hint="eastAsia"/>
                <w:sz w:val="21"/>
                <w:szCs w:val="21"/>
              </w:rPr>
              <w:t xml:space="preserve">兔科 </w:t>
            </w:r>
            <w:r w:rsidR="009B4BA7">
              <w:rPr>
                <w:rFonts w:ascii="Times New Roman"/>
                <w:sz w:val="21"/>
                <w:szCs w:val="21"/>
              </w:rPr>
              <w:t>Leporidae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3.</w:t>
            </w:r>
            <w:r>
              <w:rPr>
                <w:rFonts w:cs="Times New Roman" w:hint="eastAsia"/>
                <w:sz w:val="21"/>
                <w:szCs w:val="21"/>
              </w:rPr>
              <w:t>草兔</w:t>
            </w:r>
          </w:p>
          <w:p w:rsidR="006175A6" w:rsidRDefault="009B4BA7">
            <w:pPr>
              <w:pStyle w:val="TableParagraph"/>
              <w:rPr>
                <w:rFonts w:ascii="Times New Roman"/>
                <w:i/>
                <w:sz w:val="21"/>
                <w:szCs w:val="21"/>
              </w:rPr>
            </w:pPr>
            <w:r>
              <w:rPr>
                <w:rFonts w:ascii="Times New Roman"/>
                <w:i/>
                <w:sz w:val="21"/>
                <w:szCs w:val="21"/>
              </w:rPr>
              <w:t>Lepus capensis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主要栖息于农田或农田附近沟渠两岸的灌丛、草丛，山坡灌丛及林缘。</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t xml:space="preserve">四、啮齿目 </w:t>
            </w:r>
            <w:r>
              <w:rPr>
                <w:rFonts w:ascii="Times New Roman"/>
                <w:b/>
                <w:sz w:val="21"/>
                <w:szCs w:val="21"/>
              </w:rPr>
              <w:t>RODENTIA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四</w:t>
            </w:r>
            <w:r>
              <w:rPr>
                <w:rFonts w:ascii="Times New Roman"/>
                <w:sz w:val="21"/>
                <w:szCs w:val="21"/>
              </w:rPr>
              <w:t>）</w:t>
            </w:r>
            <w:r w:rsidR="009B4BA7">
              <w:rPr>
                <w:rFonts w:cs="Times New Roman" w:hint="eastAsia"/>
                <w:sz w:val="21"/>
                <w:szCs w:val="21"/>
              </w:rPr>
              <w:t xml:space="preserve">鼯鼠科 </w:t>
            </w:r>
            <w:r w:rsidR="009B4BA7">
              <w:rPr>
                <w:rFonts w:ascii="Times New Roman"/>
                <w:sz w:val="21"/>
                <w:szCs w:val="21"/>
              </w:rPr>
              <w:t>Petauristidae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4.</w:t>
            </w:r>
            <w:r>
              <w:rPr>
                <w:rFonts w:cs="Times New Roman" w:hint="eastAsia"/>
                <w:sz w:val="21"/>
                <w:szCs w:val="21"/>
              </w:rPr>
              <w:t>红白鼯鼠</w:t>
            </w:r>
          </w:p>
          <w:p w:rsidR="006175A6" w:rsidRDefault="009B4BA7">
            <w:pPr>
              <w:pStyle w:val="TableParagraph"/>
              <w:rPr>
                <w:rFonts w:ascii="Times New Roman"/>
                <w:i/>
                <w:sz w:val="21"/>
                <w:szCs w:val="21"/>
              </w:rPr>
            </w:pPr>
            <w:r>
              <w:rPr>
                <w:rFonts w:ascii="Times New Roman"/>
                <w:i/>
                <w:sz w:val="21"/>
                <w:szCs w:val="21"/>
              </w:rPr>
              <w:t>Petaurista alborufus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 xml:space="preserve">树栖。栖息于海拔 </w:t>
            </w:r>
            <w:r>
              <w:rPr>
                <w:rFonts w:ascii="Times New Roman"/>
                <w:sz w:val="21"/>
                <w:szCs w:val="21"/>
                <w:lang w:eastAsia="zh-CN"/>
              </w:rPr>
              <w:t xml:space="preserve">1000m </w:t>
            </w:r>
            <w:r>
              <w:rPr>
                <w:rFonts w:cs="Times New Roman" w:hint="eastAsia"/>
                <w:sz w:val="21"/>
                <w:szCs w:val="21"/>
                <w:lang w:eastAsia="zh-CN"/>
              </w:rPr>
              <w:t>左右山坡森林地带。</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五</w:t>
            </w:r>
            <w:r>
              <w:rPr>
                <w:rFonts w:ascii="Times New Roman"/>
                <w:sz w:val="21"/>
                <w:szCs w:val="21"/>
              </w:rPr>
              <w:t>）</w:t>
            </w:r>
            <w:r w:rsidR="009B4BA7">
              <w:rPr>
                <w:rFonts w:cs="Times New Roman" w:hint="eastAsia"/>
                <w:sz w:val="21"/>
                <w:szCs w:val="21"/>
              </w:rPr>
              <w:t xml:space="preserve">松鼠科 </w:t>
            </w:r>
            <w:r w:rsidR="009B4BA7">
              <w:rPr>
                <w:rFonts w:ascii="Times New Roman"/>
                <w:sz w:val="21"/>
                <w:szCs w:val="21"/>
              </w:rPr>
              <w:t>Sciluridae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5.</w:t>
            </w:r>
            <w:r>
              <w:rPr>
                <w:rFonts w:cs="Times New Roman" w:hint="eastAsia"/>
                <w:sz w:val="21"/>
                <w:szCs w:val="21"/>
              </w:rPr>
              <w:t>赤腹松鼠</w:t>
            </w:r>
          </w:p>
          <w:p w:rsidR="006175A6" w:rsidRDefault="009B4BA7">
            <w:pPr>
              <w:pStyle w:val="TableParagraph"/>
              <w:rPr>
                <w:rFonts w:ascii="Times New Roman"/>
                <w:i/>
                <w:sz w:val="21"/>
                <w:szCs w:val="21"/>
              </w:rPr>
            </w:pPr>
            <w:r>
              <w:rPr>
                <w:rFonts w:ascii="Times New Roman"/>
                <w:i/>
                <w:sz w:val="21"/>
                <w:szCs w:val="21"/>
              </w:rPr>
              <w:t>Callosciurus ergthraeus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1613" w:type="pct"/>
            <w:vAlign w:val="center"/>
          </w:tcPr>
          <w:p w:rsidR="006175A6" w:rsidRDefault="009B4BA7">
            <w:pPr>
              <w:pStyle w:val="TableParagraph"/>
              <w:rPr>
                <w:rFonts w:cs="Times New Roman"/>
                <w:sz w:val="21"/>
                <w:szCs w:val="21"/>
              </w:rPr>
            </w:pPr>
            <w:r>
              <w:rPr>
                <w:rFonts w:cs="Times New Roman" w:hint="eastAsia"/>
                <w:sz w:val="21"/>
                <w:szCs w:val="21"/>
              </w:rPr>
              <w:t>栖息于山区林地中。</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六</w:t>
            </w:r>
            <w:r>
              <w:rPr>
                <w:rFonts w:ascii="Times New Roman"/>
                <w:sz w:val="21"/>
                <w:szCs w:val="21"/>
              </w:rPr>
              <w:t>）</w:t>
            </w:r>
            <w:r w:rsidR="009B4BA7">
              <w:rPr>
                <w:rFonts w:cs="Times New Roman" w:hint="eastAsia"/>
                <w:sz w:val="21"/>
                <w:szCs w:val="21"/>
              </w:rPr>
              <w:t xml:space="preserve">鼠科 </w:t>
            </w:r>
            <w:r w:rsidR="009B4BA7">
              <w:rPr>
                <w:rFonts w:ascii="Times New Roman"/>
                <w:sz w:val="21"/>
                <w:szCs w:val="21"/>
              </w:rPr>
              <w:t>Muridae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6.</w:t>
            </w:r>
            <w:r>
              <w:rPr>
                <w:rFonts w:cs="Times New Roman" w:hint="eastAsia"/>
                <w:sz w:val="21"/>
                <w:szCs w:val="21"/>
              </w:rPr>
              <w:t>小家鼠</w:t>
            </w:r>
          </w:p>
          <w:p w:rsidR="006175A6" w:rsidRDefault="009B4BA7">
            <w:pPr>
              <w:pStyle w:val="TableParagraph"/>
              <w:rPr>
                <w:rFonts w:ascii="Times New Roman"/>
                <w:i/>
                <w:sz w:val="21"/>
                <w:szCs w:val="21"/>
              </w:rPr>
            </w:pPr>
            <w:r>
              <w:rPr>
                <w:rFonts w:ascii="Times New Roman"/>
                <w:i/>
                <w:sz w:val="21"/>
                <w:szCs w:val="21"/>
              </w:rPr>
              <w:t>Mus musculus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喜栖于住宅、仓库以及田野、林地等处。在一结隐蔽的地方筑窝或穴居。</w:t>
            </w:r>
          </w:p>
        </w:tc>
        <w:tc>
          <w:tcPr>
            <w:tcW w:w="1005" w:type="pct"/>
            <w:vAlign w:val="center"/>
          </w:tcPr>
          <w:p w:rsidR="006175A6" w:rsidRDefault="006175A6">
            <w:pPr>
              <w:pStyle w:val="TableParagraph"/>
              <w:rPr>
                <w:rFonts w:cs="Times New Roman"/>
                <w:sz w:val="23"/>
                <w:szCs w:val="23"/>
                <w:lang w:eastAsia="zh-CN"/>
              </w:rPr>
            </w:pPr>
          </w:p>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7.</w:t>
            </w:r>
            <w:r>
              <w:rPr>
                <w:rFonts w:cs="Times New Roman" w:hint="eastAsia"/>
                <w:sz w:val="21"/>
                <w:szCs w:val="21"/>
              </w:rPr>
              <w:t>黄胸鼠</w:t>
            </w:r>
          </w:p>
          <w:p w:rsidR="006175A6" w:rsidRDefault="009B4BA7">
            <w:pPr>
              <w:pStyle w:val="TableParagraph"/>
              <w:rPr>
                <w:rFonts w:ascii="Times New Roman"/>
                <w:i/>
                <w:sz w:val="21"/>
                <w:szCs w:val="21"/>
              </w:rPr>
            </w:pPr>
            <w:r>
              <w:rPr>
                <w:rFonts w:ascii="Times New Roman"/>
                <w:i/>
                <w:sz w:val="21"/>
                <w:szCs w:val="21"/>
              </w:rPr>
              <w:t>Rattus flavipectus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多于住房、仓库内挖洞穴居。</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8.</w:t>
            </w:r>
            <w:r>
              <w:rPr>
                <w:rFonts w:cs="Times New Roman" w:hint="eastAsia"/>
                <w:sz w:val="21"/>
                <w:szCs w:val="21"/>
              </w:rPr>
              <w:t>社鼠</w:t>
            </w:r>
          </w:p>
          <w:p w:rsidR="006175A6" w:rsidRDefault="009B4BA7">
            <w:pPr>
              <w:pStyle w:val="TableParagraph"/>
              <w:rPr>
                <w:rFonts w:ascii="Times New Roman"/>
                <w:i/>
                <w:sz w:val="21"/>
                <w:szCs w:val="21"/>
              </w:rPr>
            </w:pPr>
            <w:r>
              <w:rPr>
                <w:rFonts w:ascii="Times New Roman"/>
                <w:i/>
                <w:sz w:val="21"/>
                <w:szCs w:val="21"/>
              </w:rPr>
              <w:t>R..niviventer</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栖息林地、灌丛、作物区及石缝、溪旁草丛中。</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9.</w:t>
            </w:r>
            <w:r>
              <w:rPr>
                <w:rFonts w:cs="Times New Roman" w:hint="eastAsia"/>
                <w:sz w:val="21"/>
                <w:szCs w:val="21"/>
              </w:rPr>
              <w:t>褐家鼠</w:t>
            </w:r>
          </w:p>
          <w:p w:rsidR="006175A6" w:rsidRDefault="009B4BA7">
            <w:pPr>
              <w:pStyle w:val="TableParagraph"/>
              <w:rPr>
                <w:rFonts w:ascii="Times New Roman"/>
                <w:i/>
                <w:sz w:val="21"/>
                <w:szCs w:val="21"/>
              </w:rPr>
            </w:pPr>
            <w:r>
              <w:rPr>
                <w:rFonts w:ascii="Times New Roman"/>
                <w:i/>
                <w:sz w:val="21"/>
                <w:szCs w:val="21"/>
              </w:rPr>
              <w:t>R..novegicus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栖息生境十分广泛，多与人伴居。仓库、厨房、荒野等地均可生存。</w:t>
            </w:r>
          </w:p>
        </w:tc>
        <w:tc>
          <w:tcPr>
            <w:tcW w:w="1005" w:type="pct"/>
            <w:vAlign w:val="center"/>
          </w:tcPr>
          <w:p w:rsidR="006175A6" w:rsidRDefault="006175A6">
            <w:pPr>
              <w:pStyle w:val="TableParagraph"/>
              <w:rPr>
                <w:rFonts w:cs="Times New Roman"/>
                <w:sz w:val="23"/>
                <w:szCs w:val="23"/>
                <w:lang w:eastAsia="zh-CN"/>
              </w:rPr>
            </w:pPr>
          </w:p>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七</w:t>
            </w:r>
            <w:r>
              <w:rPr>
                <w:rFonts w:ascii="Times New Roman"/>
                <w:sz w:val="21"/>
                <w:szCs w:val="21"/>
              </w:rPr>
              <w:t>）</w:t>
            </w:r>
            <w:r w:rsidR="009B4BA7">
              <w:rPr>
                <w:rFonts w:cs="Times New Roman" w:hint="eastAsia"/>
                <w:sz w:val="21"/>
                <w:szCs w:val="21"/>
              </w:rPr>
              <w:t xml:space="preserve">仓鼠科 </w:t>
            </w:r>
            <w:r w:rsidR="009B4BA7">
              <w:rPr>
                <w:rFonts w:ascii="Times New Roman"/>
                <w:sz w:val="21"/>
                <w:szCs w:val="21"/>
              </w:rPr>
              <w:t>Cricetidae</w:t>
            </w:r>
          </w:p>
        </w:tc>
        <w:tc>
          <w:tcPr>
            <w:tcW w:w="439" w:type="pct"/>
            <w:vAlign w:val="center"/>
          </w:tcPr>
          <w:p w:rsidR="006175A6" w:rsidRDefault="006175A6">
            <w:pPr>
              <w:pStyle w:val="TableParagraph"/>
              <w:rPr>
                <w:rFonts w:ascii="Times New Roman"/>
                <w:sz w:val="20"/>
                <w:szCs w:val="20"/>
              </w:rPr>
            </w:pPr>
          </w:p>
        </w:tc>
        <w:tc>
          <w:tcPr>
            <w:tcW w:w="455" w:type="pct"/>
            <w:vAlign w:val="center"/>
          </w:tcPr>
          <w:p w:rsidR="006175A6" w:rsidRDefault="006175A6">
            <w:pPr>
              <w:pStyle w:val="TableParagraph"/>
              <w:rPr>
                <w:rFonts w:ascii="Times New Roman"/>
                <w:sz w:val="20"/>
                <w:szCs w:val="20"/>
              </w:rPr>
            </w:pPr>
          </w:p>
        </w:tc>
        <w:tc>
          <w:tcPr>
            <w:tcW w:w="1613" w:type="pct"/>
            <w:vAlign w:val="center"/>
          </w:tcPr>
          <w:p w:rsidR="006175A6" w:rsidRDefault="006175A6">
            <w:pPr>
              <w:pStyle w:val="TableParagraph"/>
              <w:rPr>
                <w:rFonts w:ascii="Times New Roman"/>
                <w:sz w:val="20"/>
                <w:szCs w:val="20"/>
              </w:rPr>
            </w:pPr>
          </w:p>
        </w:tc>
        <w:tc>
          <w:tcPr>
            <w:tcW w:w="1005" w:type="pct"/>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10.</w:t>
            </w:r>
            <w:r>
              <w:rPr>
                <w:rFonts w:cs="Times New Roman" w:hint="eastAsia"/>
                <w:sz w:val="21"/>
                <w:szCs w:val="21"/>
              </w:rPr>
              <w:t>大仓鼠</w:t>
            </w:r>
          </w:p>
          <w:p w:rsidR="006175A6" w:rsidRDefault="009B4BA7">
            <w:pPr>
              <w:pStyle w:val="TableParagraph"/>
              <w:rPr>
                <w:rFonts w:ascii="Times New Roman"/>
                <w:i/>
                <w:sz w:val="21"/>
                <w:szCs w:val="21"/>
              </w:rPr>
            </w:pPr>
            <w:r>
              <w:rPr>
                <w:rFonts w:ascii="Times New Roman"/>
                <w:i/>
                <w:sz w:val="21"/>
                <w:szCs w:val="21"/>
              </w:rPr>
              <w:t>Cricetidae Triton</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古北种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栖息于各种生境的林缘和灌丛中。</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t xml:space="preserve">五、食肉目 </w:t>
            </w:r>
            <w:r>
              <w:rPr>
                <w:rFonts w:ascii="Times New Roman"/>
                <w:b/>
                <w:sz w:val="21"/>
                <w:szCs w:val="21"/>
              </w:rPr>
              <w:t>CARNIVORA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八</w:t>
            </w:r>
            <w:r>
              <w:rPr>
                <w:rFonts w:ascii="Times New Roman"/>
                <w:sz w:val="21"/>
                <w:szCs w:val="21"/>
              </w:rPr>
              <w:t>）</w:t>
            </w:r>
            <w:r w:rsidR="009B4BA7">
              <w:rPr>
                <w:rFonts w:cs="Times New Roman" w:hint="eastAsia"/>
                <w:sz w:val="21"/>
                <w:szCs w:val="21"/>
              </w:rPr>
              <w:t xml:space="preserve">鼬科 </w:t>
            </w:r>
            <w:r w:rsidR="009B4BA7">
              <w:rPr>
                <w:rFonts w:ascii="Times New Roman"/>
                <w:sz w:val="21"/>
                <w:szCs w:val="21"/>
              </w:rPr>
              <w:t>Mustelidae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11.</w:t>
            </w:r>
            <w:r>
              <w:rPr>
                <w:rFonts w:cs="Times New Roman" w:hint="eastAsia"/>
                <w:sz w:val="21"/>
                <w:szCs w:val="21"/>
              </w:rPr>
              <w:t>猪獾</w:t>
            </w:r>
          </w:p>
          <w:p w:rsidR="006175A6" w:rsidRDefault="009B4BA7">
            <w:pPr>
              <w:pStyle w:val="TableParagraph"/>
              <w:rPr>
                <w:rFonts w:ascii="Times New Roman"/>
                <w:i/>
                <w:sz w:val="21"/>
                <w:szCs w:val="21"/>
              </w:rPr>
            </w:pPr>
            <w:r>
              <w:rPr>
                <w:rFonts w:ascii="Times New Roman"/>
                <w:i/>
                <w:sz w:val="21"/>
                <w:szCs w:val="21"/>
              </w:rPr>
              <w:t>Arotonyx collaris</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穴居于岩石裂缝、树洞和土洞中，亦侵占其他兽穴。</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12.</w:t>
            </w:r>
            <w:r>
              <w:rPr>
                <w:rFonts w:cs="Times New Roman" w:hint="eastAsia"/>
                <w:sz w:val="21"/>
                <w:szCs w:val="21"/>
              </w:rPr>
              <w:t>黄鼬</w:t>
            </w:r>
          </w:p>
          <w:p w:rsidR="006175A6" w:rsidRDefault="009B4BA7">
            <w:pPr>
              <w:pStyle w:val="TableParagraph"/>
              <w:rPr>
                <w:rFonts w:ascii="Times New Roman"/>
                <w:i/>
                <w:sz w:val="21"/>
                <w:szCs w:val="21"/>
              </w:rPr>
            </w:pPr>
            <w:r>
              <w:rPr>
                <w:rFonts w:ascii="Times New Roman"/>
                <w:i/>
                <w:sz w:val="21"/>
                <w:szCs w:val="21"/>
              </w:rPr>
              <w:t>Mustela sibirica</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广布种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栖息环境极其广泛，常见于森林林缘、灌丛、沼泽、河谷、丘陵和平原等地。</w:t>
            </w:r>
          </w:p>
        </w:tc>
        <w:tc>
          <w:tcPr>
            <w:tcW w:w="1005" w:type="pct"/>
            <w:vAlign w:val="center"/>
          </w:tcPr>
          <w:p w:rsidR="006175A6" w:rsidRDefault="006175A6">
            <w:pPr>
              <w:pStyle w:val="TableParagraph"/>
              <w:rPr>
                <w:rFonts w:cs="Times New Roman"/>
                <w:sz w:val="23"/>
                <w:szCs w:val="23"/>
                <w:lang w:eastAsia="zh-CN"/>
              </w:rPr>
            </w:pPr>
          </w:p>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5000" w:type="pct"/>
            <w:gridSpan w:val="5"/>
            <w:vAlign w:val="center"/>
          </w:tcPr>
          <w:p w:rsidR="006175A6" w:rsidRDefault="009B4BA7">
            <w:pPr>
              <w:pStyle w:val="TableParagraph"/>
              <w:jc w:val="left"/>
              <w:rPr>
                <w:rFonts w:ascii="Times New Roman"/>
                <w:b/>
                <w:sz w:val="21"/>
                <w:szCs w:val="21"/>
              </w:rPr>
            </w:pPr>
            <w:r>
              <w:rPr>
                <w:rFonts w:cs="Times New Roman" w:hint="eastAsia"/>
                <w:b/>
                <w:sz w:val="21"/>
                <w:szCs w:val="21"/>
              </w:rPr>
              <w:lastRenderedPageBreak/>
              <w:t xml:space="preserve">六、偶蹄目 </w:t>
            </w:r>
            <w:r>
              <w:rPr>
                <w:rFonts w:ascii="Times New Roman"/>
                <w:b/>
                <w:sz w:val="21"/>
                <w:szCs w:val="21"/>
              </w:rPr>
              <w:t>ARTIODACTYLA</w:t>
            </w:r>
          </w:p>
        </w:tc>
      </w:tr>
      <w:tr w:rsidR="006175A6">
        <w:trPr>
          <w:trHeight w:val="340"/>
        </w:trPr>
        <w:tc>
          <w:tcPr>
            <w:tcW w:w="1487" w:type="pct"/>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九</w:t>
            </w:r>
            <w:r>
              <w:rPr>
                <w:rFonts w:ascii="Times New Roman"/>
                <w:sz w:val="21"/>
                <w:szCs w:val="21"/>
              </w:rPr>
              <w:t>）</w:t>
            </w:r>
            <w:r w:rsidR="009B4BA7">
              <w:rPr>
                <w:rFonts w:cs="Times New Roman" w:hint="eastAsia"/>
                <w:sz w:val="21"/>
                <w:szCs w:val="21"/>
              </w:rPr>
              <w:t xml:space="preserve">猪科 </w:t>
            </w:r>
            <w:r w:rsidR="009B4BA7">
              <w:rPr>
                <w:rFonts w:ascii="Times New Roman"/>
                <w:sz w:val="21"/>
                <w:szCs w:val="21"/>
              </w:rPr>
              <w:t>Suidae</w:t>
            </w:r>
          </w:p>
        </w:tc>
        <w:tc>
          <w:tcPr>
            <w:tcW w:w="3513" w:type="pct"/>
            <w:gridSpan w:val="4"/>
            <w:vAlign w:val="center"/>
          </w:tcPr>
          <w:p w:rsidR="006175A6" w:rsidRDefault="006175A6">
            <w:pPr>
              <w:pStyle w:val="TableParagraph"/>
              <w:rPr>
                <w:rFonts w:ascii="Times New Roman"/>
                <w:sz w:val="20"/>
                <w:szCs w:val="20"/>
              </w:rPr>
            </w:pP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13.</w:t>
            </w:r>
            <w:r>
              <w:rPr>
                <w:rFonts w:cs="Times New Roman" w:hint="eastAsia"/>
                <w:sz w:val="21"/>
                <w:szCs w:val="21"/>
              </w:rPr>
              <w:t>野猪</w:t>
            </w:r>
          </w:p>
          <w:p w:rsidR="006175A6" w:rsidRDefault="009B4BA7">
            <w:pPr>
              <w:pStyle w:val="TableParagraph"/>
              <w:rPr>
                <w:rFonts w:ascii="Times New Roman"/>
                <w:i/>
                <w:sz w:val="21"/>
                <w:szCs w:val="21"/>
              </w:rPr>
            </w:pPr>
            <w:r>
              <w:rPr>
                <w:rFonts w:ascii="Times New Roman"/>
                <w:i/>
                <w:sz w:val="21"/>
                <w:szCs w:val="21"/>
              </w:rPr>
              <w:t>Sus scfofa</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古北种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未列入</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各种林型、灌丛草地。</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1487" w:type="pct"/>
            <w:vAlign w:val="center"/>
          </w:tcPr>
          <w:p w:rsidR="006175A6" w:rsidRDefault="009B4BA7">
            <w:pPr>
              <w:pStyle w:val="TableParagraph"/>
              <w:rPr>
                <w:rFonts w:cs="Times New Roman"/>
                <w:sz w:val="21"/>
                <w:szCs w:val="21"/>
              </w:rPr>
            </w:pPr>
            <w:r>
              <w:rPr>
                <w:rFonts w:ascii="Times New Roman"/>
                <w:sz w:val="21"/>
                <w:szCs w:val="21"/>
              </w:rPr>
              <w:t>14.</w:t>
            </w:r>
            <w:r>
              <w:rPr>
                <w:rFonts w:cs="Times New Roman" w:hint="eastAsia"/>
                <w:sz w:val="21"/>
                <w:szCs w:val="21"/>
              </w:rPr>
              <w:t>小麂</w:t>
            </w:r>
          </w:p>
          <w:p w:rsidR="006175A6" w:rsidRDefault="009B4BA7">
            <w:pPr>
              <w:pStyle w:val="TableParagraph"/>
              <w:rPr>
                <w:rFonts w:ascii="Times New Roman"/>
                <w:i/>
                <w:sz w:val="21"/>
                <w:szCs w:val="21"/>
              </w:rPr>
            </w:pPr>
            <w:r>
              <w:rPr>
                <w:rFonts w:ascii="Times New Roman"/>
                <w:i/>
                <w:sz w:val="21"/>
                <w:szCs w:val="21"/>
              </w:rPr>
              <w:t>Muntiacus reevesi</w:t>
            </w:r>
          </w:p>
        </w:tc>
        <w:tc>
          <w:tcPr>
            <w:tcW w:w="439" w:type="pct"/>
            <w:vAlign w:val="center"/>
          </w:tcPr>
          <w:p w:rsidR="006175A6" w:rsidRDefault="009B4BA7">
            <w:pPr>
              <w:pStyle w:val="TableParagraph"/>
              <w:rPr>
                <w:rFonts w:cs="Times New Roman"/>
                <w:sz w:val="21"/>
                <w:szCs w:val="21"/>
              </w:rPr>
            </w:pPr>
            <w:r>
              <w:rPr>
                <w:rFonts w:cs="Times New Roman" w:hint="eastAsia"/>
                <w:sz w:val="21"/>
                <w:szCs w:val="21"/>
              </w:rPr>
              <w:t>东洋种</w:t>
            </w:r>
          </w:p>
        </w:tc>
        <w:tc>
          <w:tcPr>
            <w:tcW w:w="455" w:type="pct"/>
            <w:vAlign w:val="center"/>
          </w:tcPr>
          <w:p w:rsidR="006175A6" w:rsidRDefault="009B4BA7">
            <w:pPr>
              <w:pStyle w:val="TableParagraph"/>
              <w:rPr>
                <w:rFonts w:cs="Times New Roman"/>
                <w:sz w:val="21"/>
                <w:szCs w:val="21"/>
              </w:rPr>
            </w:pPr>
            <w:r>
              <w:rPr>
                <w:rFonts w:cs="Times New Roman" w:hint="eastAsia"/>
                <w:sz w:val="21"/>
                <w:szCs w:val="21"/>
              </w:rPr>
              <w:t>省级</w:t>
            </w:r>
          </w:p>
        </w:tc>
        <w:tc>
          <w:tcPr>
            <w:tcW w:w="1613"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栖息于低山丘陵地区的灌丛。</w:t>
            </w:r>
          </w:p>
        </w:tc>
        <w:tc>
          <w:tcPr>
            <w:tcW w:w="1005" w:type="pct"/>
            <w:vAlign w:val="center"/>
          </w:tcPr>
          <w:p w:rsidR="006175A6" w:rsidRDefault="009B4BA7">
            <w:pPr>
              <w:pStyle w:val="TableParagraph"/>
              <w:rPr>
                <w:rFonts w:ascii="Times New Roman"/>
                <w:sz w:val="21"/>
                <w:szCs w:val="21"/>
              </w:rPr>
            </w:pPr>
            <w:r>
              <w:rPr>
                <w:rFonts w:ascii="Times New Roman"/>
                <w:sz w:val="21"/>
                <w:szCs w:val="21"/>
              </w:rPr>
              <w:t>++</w:t>
            </w:r>
          </w:p>
        </w:tc>
      </w:tr>
    </w:tbl>
    <w:p w:rsidR="006175A6" w:rsidRDefault="009B4BA7">
      <w:pPr>
        <w:ind w:firstLine="480"/>
      </w:pPr>
      <w:r>
        <w:rPr>
          <w:rFonts w:hint="eastAsia"/>
        </w:rPr>
        <w:t>评价区内大、中型兽类主要分布在非淹没区的中、高海拔地带</w:t>
      </w:r>
      <w:r w:rsidR="00E97427">
        <w:rPr>
          <w:rFonts w:hint="eastAsia"/>
        </w:rPr>
        <w:t>（</w:t>
      </w:r>
      <w:r>
        <w:rPr>
          <w:rFonts w:hint="eastAsia"/>
        </w:rPr>
        <w:t>海拔</w:t>
      </w:r>
      <w:r>
        <w:rPr>
          <w:rFonts w:hint="eastAsia"/>
        </w:rPr>
        <w:t xml:space="preserve"> 700m </w:t>
      </w:r>
      <w:r>
        <w:rPr>
          <w:rFonts w:hint="eastAsia"/>
        </w:rPr>
        <w:t>以上</w:t>
      </w:r>
      <w:r w:rsidR="00E97427">
        <w:rPr>
          <w:rFonts w:hint="eastAsia"/>
        </w:rPr>
        <w:t>）</w:t>
      </w:r>
      <w:r>
        <w:rPr>
          <w:rFonts w:hint="eastAsia"/>
        </w:rPr>
        <w:t xml:space="preserve"> </w:t>
      </w:r>
      <w:r>
        <w:rPr>
          <w:rFonts w:hint="eastAsia"/>
        </w:rPr>
        <w:t>的山坡草丛、灌丛中，多在夜间和晨昏活动，秋冬季节可下降到低海拔区寻找食物和水源，如小麂、野猪等。</w:t>
      </w:r>
    </w:p>
    <w:p w:rsidR="006175A6" w:rsidRDefault="009B4BA7">
      <w:pPr>
        <w:ind w:firstLine="480"/>
      </w:pPr>
      <w:r>
        <w:rPr>
          <w:rFonts w:hint="eastAsia"/>
        </w:rPr>
        <w:t>猪獾为中型食肉兽，营穴居生活，多挖洞于荒丘或栖居石裂缝中，或侵占其它的兽穴。</w:t>
      </w:r>
    </w:p>
    <w:p w:rsidR="006175A6" w:rsidRDefault="009B4BA7">
      <w:pPr>
        <w:ind w:firstLine="480"/>
      </w:pPr>
      <w:r>
        <w:rPr>
          <w:rFonts w:hint="eastAsia"/>
        </w:rPr>
        <w:t>啮齿类动物是该地区种类和数量最多的兽类，是人类重要的伴生动物；对农、林业危害极大。如黄胸鼠、褐家鼠、社鼠、小家鼠，能盗食大量的稻、麦、玉米、红苕等农作物及贵重药材，是某些自然疫源性疾病的传播源。</w:t>
      </w:r>
    </w:p>
    <w:p w:rsidR="006175A6" w:rsidRDefault="009B4BA7">
      <w:pPr>
        <w:ind w:firstLine="480"/>
      </w:pPr>
      <w:r>
        <w:rPr>
          <w:rFonts w:hint="eastAsia"/>
        </w:rPr>
        <w:t>（</w:t>
      </w:r>
      <w:r>
        <w:rPr>
          <w:rFonts w:hint="eastAsia"/>
        </w:rPr>
        <w:t>5</w:t>
      </w:r>
      <w:r>
        <w:rPr>
          <w:rFonts w:hint="eastAsia"/>
        </w:rPr>
        <w:t>）陆生动物资源现状评价结论</w:t>
      </w:r>
    </w:p>
    <w:p w:rsidR="006175A6" w:rsidRDefault="009B4BA7">
      <w:pPr>
        <w:ind w:firstLine="480"/>
      </w:pPr>
      <w:r>
        <w:rPr>
          <w:rFonts w:hint="eastAsia"/>
        </w:rPr>
        <w:t>评价区为偏僻山区，人口较少，地形比较复杂，植被较丰盛，野生动物的栖息条件较好。陆生动物种类较多，物种多样性丰富。区内共有两栖类动物</w:t>
      </w:r>
      <w:r>
        <w:rPr>
          <w:rFonts w:hint="eastAsia"/>
        </w:rPr>
        <w:t xml:space="preserve"> 1 </w:t>
      </w:r>
      <w:r>
        <w:rPr>
          <w:rFonts w:hint="eastAsia"/>
        </w:rPr>
        <w:t>目</w:t>
      </w:r>
      <w:r>
        <w:rPr>
          <w:rFonts w:hint="eastAsia"/>
        </w:rPr>
        <w:t xml:space="preserve"> 4 </w:t>
      </w:r>
      <w:r>
        <w:rPr>
          <w:rFonts w:hint="eastAsia"/>
        </w:rPr>
        <w:t>科</w:t>
      </w:r>
      <w:r>
        <w:rPr>
          <w:rFonts w:hint="eastAsia"/>
        </w:rPr>
        <w:t xml:space="preserve"> 8</w:t>
      </w:r>
      <w:r>
        <w:rPr>
          <w:rFonts w:hint="eastAsia"/>
        </w:rPr>
        <w:t>种；爬行类共有</w:t>
      </w:r>
      <w:r>
        <w:rPr>
          <w:rFonts w:hint="eastAsia"/>
        </w:rPr>
        <w:t xml:space="preserve"> 1 </w:t>
      </w:r>
      <w:r>
        <w:rPr>
          <w:rFonts w:hint="eastAsia"/>
        </w:rPr>
        <w:t>目</w:t>
      </w:r>
      <w:r>
        <w:rPr>
          <w:rFonts w:hint="eastAsia"/>
        </w:rPr>
        <w:t xml:space="preserve"> 3 </w:t>
      </w:r>
      <w:r>
        <w:rPr>
          <w:rFonts w:hint="eastAsia"/>
        </w:rPr>
        <w:t>科</w:t>
      </w:r>
      <w:r>
        <w:rPr>
          <w:rFonts w:hint="eastAsia"/>
        </w:rPr>
        <w:t xml:space="preserve"> 10 </w:t>
      </w:r>
      <w:r>
        <w:rPr>
          <w:rFonts w:hint="eastAsia"/>
        </w:rPr>
        <w:t>种；鸟类有</w:t>
      </w:r>
      <w:r>
        <w:rPr>
          <w:rFonts w:hint="eastAsia"/>
        </w:rPr>
        <w:t xml:space="preserve"> 18 </w:t>
      </w:r>
      <w:r>
        <w:rPr>
          <w:rFonts w:hint="eastAsia"/>
        </w:rPr>
        <w:t>种，隶属于</w:t>
      </w:r>
      <w:r>
        <w:rPr>
          <w:rFonts w:hint="eastAsia"/>
        </w:rPr>
        <w:t xml:space="preserve"> 6 </w:t>
      </w:r>
      <w:r>
        <w:rPr>
          <w:rFonts w:hint="eastAsia"/>
        </w:rPr>
        <w:t>目</w:t>
      </w:r>
      <w:r>
        <w:rPr>
          <w:rFonts w:hint="eastAsia"/>
        </w:rPr>
        <w:t xml:space="preserve"> 11 </w:t>
      </w:r>
      <w:r>
        <w:rPr>
          <w:rFonts w:hint="eastAsia"/>
        </w:rPr>
        <w:t>科；兽类共有</w:t>
      </w:r>
      <w:r>
        <w:rPr>
          <w:rFonts w:hint="eastAsia"/>
        </w:rPr>
        <w:t xml:space="preserve"> 6 </w:t>
      </w:r>
      <w:r>
        <w:rPr>
          <w:rFonts w:hint="eastAsia"/>
        </w:rPr>
        <w:t>目</w:t>
      </w:r>
      <w:r>
        <w:rPr>
          <w:rFonts w:hint="eastAsia"/>
        </w:rPr>
        <w:t xml:space="preserve"> 9</w:t>
      </w:r>
      <w:r>
        <w:rPr>
          <w:rFonts w:hint="eastAsia"/>
        </w:rPr>
        <w:t>科</w:t>
      </w:r>
      <w:r>
        <w:rPr>
          <w:rFonts w:hint="eastAsia"/>
        </w:rPr>
        <w:t xml:space="preserve"> 14 </w:t>
      </w:r>
      <w:r>
        <w:rPr>
          <w:rFonts w:hint="eastAsia"/>
        </w:rPr>
        <w:t>种。</w:t>
      </w:r>
    </w:p>
    <w:p w:rsidR="006175A6" w:rsidRDefault="009B4BA7">
      <w:pPr>
        <w:ind w:firstLine="480"/>
      </w:pPr>
      <w:r>
        <w:rPr>
          <w:rFonts w:hint="eastAsia"/>
        </w:rPr>
        <w:t>评价区没有国家</w:t>
      </w:r>
      <w:r>
        <w:rPr>
          <w:rFonts w:hint="eastAsia"/>
        </w:rPr>
        <w:t xml:space="preserve"> I </w:t>
      </w:r>
      <w:r>
        <w:rPr>
          <w:rFonts w:hint="eastAsia"/>
        </w:rPr>
        <w:t>级保护动物，国家Ⅱ级保护动物有</w:t>
      </w:r>
      <w:r>
        <w:rPr>
          <w:rFonts w:hint="eastAsia"/>
        </w:rPr>
        <w:t xml:space="preserve"> 1 </w:t>
      </w:r>
      <w:r>
        <w:rPr>
          <w:rFonts w:hint="eastAsia"/>
        </w:rPr>
        <w:t>种：鸢，湖北省级保护动物有</w:t>
      </w:r>
      <w:r>
        <w:rPr>
          <w:rFonts w:hint="eastAsia"/>
        </w:rPr>
        <w:t xml:space="preserve"> 19 </w:t>
      </w:r>
      <w:r>
        <w:rPr>
          <w:rFonts w:hint="eastAsia"/>
        </w:rPr>
        <w:t>种：中华蟾蜍、中国林蛙、泽陆蛙、绿臭蛙、饰纹姬蛙、玉斑锦蛇、王锦蛇、乌梢蛇、灰胸竹鸡、珠颈斑鸠、金腰燕、大嘴乌鸦、喜鹊、灰喜鹊、草兔、红白鼯鼠、赤腹松鼠、猪獾、小麂。</w:t>
      </w:r>
    </w:p>
    <w:p w:rsidR="006175A6" w:rsidRDefault="009B4BA7">
      <w:pPr>
        <w:pStyle w:val="3"/>
      </w:pPr>
      <w:r>
        <w:rPr>
          <w:rFonts w:hint="eastAsia"/>
        </w:rPr>
        <w:t>水生生物资源现状与评价</w:t>
      </w:r>
    </w:p>
    <w:p w:rsidR="006175A6" w:rsidRDefault="009B4BA7">
      <w:pPr>
        <w:ind w:firstLine="480"/>
      </w:pPr>
      <w:r>
        <w:rPr>
          <w:rFonts w:hint="eastAsia"/>
        </w:rPr>
        <w:t>（</w:t>
      </w:r>
      <w:r>
        <w:rPr>
          <w:rFonts w:hint="eastAsia"/>
        </w:rPr>
        <w:t>1</w:t>
      </w:r>
      <w:r>
        <w:rPr>
          <w:rFonts w:hint="eastAsia"/>
        </w:rPr>
        <w:t>）水生生境特点</w:t>
      </w:r>
    </w:p>
    <w:p w:rsidR="006175A6" w:rsidRDefault="009B4BA7">
      <w:pPr>
        <w:ind w:firstLine="480"/>
      </w:pPr>
      <w:r>
        <w:rPr>
          <w:rFonts w:hint="eastAsia"/>
        </w:rPr>
        <w:t>评价区流域河道纵坡陡，水流急、流量小、水温低、水浅，水体清澈</w:t>
      </w:r>
      <w:r w:rsidR="00E97427">
        <w:rPr>
          <w:rFonts w:hint="eastAsia"/>
        </w:rPr>
        <w:t>（</w:t>
      </w:r>
      <w:r>
        <w:rPr>
          <w:rFonts w:hint="eastAsia"/>
        </w:rPr>
        <w:t>透明度高</w:t>
      </w:r>
      <w:r w:rsidR="00E97427">
        <w:rPr>
          <w:rFonts w:hint="eastAsia"/>
        </w:rPr>
        <w:t>）</w:t>
      </w:r>
      <w:r>
        <w:rPr>
          <w:rFonts w:hint="eastAsia"/>
        </w:rPr>
        <w:t>，为典型的山区溪流性水生生境。相应流域内栖息分布的水生生物对这一生境特点具有较好的适应性，主要表现为：水生生物种类数量较少、水生维管束植物贫乏；鱼类种类、资源量少，多具备适应山溪急流生活的生理特征，以底栖及固着类生物为食，体型较小，适应低水温生活，在急流水条件下产粘、沉性卵。</w:t>
      </w:r>
    </w:p>
    <w:p w:rsidR="006175A6" w:rsidRDefault="009B4BA7">
      <w:pPr>
        <w:ind w:firstLine="480"/>
      </w:pPr>
      <w:r>
        <w:rPr>
          <w:rFonts w:hint="eastAsia"/>
        </w:rPr>
        <w:t>（</w:t>
      </w:r>
      <w:r>
        <w:rPr>
          <w:rFonts w:hint="eastAsia"/>
        </w:rPr>
        <w:t>2</w:t>
      </w:r>
      <w:r>
        <w:rPr>
          <w:rFonts w:hint="eastAsia"/>
        </w:rPr>
        <w:t>）</w:t>
      </w:r>
      <w:r>
        <w:t>水生生物概况</w:t>
      </w:r>
    </w:p>
    <w:p w:rsidR="006175A6" w:rsidRDefault="009B4BA7">
      <w:pPr>
        <w:ind w:firstLine="480"/>
      </w:pPr>
      <w:r>
        <w:rPr>
          <w:rFonts w:hint="eastAsia"/>
        </w:rPr>
        <w:lastRenderedPageBreak/>
        <w:t>评价区流域属山区急流水生生境，水生生物分布总体现为适应缓流水和静水生活种类少，适应急流水种类相对较多。</w:t>
      </w:r>
    </w:p>
    <w:p w:rsidR="006175A6" w:rsidRDefault="009B4BA7">
      <w:pPr>
        <w:pStyle w:val="ae"/>
        <w:numPr>
          <w:ilvl w:val="0"/>
          <w:numId w:val="5"/>
        </w:numPr>
        <w:ind w:firstLineChars="0"/>
      </w:pPr>
      <w:r>
        <w:rPr>
          <w:rFonts w:hint="eastAsia"/>
        </w:rPr>
        <w:t>浮游藻类</w:t>
      </w:r>
    </w:p>
    <w:p w:rsidR="006175A6" w:rsidRDefault="009B4BA7">
      <w:pPr>
        <w:ind w:firstLine="480"/>
      </w:pPr>
      <w:r>
        <w:rPr>
          <w:rFonts w:hint="eastAsia"/>
        </w:rPr>
        <w:t>据调查，评价范围内浮游植物以适应流水生境的硅藻门种类占优势，浮游植物优势种为曲壳藻</w:t>
      </w:r>
      <w:r w:rsidR="00E97427">
        <w:rPr>
          <w:rFonts w:hint="eastAsia"/>
        </w:rPr>
        <w:t>（</w:t>
      </w:r>
      <w:r>
        <w:rPr>
          <w:rFonts w:hint="eastAsia"/>
        </w:rPr>
        <w:t>Achnanthes sp.</w:t>
      </w:r>
      <w:r w:rsidR="00E97427">
        <w:rPr>
          <w:rFonts w:hint="eastAsia"/>
        </w:rPr>
        <w:t>）</w:t>
      </w:r>
      <w:r>
        <w:rPr>
          <w:rFonts w:hint="eastAsia"/>
        </w:rPr>
        <w:t>、脆杆藻</w:t>
      </w:r>
      <w:r w:rsidR="00E97427">
        <w:rPr>
          <w:rFonts w:hint="eastAsia"/>
        </w:rPr>
        <w:t>（</w:t>
      </w:r>
      <w:r>
        <w:rPr>
          <w:rFonts w:hint="eastAsia"/>
        </w:rPr>
        <w:t>Fragilaria sp.</w:t>
      </w:r>
      <w:r w:rsidR="00E97427">
        <w:rPr>
          <w:rFonts w:hint="eastAsia"/>
        </w:rPr>
        <w:t>）</w:t>
      </w:r>
      <w:r>
        <w:rPr>
          <w:rFonts w:hint="eastAsia"/>
        </w:rPr>
        <w:t>、直链藻</w:t>
      </w:r>
      <w:r w:rsidR="00E97427">
        <w:rPr>
          <w:rFonts w:hint="eastAsia"/>
        </w:rPr>
        <w:t>（</w:t>
      </w:r>
      <w:r>
        <w:rPr>
          <w:rFonts w:hint="eastAsia"/>
        </w:rPr>
        <w:t>Melosira sp.</w:t>
      </w:r>
      <w:r w:rsidR="00E97427">
        <w:rPr>
          <w:rFonts w:hint="eastAsia"/>
        </w:rPr>
        <w:t>）</w:t>
      </w:r>
      <w:r>
        <w:rPr>
          <w:rFonts w:hint="eastAsia"/>
        </w:rPr>
        <w:t>、小环藻</w:t>
      </w:r>
      <w:r w:rsidR="00E97427">
        <w:rPr>
          <w:rFonts w:hint="eastAsia"/>
        </w:rPr>
        <w:t>（</w:t>
      </w:r>
      <w:r>
        <w:rPr>
          <w:rFonts w:hint="eastAsia"/>
        </w:rPr>
        <w:t>Cyclotella sp.</w:t>
      </w:r>
      <w:r w:rsidR="00E97427">
        <w:rPr>
          <w:rFonts w:hint="eastAsia"/>
        </w:rPr>
        <w:t>）</w:t>
      </w:r>
      <w:r>
        <w:rPr>
          <w:rFonts w:hint="eastAsia"/>
        </w:rPr>
        <w:t>等。</w:t>
      </w:r>
    </w:p>
    <w:p w:rsidR="006175A6" w:rsidRDefault="009B4BA7">
      <w:pPr>
        <w:ind w:firstLine="480"/>
      </w:pPr>
      <w:r>
        <w:rPr>
          <w:rFonts w:hint="eastAsia"/>
        </w:rPr>
        <w:t>此外，评价范围内固着类生物中着生藻类生物量相对较高，主要类群为硅藻门种类。调查表明，评价区内无水生维管束植物分布。</w:t>
      </w:r>
    </w:p>
    <w:p w:rsidR="006175A6" w:rsidRDefault="009B4BA7">
      <w:pPr>
        <w:pStyle w:val="ae"/>
        <w:numPr>
          <w:ilvl w:val="0"/>
          <w:numId w:val="5"/>
        </w:numPr>
        <w:ind w:firstLineChars="0"/>
      </w:pPr>
      <w:r>
        <w:rPr>
          <w:rFonts w:hint="eastAsia"/>
        </w:rPr>
        <w:t>浮游动物</w:t>
      </w:r>
    </w:p>
    <w:p w:rsidR="006175A6" w:rsidRDefault="009B4BA7">
      <w:pPr>
        <w:ind w:firstLine="480"/>
      </w:pPr>
      <w:r>
        <w:rPr>
          <w:rFonts w:hint="eastAsia"/>
        </w:rPr>
        <w:t>据调查，评价区内浮游动物类别和种数都不及浮游植物。浮游动物以原生动物为主，优势种为表壳虫</w:t>
      </w:r>
      <w:r w:rsidR="00E97427">
        <w:rPr>
          <w:rFonts w:hint="eastAsia"/>
        </w:rPr>
        <w:t>（</w:t>
      </w:r>
      <w:r>
        <w:rPr>
          <w:rFonts w:hint="eastAsia"/>
        </w:rPr>
        <w:t>Arcella sp.</w:t>
      </w:r>
      <w:r w:rsidR="00E97427">
        <w:rPr>
          <w:rFonts w:hint="eastAsia"/>
        </w:rPr>
        <w:t>）</w:t>
      </w:r>
      <w:r>
        <w:rPr>
          <w:rFonts w:hint="eastAsia"/>
        </w:rPr>
        <w:t>、吸管虫</w:t>
      </w:r>
      <w:r w:rsidR="00E97427">
        <w:rPr>
          <w:rFonts w:hint="eastAsia"/>
        </w:rPr>
        <w:t>（</w:t>
      </w:r>
      <w:r>
        <w:rPr>
          <w:rFonts w:hint="eastAsia"/>
        </w:rPr>
        <w:t>Suctoria sp.</w:t>
      </w:r>
      <w:r w:rsidR="00E97427">
        <w:rPr>
          <w:rFonts w:hint="eastAsia"/>
        </w:rPr>
        <w:t>）</w:t>
      </w:r>
      <w:r>
        <w:rPr>
          <w:rFonts w:hint="eastAsia"/>
        </w:rPr>
        <w:t>、筒壳虫</w:t>
      </w:r>
      <w:r w:rsidR="00E97427">
        <w:rPr>
          <w:rFonts w:hint="eastAsia"/>
        </w:rPr>
        <w:t>（</w:t>
      </w:r>
      <w:r>
        <w:rPr>
          <w:rFonts w:hint="eastAsia"/>
        </w:rPr>
        <w:t>Tintinnidium sp.</w:t>
      </w:r>
      <w:r w:rsidR="00E97427">
        <w:rPr>
          <w:rFonts w:hint="eastAsia"/>
        </w:rPr>
        <w:t>）</w:t>
      </w:r>
      <w:r>
        <w:rPr>
          <w:rFonts w:hint="eastAsia"/>
        </w:rPr>
        <w:t>、龟甲轮虫</w:t>
      </w:r>
      <w:r w:rsidR="00E97427">
        <w:rPr>
          <w:rFonts w:hint="eastAsia"/>
        </w:rPr>
        <w:t>（</w:t>
      </w:r>
      <w:r>
        <w:rPr>
          <w:rFonts w:hint="eastAsia"/>
        </w:rPr>
        <w:t>Kweatella sp.</w:t>
      </w:r>
      <w:r w:rsidR="00E97427">
        <w:rPr>
          <w:rFonts w:hint="eastAsia"/>
        </w:rPr>
        <w:t>）</w:t>
      </w:r>
      <w:r>
        <w:rPr>
          <w:rFonts w:hint="eastAsia"/>
        </w:rPr>
        <w:t xml:space="preserve"> </w:t>
      </w:r>
      <w:r>
        <w:rPr>
          <w:rFonts w:hint="eastAsia"/>
        </w:rPr>
        <w:t>、胶鞘轮虫</w:t>
      </w:r>
      <w:r w:rsidR="00E97427">
        <w:rPr>
          <w:rFonts w:hint="eastAsia"/>
        </w:rPr>
        <w:t>（</w:t>
      </w:r>
      <w:r>
        <w:rPr>
          <w:rFonts w:hint="eastAsia"/>
        </w:rPr>
        <w:t>Collotheca sp.</w:t>
      </w:r>
      <w:r w:rsidR="00E97427">
        <w:rPr>
          <w:rFonts w:hint="eastAsia"/>
        </w:rPr>
        <w:t>）</w:t>
      </w:r>
      <w:r>
        <w:rPr>
          <w:rFonts w:hint="eastAsia"/>
        </w:rPr>
        <w:t>、晶囊轮虫</w:t>
      </w:r>
      <w:r w:rsidR="00E97427">
        <w:rPr>
          <w:rFonts w:hint="eastAsia"/>
        </w:rPr>
        <w:t>（</w:t>
      </w:r>
      <w:r>
        <w:rPr>
          <w:rFonts w:hint="eastAsia"/>
        </w:rPr>
        <w:t>Asplanchna sp.</w:t>
      </w:r>
      <w:r w:rsidR="00E97427">
        <w:rPr>
          <w:rFonts w:hint="eastAsia"/>
        </w:rPr>
        <w:t>）</w:t>
      </w:r>
      <w:r>
        <w:rPr>
          <w:rFonts w:hint="eastAsia"/>
        </w:rPr>
        <w:t>、剑水蚤</w:t>
      </w:r>
      <w:r w:rsidR="00E97427">
        <w:rPr>
          <w:rFonts w:hint="eastAsia"/>
        </w:rPr>
        <w:t>（</w:t>
      </w:r>
      <w:r>
        <w:rPr>
          <w:rFonts w:hint="eastAsia"/>
        </w:rPr>
        <w:t>Thermocyclops sp.</w:t>
      </w:r>
      <w:r w:rsidR="00E97427">
        <w:rPr>
          <w:rFonts w:hint="eastAsia"/>
        </w:rPr>
        <w:t>）</w:t>
      </w:r>
      <w:r>
        <w:rPr>
          <w:rFonts w:hint="eastAsia"/>
        </w:rPr>
        <w:t>和无节幼体</w:t>
      </w:r>
      <w:r w:rsidR="00E97427">
        <w:rPr>
          <w:rFonts w:hint="eastAsia"/>
        </w:rPr>
        <w:t>（</w:t>
      </w:r>
      <w:r>
        <w:rPr>
          <w:rFonts w:hint="eastAsia"/>
        </w:rPr>
        <w:t>Nauplius sp.</w:t>
      </w:r>
      <w:r w:rsidR="00E97427">
        <w:rPr>
          <w:rFonts w:hint="eastAsia"/>
        </w:rPr>
        <w:t>）</w:t>
      </w:r>
      <w:r>
        <w:rPr>
          <w:rFonts w:hint="eastAsia"/>
        </w:rPr>
        <w:t>等。</w:t>
      </w:r>
    </w:p>
    <w:p w:rsidR="006175A6" w:rsidRDefault="009B4BA7">
      <w:pPr>
        <w:pStyle w:val="ae"/>
        <w:numPr>
          <w:ilvl w:val="0"/>
          <w:numId w:val="5"/>
        </w:numPr>
        <w:ind w:firstLineChars="0"/>
      </w:pPr>
      <w:r>
        <w:rPr>
          <w:rFonts w:hint="eastAsia"/>
        </w:rPr>
        <w:t>底栖动物</w:t>
      </w:r>
    </w:p>
    <w:p w:rsidR="006175A6" w:rsidRDefault="009B4BA7">
      <w:pPr>
        <w:ind w:firstLine="480"/>
      </w:pPr>
      <w:r>
        <w:rPr>
          <w:rFonts w:hint="eastAsia"/>
        </w:rPr>
        <w:t>根据现场调查和参考有关文献，评价区底栖动物主要有蜻蜓目、摇蚊幼虫、端足类、等足类等，常见种类有淡水壳菜</w:t>
      </w:r>
      <w:r w:rsidR="00E97427">
        <w:rPr>
          <w:rFonts w:hint="eastAsia"/>
        </w:rPr>
        <w:t>（</w:t>
      </w:r>
      <w:r>
        <w:rPr>
          <w:rFonts w:hint="eastAsia"/>
        </w:rPr>
        <w:t>Limnoperna lacustris</w:t>
      </w:r>
      <w:r w:rsidR="00E97427">
        <w:rPr>
          <w:rFonts w:hint="eastAsia"/>
        </w:rPr>
        <w:t>）</w:t>
      </w:r>
      <w:r>
        <w:rPr>
          <w:rFonts w:hint="eastAsia"/>
        </w:rPr>
        <w:t xml:space="preserve"> </w:t>
      </w:r>
      <w:r>
        <w:rPr>
          <w:rFonts w:hint="eastAsia"/>
        </w:rPr>
        <w:t>，</w:t>
      </w:r>
      <w:r>
        <w:rPr>
          <w:rFonts w:hint="eastAsia"/>
        </w:rPr>
        <w:t xml:space="preserve"> </w:t>
      </w:r>
      <w:r>
        <w:rPr>
          <w:rFonts w:hint="eastAsia"/>
        </w:rPr>
        <w:t>背角无齿蚌</w:t>
      </w:r>
      <w:r w:rsidR="00E97427">
        <w:rPr>
          <w:rFonts w:hint="eastAsia"/>
        </w:rPr>
        <w:t>（</w:t>
      </w:r>
      <w:r>
        <w:rPr>
          <w:rFonts w:hint="eastAsia"/>
        </w:rPr>
        <w:t>Anodonta woodianwoodiana</w:t>
      </w:r>
      <w:r w:rsidR="00E97427">
        <w:rPr>
          <w:rFonts w:hint="eastAsia"/>
        </w:rPr>
        <w:t>）</w:t>
      </w:r>
      <w:r>
        <w:rPr>
          <w:rFonts w:hint="eastAsia"/>
        </w:rPr>
        <w:t xml:space="preserve"> </w:t>
      </w:r>
      <w:r>
        <w:rPr>
          <w:rFonts w:hint="eastAsia"/>
        </w:rPr>
        <w:t>，三角帆蚌</w:t>
      </w:r>
      <w:r w:rsidR="00E97427">
        <w:rPr>
          <w:rFonts w:hint="eastAsia"/>
        </w:rPr>
        <w:t>（</w:t>
      </w:r>
      <w:r>
        <w:rPr>
          <w:rFonts w:hint="eastAsia"/>
        </w:rPr>
        <w:t>Hyriopsis cumingii</w:t>
      </w:r>
      <w:r w:rsidR="00E97427">
        <w:rPr>
          <w:rFonts w:hint="eastAsia"/>
        </w:rPr>
        <w:t>）</w:t>
      </w:r>
      <w:r>
        <w:rPr>
          <w:rFonts w:hint="eastAsia"/>
        </w:rPr>
        <w:t xml:space="preserve"> </w:t>
      </w:r>
      <w:r>
        <w:rPr>
          <w:rFonts w:hint="eastAsia"/>
        </w:rPr>
        <w:t>，</w:t>
      </w:r>
      <w:r>
        <w:rPr>
          <w:rFonts w:hint="eastAsia"/>
        </w:rPr>
        <w:t xml:space="preserve"> </w:t>
      </w:r>
      <w:r>
        <w:rPr>
          <w:rFonts w:hint="eastAsia"/>
        </w:rPr>
        <w:t>褶纹冠蚌</w:t>
      </w:r>
      <w:r w:rsidR="00E97427">
        <w:rPr>
          <w:rFonts w:hint="eastAsia"/>
        </w:rPr>
        <w:t>（</w:t>
      </w:r>
      <w:r>
        <w:rPr>
          <w:rFonts w:hint="eastAsia"/>
        </w:rPr>
        <w:t>Cristaria plicata</w:t>
      </w:r>
      <w:r w:rsidR="00E97427">
        <w:rPr>
          <w:rFonts w:hint="eastAsia"/>
        </w:rPr>
        <w:t>）</w:t>
      </w:r>
      <w:r>
        <w:rPr>
          <w:rFonts w:hint="eastAsia"/>
        </w:rPr>
        <w:t xml:space="preserve"> </w:t>
      </w:r>
      <w:r>
        <w:rPr>
          <w:rFonts w:hint="eastAsia"/>
        </w:rPr>
        <w:t>，扭蚌</w:t>
      </w:r>
      <w:r>
        <w:rPr>
          <w:rFonts w:hint="eastAsia"/>
        </w:rPr>
        <w:t xml:space="preserve"> </w:t>
      </w:r>
      <w:r w:rsidR="00E97427">
        <w:rPr>
          <w:rFonts w:hint="eastAsia"/>
        </w:rPr>
        <w:t>（</w:t>
      </w:r>
      <w:r>
        <w:rPr>
          <w:rFonts w:hint="eastAsia"/>
        </w:rPr>
        <w:t>Arconala lanceolata</w:t>
      </w:r>
      <w:r w:rsidR="00E97427">
        <w:rPr>
          <w:rFonts w:hint="eastAsia"/>
        </w:rPr>
        <w:t>）</w:t>
      </w:r>
      <w:r>
        <w:rPr>
          <w:rFonts w:hint="eastAsia"/>
        </w:rPr>
        <w:t xml:space="preserve"> </w:t>
      </w:r>
      <w:r>
        <w:rPr>
          <w:rFonts w:hint="eastAsia"/>
        </w:rPr>
        <w:t>，</w:t>
      </w:r>
      <w:r>
        <w:rPr>
          <w:rFonts w:hint="eastAsia"/>
        </w:rPr>
        <w:t xml:space="preserve"> </w:t>
      </w:r>
      <w:r>
        <w:rPr>
          <w:rFonts w:hint="eastAsia"/>
        </w:rPr>
        <w:t>河</w:t>
      </w:r>
      <w:r>
        <w:rPr>
          <w:rFonts w:hint="eastAsia"/>
        </w:rPr>
        <w:t xml:space="preserve"> </w:t>
      </w:r>
      <w:r>
        <w:rPr>
          <w:rFonts w:hint="eastAsia"/>
        </w:rPr>
        <w:t>蚬</w:t>
      </w:r>
      <w:r>
        <w:rPr>
          <w:rFonts w:hint="eastAsia"/>
        </w:rPr>
        <w:t xml:space="preserve"> </w:t>
      </w:r>
      <w:r w:rsidR="00E97427">
        <w:rPr>
          <w:rFonts w:hint="eastAsia"/>
        </w:rPr>
        <w:t>（</w:t>
      </w:r>
      <w:r>
        <w:rPr>
          <w:rFonts w:hint="eastAsia"/>
        </w:rPr>
        <w:t>Cobicula flaminca</w:t>
      </w:r>
      <w:r w:rsidR="00E97427">
        <w:rPr>
          <w:rFonts w:hint="eastAsia"/>
        </w:rPr>
        <w:t>）</w:t>
      </w:r>
      <w:r>
        <w:rPr>
          <w:rFonts w:hint="eastAsia"/>
        </w:rPr>
        <w:t xml:space="preserve"> </w:t>
      </w:r>
      <w:r>
        <w:rPr>
          <w:rFonts w:hint="eastAsia"/>
        </w:rPr>
        <w:t>，</w:t>
      </w:r>
      <w:r>
        <w:rPr>
          <w:rFonts w:hint="eastAsia"/>
        </w:rPr>
        <w:t xml:space="preserve"> </w:t>
      </w:r>
      <w:r>
        <w:rPr>
          <w:rFonts w:hint="eastAsia"/>
        </w:rPr>
        <w:t>中</w:t>
      </w:r>
      <w:r>
        <w:rPr>
          <w:rFonts w:hint="eastAsia"/>
        </w:rPr>
        <w:t xml:space="preserve"> </w:t>
      </w:r>
      <w:r>
        <w:rPr>
          <w:rFonts w:hint="eastAsia"/>
        </w:rPr>
        <w:t>国</w:t>
      </w:r>
      <w:r>
        <w:rPr>
          <w:rFonts w:hint="eastAsia"/>
        </w:rPr>
        <w:t xml:space="preserve"> </w:t>
      </w:r>
      <w:r>
        <w:rPr>
          <w:rFonts w:hint="eastAsia"/>
        </w:rPr>
        <w:t>圆</w:t>
      </w:r>
      <w:r>
        <w:rPr>
          <w:rFonts w:hint="eastAsia"/>
        </w:rPr>
        <w:t xml:space="preserve"> </w:t>
      </w:r>
      <w:r>
        <w:rPr>
          <w:rFonts w:hint="eastAsia"/>
        </w:rPr>
        <w:t>田</w:t>
      </w:r>
      <w:r>
        <w:rPr>
          <w:rFonts w:hint="eastAsia"/>
        </w:rPr>
        <w:t xml:space="preserve"> </w:t>
      </w:r>
      <w:r>
        <w:rPr>
          <w:rFonts w:hint="eastAsia"/>
        </w:rPr>
        <w:t>螺</w:t>
      </w:r>
      <w:r w:rsidR="00E97427">
        <w:rPr>
          <w:rFonts w:hint="eastAsia"/>
        </w:rPr>
        <w:t>（</w:t>
      </w:r>
      <w:r>
        <w:rPr>
          <w:rFonts w:hint="eastAsia"/>
        </w:rPr>
        <w:t>Cipanopaludina chinensis</w:t>
      </w:r>
      <w:r w:rsidR="00E97427">
        <w:rPr>
          <w:rFonts w:hint="eastAsia"/>
        </w:rPr>
        <w:t>）</w:t>
      </w:r>
      <w:r>
        <w:rPr>
          <w:rFonts w:hint="eastAsia"/>
        </w:rPr>
        <w:t>等。种类组成较单一，但部分种类数量多，如摇蚊幼虫等。</w:t>
      </w:r>
    </w:p>
    <w:p w:rsidR="006175A6" w:rsidRDefault="009B4BA7">
      <w:pPr>
        <w:pStyle w:val="ae"/>
        <w:numPr>
          <w:ilvl w:val="0"/>
          <w:numId w:val="5"/>
        </w:numPr>
        <w:ind w:firstLineChars="0"/>
      </w:pPr>
      <w:r>
        <w:rPr>
          <w:rFonts w:hint="eastAsia"/>
        </w:rPr>
        <w:t>鱼类</w:t>
      </w:r>
    </w:p>
    <w:p w:rsidR="006175A6" w:rsidRDefault="009B4BA7">
      <w:pPr>
        <w:ind w:firstLine="480"/>
      </w:pPr>
      <w:r>
        <w:rPr>
          <w:rFonts w:hint="eastAsia"/>
        </w:rPr>
        <w:t>据凋查，评价区内鱼类数量较少，目前发现鱼类有</w:t>
      </w:r>
      <w:r>
        <w:rPr>
          <w:rFonts w:hint="eastAsia"/>
        </w:rPr>
        <w:t xml:space="preserve"> 5 </w:t>
      </w:r>
      <w:r>
        <w:rPr>
          <w:rFonts w:hint="eastAsia"/>
        </w:rPr>
        <w:t>种，见下表。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6</w:t>
      </w:r>
      <w:r w:rsidR="00A524F9">
        <w:fldChar w:fldCharType="end"/>
      </w:r>
      <w:r>
        <w:rPr>
          <w:rFonts w:hint="eastAsia"/>
        </w:rPr>
        <w:t xml:space="preserve">  </w:t>
      </w:r>
      <w:r>
        <w:rPr>
          <w:rFonts w:hint="eastAsia"/>
        </w:rPr>
        <w:t>评价区鱼类名录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7"/>
        <w:gridCol w:w="2729"/>
        <w:gridCol w:w="1043"/>
        <w:gridCol w:w="1059"/>
        <w:gridCol w:w="1068"/>
      </w:tblGrid>
      <w:tr w:rsidR="006175A6">
        <w:trPr>
          <w:trHeight w:val="340"/>
        </w:trPr>
        <w:tc>
          <w:tcPr>
            <w:tcW w:w="1453" w:type="pct"/>
            <w:vAlign w:val="center"/>
          </w:tcPr>
          <w:p w:rsidR="006175A6" w:rsidRDefault="009B4BA7">
            <w:pPr>
              <w:pStyle w:val="TableParagraph"/>
              <w:rPr>
                <w:rFonts w:cs="Times New Roman"/>
                <w:sz w:val="21"/>
                <w:szCs w:val="21"/>
              </w:rPr>
            </w:pPr>
            <w:r>
              <w:rPr>
                <w:rFonts w:cs="Times New Roman" w:hint="eastAsia"/>
                <w:sz w:val="21"/>
                <w:szCs w:val="21"/>
              </w:rPr>
              <w:t>名录</w:t>
            </w:r>
          </w:p>
        </w:tc>
        <w:tc>
          <w:tcPr>
            <w:tcW w:w="1641" w:type="pct"/>
            <w:vAlign w:val="center"/>
          </w:tcPr>
          <w:p w:rsidR="006175A6" w:rsidRDefault="009B4BA7">
            <w:pPr>
              <w:pStyle w:val="TableParagraph"/>
              <w:rPr>
                <w:rFonts w:cs="Times New Roman"/>
                <w:sz w:val="21"/>
                <w:szCs w:val="21"/>
              </w:rPr>
            </w:pPr>
            <w:r>
              <w:rPr>
                <w:rFonts w:cs="Times New Roman" w:hint="eastAsia"/>
                <w:sz w:val="21"/>
                <w:szCs w:val="21"/>
              </w:rPr>
              <w:t>生活环境和习性</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资源类型</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保护级别</w:t>
            </w:r>
          </w:p>
        </w:tc>
        <w:tc>
          <w:tcPr>
            <w:tcW w:w="642" w:type="pct"/>
            <w:vAlign w:val="center"/>
          </w:tcPr>
          <w:p w:rsidR="006175A6" w:rsidRDefault="009B4BA7">
            <w:pPr>
              <w:pStyle w:val="TableParagraph"/>
              <w:rPr>
                <w:rFonts w:cs="Times New Roman"/>
                <w:sz w:val="21"/>
                <w:szCs w:val="21"/>
              </w:rPr>
            </w:pPr>
            <w:r>
              <w:rPr>
                <w:rFonts w:cs="Times New Roman" w:hint="eastAsia"/>
                <w:sz w:val="21"/>
                <w:szCs w:val="21"/>
              </w:rPr>
              <w:t>数量</w:t>
            </w:r>
          </w:p>
        </w:tc>
      </w:tr>
      <w:tr w:rsidR="006175A6">
        <w:trPr>
          <w:trHeight w:val="340"/>
        </w:trPr>
        <w:tc>
          <w:tcPr>
            <w:tcW w:w="5000" w:type="pct"/>
            <w:gridSpan w:val="5"/>
            <w:vAlign w:val="center"/>
          </w:tcPr>
          <w:p w:rsidR="006175A6" w:rsidRDefault="009B4BA7">
            <w:pPr>
              <w:pStyle w:val="TableParagraph"/>
              <w:jc w:val="both"/>
              <w:rPr>
                <w:rFonts w:ascii="Times New Roman"/>
                <w:b/>
                <w:sz w:val="21"/>
                <w:szCs w:val="21"/>
              </w:rPr>
            </w:pPr>
            <w:r>
              <w:rPr>
                <w:rFonts w:cs="Times New Roman" w:hint="eastAsia"/>
                <w:b/>
                <w:sz w:val="21"/>
                <w:szCs w:val="21"/>
              </w:rPr>
              <w:t xml:space="preserve">一、鲤形目 </w:t>
            </w:r>
            <w:r>
              <w:rPr>
                <w:rFonts w:ascii="Times New Roman"/>
                <w:b/>
                <w:sz w:val="21"/>
                <w:szCs w:val="21"/>
              </w:rPr>
              <w:t>CYPRINIMORFIS</w:t>
            </w:r>
          </w:p>
        </w:tc>
      </w:tr>
      <w:tr w:rsidR="006175A6">
        <w:trPr>
          <w:trHeight w:val="340"/>
        </w:trPr>
        <w:tc>
          <w:tcPr>
            <w:tcW w:w="5000" w:type="pct"/>
            <w:gridSpan w:val="5"/>
            <w:vAlign w:val="center"/>
          </w:tcPr>
          <w:p w:rsidR="006175A6" w:rsidRDefault="00E97427">
            <w:pPr>
              <w:pStyle w:val="TableParagraph"/>
              <w:jc w:val="both"/>
              <w:rPr>
                <w:rFonts w:ascii="Times New Roman"/>
                <w:b/>
                <w:sz w:val="21"/>
                <w:szCs w:val="21"/>
              </w:rPr>
            </w:pPr>
            <w:r>
              <w:rPr>
                <w:rFonts w:ascii="Times New Roman"/>
                <w:b/>
                <w:sz w:val="21"/>
                <w:szCs w:val="21"/>
              </w:rPr>
              <w:t>（</w:t>
            </w:r>
            <w:r w:rsidR="009B4BA7">
              <w:rPr>
                <w:rFonts w:cs="Times New Roman" w:hint="eastAsia"/>
                <w:b/>
                <w:sz w:val="21"/>
                <w:szCs w:val="21"/>
              </w:rPr>
              <w:t>一</w:t>
            </w:r>
            <w:r>
              <w:rPr>
                <w:rFonts w:ascii="Times New Roman"/>
                <w:b/>
                <w:sz w:val="21"/>
                <w:szCs w:val="21"/>
              </w:rPr>
              <w:t>）</w:t>
            </w:r>
            <w:r w:rsidR="009B4BA7">
              <w:rPr>
                <w:rFonts w:cs="Times New Roman" w:hint="eastAsia"/>
                <w:b/>
                <w:sz w:val="21"/>
                <w:szCs w:val="21"/>
              </w:rPr>
              <w:t xml:space="preserve">鳅科 </w:t>
            </w:r>
            <w:r w:rsidR="009B4BA7">
              <w:rPr>
                <w:rFonts w:ascii="Times New Roman"/>
                <w:b/>
                <w:sz w:val="21"/>
                <w:szCs w:val="21"/>
              </w:rPr>
              <w:t>COBITIDAE</w:t>
            </w:r>
          </w:p>
        </w:tc>
      </w:tr>
      <w:tr w:rsidR="006175A6">
        <w:trPr>
          <w:trHeight w:val="340"/>
        </w:trPr>
        <w:tc>
          <w:tcPr>
            <w:tcW w:w="1453" w:type="pct"/>
            <w:vAlign w:val="center"/>
          </w:tcPr>
          <w:p w:rsidR="006175A6" w:rsidRDefault="009B4BA7">
            <w:pPr>
              <w:pStyle w:val="TableParagraph"/>
              <w:rPr>
                <w:rFonts w:cs="Times New Roman"/>
                <w:sz w:val="21"/>
                <w:szCs w:val="21"/>
              </w:rPr>
            </w:pPr>
            <w:r>
              <w:rPr>
                <w:rFonts w:ascii="Times New Roman"/>
                <w:sz w:val="21"/>
                <w:szCs w:val="21"/>
              </w:rPr>
              <w:t>1.</w:t>
            </w:r>
            <w:r>
              <w:rPr>
                <w:rFonts w:cs="Times New Roman" w:hint="eastAsia"/>
                <w:sz w:val="21"/>
                <w:szCs w:val="21"/>
              </w:rPr>
              <w:t>犁头鳅</w:t>
            </w:r>
          </w:p>
          <w:p w:rsidR="006175A6" w:rsidRDefault="009B4BA7">
            <w:pPr>
              <w:pStyle w:val="TableParagraph"/>
              <w:rPr>
                <w:rFonts w:ascii="Times New Roman"/>
                <w:i/>
                <w:sz w:val="21"/>
                <w:szCs w:val="21"/>
              </w:rPr>
            </w:pPr>
            <w:r>
              <w:rPr>
                <w:rFonts w:ascii="Times New Roman"/>
                <w:i/>
                <w:sz w:val="21"/>
                <w:szCs w:val="21"/>
              </w:rPr>
              <w:t>Lepturichthys fimbriata</w:t>
            </w:r>
          </w:p>
        </w:tc>
        <w:tc>
          <w:tcPr>
            <w:tcW w:w="1641"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底栖性小型鱼类，长江中上游干流及其支流。</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小型鱼类</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无</w:t>
            </w:r>
          </w:p>
        </w:tc>
        <w:tc>
          <w:tcPr>
            <w:tcW w:w="642" w:type="pct"/>
            <w:vAlign w:val="center"/>
          </w:tcPr>
          <w:p w:rsidR="006175A6" w:rsidRDefault="009B4BA7">
            <w:pPr>
              <w:pStyle w:val="TableParagraph"/>
              <w:rPr>
                <w:rFonts w:ascii="Times New Roman"/>
                <w:b/>
                <w:sz w:val="21"/>
                <w:szCs w:val="21"/>
              </w:rPr>
            </w:pPr>
            <w:r>
              <w:rPr>
                <w:rFonts w:ascii="Times New Roman"/>
                <w:b/>
                <w:sz w:val="21"/>
                <w:szCs w:val="21"/>
              </w:rPr>
              <w:t>+</w:t>
            </w:r>
          </w:p>
        </w:tc>
      </w:tr>
      <w:tr w:rsidR="006175A6">
        <w:trPr>
          <w:trHeight w:val="340"/>
        </w:trPr>
        <w:tc>
          <w:tcPr>
            <w:tcW w:w="1453" w:type="pct"/>
            <w:vAlign w:val="center"/>
          </w:tcPr>
          <w:p w:rsidR="006175A6" w:rsidRDefault="009B4BA7">
            <w:pPr>
              <w:pStyle w:val="TableParagraph"/>
              <w:rPr>
                <w:rFonts w:ascii="Times New Roman"/>
                <w:i/>
                <w:sz w:val="21"/>
                <w:szCs w:val="21"/>
              </w:rPr>
            </w:pPr>
            <w:r>
              <w:rPr>
                <w:rFonts w:ascii="Times New Roman"/>
                <w:sz w:val="21"/>
                <w:szCs w:val="21"/>
              </w:rPr>
              <w:t>2.</w:t>
            </w:r>
            <w:r>
              <w:rPr>
                <w:rFonts w:cs="Times New Roman" w:hint="eastAsia"/>
                <w:sz w:val="21"/>
                <w:szCs w:val="21"/>
              </w:rPr>
              <w:t>泥鳅</w:t>
            </w:r>
            <w:r>
              <w:rPr>
                <w:rFonts w:ascii="Times New Roman"/>
                <w:i/>
                <w:sz w:val="21"/>
                <w:szCs w:val="21"/>
              </w:rPr>
              <w:t>Misgurnus anguillicaudatas</w:t>
            </w:r>
          </w:p>
        </w:tc>
        <w:tc>
          <w:tcPr>
            <w:tcW w:w="1641"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静水水体的的底层，以昆虫幼虫、小型甲壳类动物、扁螺、高等植物及藻类为食，长江流域干支流和各种水体。</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小型鱼类</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无</w:t>
            </w:r>
          </w:p>
        </w:tc>
        <w:tc>
          <w:tcPr>
            <w:tcW w:w="642" w:type="pct"/>
            <w:vAlign w:val="center"/>
          </w:tcPr>
          <w:p w:rsidR="006175A6" w:rsidRDefault="009B4BA7">
            <w:pPr>
              <w:pStyle w:val="TableParagraph"/>
              <w:rPr>
                <w:rFonts w:ascii="Times New Roman"/>
                <w:b/>
                <w:sz w:val="21"/>
                <w:szCs w:val="21"/>
              </w:rPr>
            </w:pPr>
            <w:r>
              <w:rPr>
                <w:rFonts w:ascii="Times New Roman"/>
                <w:b/>
                <w:sz w:val="21"/>
                <w:szCs w:val="21"/>
              </w:rPr>
              <w:t>+</w:t>
            </w:r>
          </w:p>
        </w:tc>
      </w:tr>
      <w:tr w:rsidR="006175A6">
        <w:trPr>
          <w:trHeight w:val="340"/>
        </w:trPr>
        <w:tc>
          <w:tcPr>
            <w:tcW w:w="5000" w:type="pct"/>
            <w:gridSpan w:val="5"/>
            <w:vAlign w:val="center"/>
          </w:tcPr>
          <w:p w:rsidR="006175A6" w:rsidRDefault="00E97427">
            <w:pPr>
              <w:pStyle w:val="TableParagraph"/>
              <w:rPr>
                <w:rFonts w:ascii="Times New Roman"/>
                <w:b/>
                <w:sz w:val="21"/>
                <w:szCs w:val="21"/>
              </w:rPr>
            </w:pPr>
            <w:r>
              <w:rPr>
                <w:rFonts w:ascii="Times New Roman"/>
                <w:b/>
                <w:sz w:val="21"/>
                <w:szCs w:val="21"/>
              </w:rPr>
              <w:lastRenderedPageBreak/>
              <w:t>（</w:t>
            </w:r>
            <w:r w:rsidR="009B4BA7">
              <w:rPr>
                <w:rFonts w:cs="Times New Roman" w:hint="eastAsia"/>
                <w:b/>
                <w:sz w:val="21"/>
                <w:szCs w:val="21"/>
              </w:rPr>
              <w:t>二</w:t>
            </w:r>
            <w:r>
              <w:rPr>
                <w:rFonts w:ascii="Times New Roman"/>
                <w:b/>
                <w:sz w:val="21"/>
                <w:szCs w:val="21"/>
              </w:rPr>
              <w:t>）</w:t>
            </w:r>
            <w:r w:rsidR="009B4BA7">
              <w:rPr>
                <w:rFonts w:cs="Times New Roman" w:hint="eastAsia"/>
                <w:b/>
                <w:sz w:val="21"/>
                <w:szCs w:val="21"/>
              </w:rPr>
              <w:t xml:space="preserve">鲤科 </w:t>
            </w:r>
            <w:r w:rsidR="009B4BA7">
              <w:rPr>
                <w:rFonts w:ascii="Times New Roman"/>
                <w:b/>
                <w:sz w:val="21"/>
                <w:szCs w:val="21"/>
              </w:rPr>
              <w:t>Cyorinidae</w:t>
            </w:r>
          </w:p>
        </w:tc>
      </w:tr>
      <w:tr w:rsidR="006175A6">
        <w:trPr>
          <w:trHeight w:val="340"/>
        </w:trPr>
        <w:tc>
          <w:tcPr>
            <w:tcW w:w="1453" w:type="pct"/>
            <w:vAlign w:val="center"/>
          </w:tcPr>
          <w:p w:rsidR="006175A6" w:rsidRDefault="009B4BA7">
            <w:pPr>
              <w:pStyle w:val="TableParagraph"/>
              <w:rPr>
                <w:rFonts w:cs="Times New Roman"/>
                <w:sz w:val="21"/>
                <w:szCs w:val="21"/>
              </w:rPr>
            </w:pPr>
            <w:r>
              <w:rPr>
                <w:rFonts w:ascii="Times New Roman"/>
                <w:sz w:val="21"/>
                <w:szCs w:val="21"/>
              </w:rPr>
              <w:t>3.</w:t>
            </w:r>
            <w:r>
              <w:rPr>
                <w:rFonts w:cs="Times New Roman" w:hint="eastAsia"/>
                <w:sz w:val="21"/>
                <w:szCs w:val="21"/>
              </w:rPr>
              <w:t>长江鱼岁</w:t>
            </w:r>
          </w:p>
          <w:p w:rsidR="006175A6" w:rsidRDefault="009B4BA7">
            <w:pPr>
              <w:pStyle w:val="TableParagraph"/>
              <w:rPr>
                <w:rFonts w:ascii="Times New Roman"/>
                <w:i/>
                <w:sz w:val="21"/>
                <w:szCs w:val="21"/>
              </w:rPr>
            </w:pPr>
            <w:r>
              <w:rPr>
                <w:rFonts w:ascii="Times New Roman"/>
                <w:i/>
                <w:sz w:val="21"/>
                <w:szCs w:val="21"/>
              </w:rPr>
              <w:t>Phoxinus lagowskii</w:t>
            </w:r>
          </w:p>
        </w:tc>
        <w:tc>
          <w:tcPr>
            <w:tcW w:w="1641"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 xml:space="preserve">喜集群生活在水流湍急而清澈的河流中。主食昆虫幼虫，产卵期 </w:t>
            </w:r>
            <w:r>
              <w:rPr>
                <w:rFonts w:ascii="Times New Roman"/>
                <w:sz w:val="21"/>
                <w:szCs w:val="21"/>
                <w:lang w:eastAsia="zh-CN"/>
              </w:rPr>
              <w:t xml:space="preserve">5~6 </w:t>
            </w:r>
            <w:r>
              <w:rPr>
                <w:rFonts w:cs="Times New Roman" w:hint="eastAsia"/>
                <w:sz w:val="21"/>
                <w:szCs w:val="21"/>
                <w:lang w:eastAsia="zh-CN"/>
              </w:rPr>
              <w:t>月。</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小型鱼类</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无</w:t>
            </w:r>
          </w:p>
        </w:tc>
        <w:tc>
          <w:tcPr>
            <w:tcW w:w="642" w:type="pct"/>
            <w:vAlign w:val="center"/>
          </w:tcPr>
          <w:p w:rsidR="006175A6" w:rsidRDefault="009B4BA7">
            <w:pPr>
              <w:pStyle w:val="TableParagraph"/>
              <w:ind w:right="420"/>
              <w:rPr>
                <w:rFonts w:ascii="Times New Roman"/>
                <w:b/>
                <w:sz w:val="21"/>
                <w:szCs w:val="21"/>
              </w:rPr>
            </w:pPr>
            <w:r>
              <w:rPr>
                <w:rFonts w:ascii="Times New Roman"/>
                <w:b/>
                <w:sz w:val="21"/>
                <w:szCs w:val="21"/>
              </w:rPr>
              <w:t>++</w:t>
            </w:r>
          </w:p>
        </w:tc>
      </w:tr>
      <w:tr w:rsidR="006175A6">
        <w:trPr>
          <w:trHeight w:val="340"/>
        </w:trPr>
        <w:tc>
          <w:tcPr>
            <w:tcW w:w="1453" w:type="pct"/>
            <w:vAlign w:val="center"/>
          </w:tcPr>
          <w:p w:rsidR="006175A6" w:rsidRDefault="009B4BA7">
            <w:pPr>
              <w:pStyle w:val="TableParagraph"/>
              <w:rPr>
                <w:rFonts w:cs="Times New Roman"/>
                <w:sz w:val="21"/>
                <w:szCs w:val="21"/>
              </w:rPr>
            </w:pPr>
            <w:r>
              <w:rPr>
                <w:rFonts w:ascii="Times New Roman"/>
                <w:sz w:val="21"/>
                <w:szCs w:val="21"/>
              </w:rPr>
              <w:t>4.</w:t>
            </w:r>
            <w:r>
              <w:rPr>
                <w:rFonts w:cs="Times New Roman" w:hint="eastAsia"/>
                <w:sz w:val="21"/>
                <w:szCs w:val="21"/>
              </w:rPr>
              <w:t>鲫</w:t>
            </w:r>
          </w:p>
          <w:p w:rsidR="006175A6" w:rsidRDefault="009B4BA7">
            <w:pPr>
              <w:pStyle w:val="TableParagraph"/>
              <w:rPr>
                <w:rFonts w:ascii="Times New Roman"/>
                <w:i/>
                <w:sz w:val="21"/>
                <w:szCs w:val="21"/>
              </w:rPr>
            </w:pPr>
            <w:r>
              <w:rPr>
                <w:rFonts w:ascii="Times New Roman"/>
                <w:i/>
                <w:sz w:val="21"/>
                <w:szCs w:val="21"/>
              </w:rPr>
              <w:t>Carassius auratus</w:t>
            </w:r>
          </w:p>
        </w:tc>
        <w:tc>
          <w:tcPr>
            <w:tcW w:w="1641"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流水或静水的下层，杂食性。</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重要经济</w:t>
            </w:r>
          </w:p>
          <w:p w:rsidR="006175A6" w:rsidRDefault="009B4BA7">
            <w:pPr>
              <w:pStyle w:val="TableParagraph"/>
              <w:rPr>
                <w:rFonts w:cs="Times New Roman"/>
                <w:sz w:val="21"/>
                <w:szCs w:val="21"/>
              </w:rPr>
            </w:pPr>
            <w:r>
              <w:rPr>
                <w:rFonts w:cs="Times New Roman" w:hint="eastAsia"/>
                <w:sz w:val="21"/>
                <w:szCs w:val="21"/>
              </w:rPr>
              <w:t>鱼类</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无</w:t>
            </w:r>
          </w:p>
        </w:tc>
        <w:tc>
          <w:tcPr>
            <w:tcW w:w="642" w:type="pct"/>
            <w:vAlign w:val="center"/>
          </w:tcPr>
          <w:p w:rsidR="006175A6" w:rsidRDefault="009B4BA7">
            <w:pPr>
              <w:pStyle w:val="TableParagraph"/>
              <w:rPr>
                <w:rFonts w:ascii="Times New Roman"/>
                <w:b/>
                <w:sz w:val="21"/>
                <w:szCs w:val="21"/>
              </w:rPr>
            </w:pPr>
            <w:r>
              <w:rPr>
                <w:rFonts w:ascii="Times New Roman"/>
                <w:b/>
                <w:sz w:val="21"/>
                <w:szCs w:val="21"/>
              </w:rPr>
              <w:t>+++</w:t>
            </w:r>
          </w:p>
        </w:tc>
      </w:tr>
      <w:tr w:rsidR="006175A6">
        <w:trPr>
          <w:trHeight w:val="340"/>
        </w:trPr>
        <w:tc>
          <w:tcPr>
            <w:tcW w:w="5000" w:type="pct"/>
            <w:gridSpan w:val="5"/>
            <w:vAlign w:val="center"/>
          </w:tcPr>
          <w:p w:rsidR="006175A6" w:rsidRDefault="009B4BA7">
            <w:pPr>
              <w:pStyle w:val="TableParagraph"/>
              <w:rPr>
                <w:rFonts w:ascii="Times New Roman"/>
                <w:b/>
                <w:sz w:val="21"/>
                <w:szCs w:val="21"/>
              </w:rPr>
            </w:pPr>
            <w:r>
              <w:rPr>
                <w:rFonts w:cs="Times New Roman" w:hint="eastAsia"/>
                <w:b/>
                <w:sz w:val="21"/>
                <w:szCs w:val="21"/>
              </w:rPr>
              <w:t>二、合鳃目</w:t>
            </w:r>
            <w:r>
              <w:rPr>
                <w:rFonts w:ascii="Times New Roman"/>
                <w:b/>
                <w:sz w:val="21"/>
                <w:szCs w:val="21"/>
              </w:rPr>
              <w:t>SYNBRANCHIFORMES</w:t>
            </w:r>
          </w:p>
        </w:tc>
      </w:tr>
      <w:tr w:rsidR="006175A6">
        <w:trPr>
          <w:trHeight w:val="340"/>
        </w:trPr>
        <w:tc>
          <w:tcPr>
            <w:tcW w:w="5000" w:type="pct"/>
            <w:gridSpan w:val="5"/>
            <w:vAlign w:val="center"/>
          </w:tcPr>
          <w:p w:rsidR="006175A6" w:rsidRDefault="00E97427">
            <w:pPr>
              <w:pStyle w:val="TableParagraph"/>
              <w:rPr>
                <w:rFonts w:ascii="Times New Roman"/>
                <w:sz w:val="21"/>
                <w:szCs w:val="21"/>
              </w:rPr>
            </w:pPr>
            <w:r>
              <w:rPr>
                <w:rFonts w:ascii="Times New Roman"/>
                <w:sz w:val="21"/>
                <w:szCs w:val="21"/>
              </w:rPr>
              <w:t>（</w:t>
            </w:r>
            <w:r w:rsidR="009B4BA7">
              <w:rPr>
                <w:rFonts w:cs="Times New Roman" w:hint="eastAsia"/>
                <w:sz w:val="21"/>
                <w:szCs w:val="21"/>
              </w:rPr>
              <w:t>一</w:t>
            </w:r>
            <w:r>
              <w:rPr>
                <w:rFonts w:ascii="Times New Roman"/>
                <w:sz w:val="21"/>
                <w:szCs w:val="21"/>
              </w:rPr>
              <w:t>）</w:t>
            </w:r>
            <w:r w:rsidR="009B4BA7">
              <w:rPr>
                <w:rFonts w:cs="Times New Roman" w:hint="eastAsia"/>
                <w:sz w:val="21"/>
                <w:szCs w:val="21"/>
              </w:rPr>
              <w:t>合鳃科</w:t>
            </w:r>
            <w:r w:rsidR="009B4BA7">
              <w:rPr>
                <w:rFonts w:ascii="Times New Roman"/>
                <w:sz w:val="21"/>
                <w:szCs w:val="21"/>
              </w:rPr>
              <w:t>Synbranchidae</w:t>
            </w:r>
          </w:p>
        </w:tc>
      </w:tr>
      <w:tr w:rsidR="006175A6">
        <w:trPr>
          <w:trHeight w:val="340"/>
        </w:trPr>
        <w:tc>
          <w:tcPr>
            <w:tcW w:w="1453" w:type="pct"/>
            <w:vAlign w:val="center"/>
          </w:tcPr>
          <w:p w:rsidR="006175A6" w:rsidRDefault="009B4BA7">
            <w:pPr>
              <w:pStyle w:val="TableParagraph"/>
              <w:rPr>
                <w:rFonts w:cs="Times New Roman"/>
                <w:sz w:val="21"/>
                <w:szCs w:val="21"/>
              </w:rPr>
            </w:pPr>
            <w:r>
              <w:rPr>
                <w:rFonts w:ascii="Times New Roman"/>
                <w:sz w:val="21"/>
                <w:szCs w:val="21"/>
              </w:rPr>
              <w:t>5.</w:t>
            </w:r>
            <w:r>
              <w:rPr>
                <w:rFonts w:cs="Times New Roman" w:hint="eastAsia"/>
                <w:sz w:val="21"/>
                <w:szCs w:val="21"/>
              </w:rPr>
              <w:t>黄鳝</w:t>
            </w:r>
          </w:p>
          <w:p w:rsidR="006175A6" w:rsidRDefault="009B4BA7">
            <w:pPr>
              <w:pStyle w:val="TableParagraph"/>
              <w:rPr>
                <w:rFonts w:ascii="Times New Roman"/>
                <w:i/>
                <w:sz w:val="21"/>
                <w:szCs w:val="21"/>
              </w:rPr>
            </w:pPr>
            <w:r>
              <w:rPr>
                <w:rFonts w:ascii="Times New Roman"/>
                <w:i/>
                <w:sz w:val="21"/>
                <w:szCs w:val="21"/>
              </w:rPr>
              <w:t>Monopterus albus</w:t>
            </w:r>
          </w:p>
        </w:tc>
        <w:tc>
          <w:tcPr>
            <w:tcW w:w="1641"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营底栖生活的鱼类，适应能力强，在河道、湖泊、沟渠及稻田中都能生存，夜间觅食蝌蚪、小鱼、虾和水生昆虫</w:t>
            </w:r>
          </w:p>
        </w:tc>
        <w:tc>
          <w:tcPr>
            <w:tcW w:w="627" w:type="pct"/>
            <w:vAlign w:val="center"/>
          </w:tcPr>
          <w:p w:rsidR="006175A6" w:rsidRDefault="009B4BA7">
            <w:pPr>
              <w:pStyle w:val="TableParagraph"/>
              <w:rPr>
                <w:rFonts w:cs="Times New Roman"/>
                <w:sz w:val="21"/>
                <w:szCs w:val="21"/>
              </w:rPr>
            </w:pPr>
            <w:r>
              <w:rPr>
                <w:rFonts w:cs="Times New Roman" w:hint="eastAsia"/>
                <w:sz w:val="21"/>
                <w:szCs w:val="21"/>
              </w:rPr>
              <w:t>经济价值较高</w:t>
            </w:r>
          </w:p>
        </w:tc>
        <w:tc>
          <w:tcPr>
            <w:tcW w:w="637" w:type="pct"/>
            <w:vAlign w:val="center"/>
          </w:tcPr>
          <w:p w:rsidR="006175A6" w:rsidRDefault="009B4BA7">
            <w:pPr>
              <w:pStyle w:val="TableParagraph"/>
              <w:rPr>
                <w:rFonts w:cs="Times New Roman"/>
                <w:sz w:val="21"/>
                <w:szCs w:val="21"/>
              </w:rPr>
            </w:pPr>
            <w:r>
              <w:rPr>
                <w:rFonts w:cs="Times New Roman" w:hint="eastAsia"/>
                <w:sz w:val="21"/>
                <w:szCs w:val="21"/>
              </w:rPr>
              <w:t>无</w:t>
            </w:r>
          </w:p>
        </w:tc>
        <w:tc>
          <w:tcPr>
            <w:tcW w:w="642" w:type="pct"/>
            <w:vAlign w:val="center"/>
          </w:tcPr>
          <w:p w:rsidR="006175A6" w:rsidRDefault="009B4BA7">
            <w:pPr>
              <w:pStyle w:val="TableParagraph"/>
              <w:rPr>
                <w:rFonts w:ascii="Times New Roman"/>
                <w:b/>
                <w:sz w:val="21"/>
                <w:szCs w:val="21"/>
              </w:rPr>
            </w:pPr>
            <w:r>
              <w:rPr>
                <w:rFonts w:ascii="Times New Roman"/>
                <w:b/>
                <w:sz w:val="21"/>
                <w:szCs w:val="21"/>
              </w:rPr>
              <w:t>+</w:t>
            </w:r>
          </w:p>
        </w:tc>
      </w:tr>
    </w:tbl>
    <w:p w:rsidR="006175A6" w:rsidRDefault="009B4BA7">
      <w:pPr>
        <w:ind w:firstLine="480"/>
      </w:pPr>
      <w:r>
        <w:rPr>
          <w:rFonts w:hint="eastAsia"/>
        </w:rPr>
        <w:t>评价范围内流域海拔低、水流急，当地居民采用电打渔、毒鱼、炸鱼等法，导致鱼类种类较少。据当地统计和历史考察记录，并结合现场考察，该河段分布主要有</w:t>
      </w:r>
      <w:r>
        <w:rPr>
          <w:rFonts w:hint="eastAsia"/>
        </w:rPr>
        <w:t xml:space="preserve"> 5 </w:t>
      </w:r>
      <w:r>
        <w:rPr>
          <w:rFonts w:hint="eastAsia"/>
        </w:rPr>
        <w:t>种鱼，总的资源量较小。该河段内无国家重点保护物种，也无湖北省保护物种。</w:t>
      </w:r>
    </w:p>
    <w:p w:rsidR="006175A6" w:rsidRDefault="009B4BA7">
      <w:pPr>
        <w:ind w:firstLine="480"/>
      </w:pPr>
      <w:r>
        <w:rPr>
          <w:rFonts w:hint="eastAsia"/>
        </w:rPr>
        <w:t>评价区流域鱼类资源总量小，属典型的河源山区生境，栖息生活于这一水域的鱼类对生境具有较高的适应性，主要表现为：</w:t>
      </w:r>
    </w:p>
    <w:p w:rsidR="006175A6" w:rsidRDefault="009B4BA7">
      <w:pPr>
        <w:ind w:firstLine="480"/>
      </w:pPr>
      <w:r>
        <w:rPr>
          <w:rFonts w:hint="eastAsia"/>
        </w:rPr>
        <w:t>体形：流域内各种鱼类个体均较小</w:t>
      </w:r>
      <w:r w:rsidR="00E97427">
        <w:rPr>
          <w:rFonts w:hint="eastAsia"/>
        </w:rPr>
        <w:t>（</w:t>
      </w:r>
      <w:r>
        <w:rPr>
          <w:rFonts w:hint="eastAsia"/>
        </w:rPr>
        <w:t>如犁头鳅和长江鱼岁</w:t>
      </w:r>
      <w:r w:rsidR="00E97427">
        <w:rPr>
          <w:rFonts w:hint="eastAsia"/>
        </w:rPr>
        <w:t>）</w:t>
      </w:r>
      <w:r>
        <w:rPr>
          <w:rFonts w:hint="eastAsia"/>
        </w:rPr>
        <w:t>，一般其头部短、稍尖，尾短且低，鳞片小且排列紧密，体表富含润滑的粘液，这些特点均可使游泳时阻力显著降低，使其适合在急流水中劈波快速行进。</w:t>
      </w:r>
    </w:p>
    <w:p w:rsidR="006175A6" w:rsidRDefault="009B4BA7">
      <w:pPr>
        <w:ind w:firstLine="480"/>
      </w:pPr>
      <w:r>
        <w:rPr>
          <w:rFonts w:hint="eastAsia"/>
        </w:rPr>
        <w:t>口和唇：河段内鱼类均适应于山区急流生境，可在岩石上刮食着生藻类，同时，吻端可形成小吸盘</w:t>
      </w:r>
      <w:r w:rsidR="00E97427">
        <w:rPr>
          <w:rFonts w:hint="eastAsia"/>
        </w:rPr>
        <w:t>（</w:t>
      </w:r>
      <w:r>
        <w:rPr>
          <w:rFonts w:hint="eastAsia"/>
        </w:rPr>
        <w:t>如泥鳅</w:t>
      </w:r>
      <w:r w:rsidR="00E97427">
        <w:rPr>
          <w:rFonts w:hint="eastAsia"/>
        </w:rPr>
        <w:t>）</w:t>
      </w:r>
      <w:r>
        <w:rPr>
          <w:rFonts w:hint="eastAsia"/>
        </w:rPr>
        <w:t>，利于在急流中吸附于岩石上。</w:t>
      </w:r>
    </w:p>
    <w:p w:rsidR="006175A6" w:rsidRDefault="009B4BA7">
      <w:pPr>
        <w:ind w:firstLine="480"/>
      </w:pPr>
      <w:r>
        <w:rPr>
          <w:rFonts w:hint="eastAsia"/>
        </w:rPr>
        <w:t>食性：流域内浮游生物的种类和数量较贫乏，在该流域生长的鱼类多营底栖或在水的底层生活，如鲫、黄鳝等，以水中着生藻类以及底栖动物幼体、陆生植物碎片等。</w:t>
      </w:r>
    </w:p>
    <w:p w:rsidR="006175A6" w:rsidRDefault="009B4BA7">
      <w:pPr>
        <w:ind w:firstLine="480"/>
      </w:pPr>
      <w:r>
        <w:rPr>
          <w:rFonts w:hint="eastAsia"/>
        </w:rPr>
        <w:t>繁殖：流域内无水生维管束植物分布，因此该水域内也没有草上产卵鱼类。多数种鱼的卵产出后沉于水底，在石隙、缝或河底沙石上进行发育。卵粒产出遇水后，其卵膜有一定的硬化，开始稍具粘性，粘附于岩石上，尔后粘性减弱，最后沉于水底发育，一般情况下，评价区鱼类在山区丰水期前都可达性成熟，且进行生殖。在这个时期内，鱼类大批进行生殖活动，待丰水期高峰</w:t>
      </w:r>
      <w:r w:rsidR="00E97427">
        <w:rPr>
          <w:rFonts w:hint="eastAsia"/>
        </w:rPr>
        <w:t>（</w:t>
      </w:r>
      <w:r>
        <w:rPr>
          <w:rFonts w:hint="eastAsia"/>
        </w:rPr>
        <w:t xml:space="preserve">7 </w:t>
      </w:r>
      <w:r>
        <w:rPr>
          <w:rFonts w:hint="eastAsia"/>
        </w:rPr>
        <w:t>月</w:t>
      </w:r>
      <w:r w:rsidR="00E97427">
        <w:rPr>
          <w:rFonts w:hint="eastAsia"/>
        </w:rPr>
        <w:t>）</w:t>
      </w:r>
      <w:r>
        <w:rPr>
          <w:rFonts w:hint="eastAsia"/>
        </w:rPr>
        <w:t>到达时，鱼卵均已孵化，长成的仔鱼或幼鱼已能够自由游泳，可以躲避丰水期急流冲泄的危险，这种繁殖特点有利的保证了后代的安全。</w:t>
      </w:r>
    </w:p>
    <w:p w:rsidR="007E5FE7" w:rsidRDefault="004C0ABF" w:rsidP="004C0ABF">
      <w:pPr>
        <w:pStyle w:val="3"/>
      </w:pPr>
      <w:r w:rsidRPr="004C0ABF">
        <w:rPr>
          <w:rFonts w:hint="eastAsia"/>
        </w:rPr>
        <w:lastRenderedPageBreak/>
        <w:t>景观生态体系质量现状分析</w:t>
      </w:r>
    </w:p>
    <w:p w:rsidR="004C0ABF" w:rsidRDefault="004C0ABF" w:rsidP="004C0ABF">
      <w:pPr>
        <w:ind w:firstLine="480"/>
      </w:pPr>
      <w:r>
        <w:rPr>
          <w:rFonts w:hint="eastAsia"/>
        </w:rPr>
        <w:t>（</w:t>
      </w:r>
      <w:r>
        <w:rPr>
          <w:rFonts w:hint="eastAsia"/>
        </w:rPr>
        <w:t>1</w:t>
      </w:r>
      <w:r>
        <w:rPr>
          <w:rFonts w:hint="eastAsia"/>
        </w:rPr>
        <w:t>）自然体系生产力现状与评价</w:t>
      </w:r>
    </w:p>
    <w:p w:rsidR="004C0ABF" w:rsidRDefault="004C0ABF" w:rsidP="004C0ABF">
      <w:pPr>
        <w:ind w:firstLine="480"/>
      </w:pPr>
      <w:r>
        <w:rPr>
          <w:rFonts w:hint="eastAsia"/>
        </w:rPr>
        <w:t>植被既是重要的自然资源，又是自然条件</w:t>
      </w:r>
      <w:r w:rsidR="00E97427">
        <w:rPr>
          <w:rFonts w:hint="eastAsia"/>
        </w:rPr>
        <w:t>（</w:t>
      </w:r>
      <w:r>
        <w:rPr>
          <w:rFonts w:hint="eastAsia"/>
        </w:rPr>
        <w:t>如地质、地貌、气候、土壤等</w:t>
      </w:r>
      <w:r w:rsidR="00E97427">
        <w:rPr>
          <w:rFonts w:hint="eastAsia"/>
        </w:rPr>
        <w:t>）</w:t>
      </w:r>
      <w:r>
        <w:rPr>
          <w:rFonts w:hint="eastAsia"/>
        </w:rPr>
        <w:t>和人类开发利用资源状况的综合反映，植被作为陆地生物圈的主体，在生态系统中的作用日益受到重视，尤其是对生态系统变化及稳定起决定性作用。植被净第一性生产力</w:t>
      </w:r>
      <w:r w:rsidR="00E97427">
        <w:rPr>
          <w:rFonts w:hint="eastAsia"/>
        </w:rPr>
        <w:t>（</w:t>
      </w:r>
      <w:r>
        <w:rPr>
          <w:rFonts w:hint="eastAsia"/>
        </w:rPr>
        <w:t>NPP</w:t>
      </w:r>
      <w:r w:rsidR="00E97427">
        <w:rPr>
          <w:rFonts w:hint="eastAsia"/>
        </w:rPr>
        <w:t>）</w:t>
      </w:r>
      <w:r>
        <w:rPr>
          <w:rFonts w:hint="eastAsia"/>
        </w:rPr>
        <w:t>指绿色植物在单位时间和单位面积上所积累的有机干物质总量，它不仅是表征植物活动的中药变量，而且是判定生态系统稳定和调节生态过程的主要因子，它直接反映植物群落在自然环境条件下的生产能力，也是生态现状质量评价的重要参数。在对评价区进行自然体系生产力评价中，数据主要来源于卫片解译，实地勘察、收集的现状资料</w:t>
      </w:r>
      <w:r w:rsidR="00E97427">
        <w:rPr>
          <w:rFonts w:hint="eastAsia"/>
        </w:rPr>
        <w:t>（</w:t>
      </w:r>
      <w:r>
        <w:rPr>
          <w:rFonts w:hint="eastAsia"/>
        </w:rPr>
        <w:t>包括生态环境调查成果，各类环境信息图件及统计资料等</w:t>
      </w:r>
      <w:r w:rsidR="00E97427">
        <w:rPr>
          <w:rFonts w:hint="eastAsia"/>
        </w:rPr>
        <w:t>）</w:t>
      </w:r>
      <w:r>
        <w:rPr>
          <w:rFonts w:hint="eastAsia"/>
        </w:rPr>
        <w:t>，并采用了国内关于自然生态系统生产力和植被生物量的研究成果进行分析。</w:t>
      </w:r>
    </w:p>
    <w:p w:rsidR="000F5489" w:rsidRDefault="004C0ABF" w:rsidP="004C0ABF">
      <w:pPr>
        <w:ind w:firstLine="480"/>
      </w:pPr>
      <w:r w:rsidRPr="004C0ABF">
        <w:rPr>
          <w:rFonts w:hint="eastAsia"/>
        </w:rPr>
        <w:t>生态评价区植被调查是通过实地勘察、卫片解译、室内分析并结合收集的资料经综合分析而完成。卫片信息的提取过程如下：</w:t>
      </w:r>
      <w:r w:rsidR="000F5489" w:rsidRPr="000F5489">
        <w:rPr>
          <w:rFonts w:hint="eastAsia"/>
        </w:rPr>
        <w:t>本次解译选取</w:t>
      </w:r>
      <w:r w:rsidR="000F5489" w:rsidRPr="000F5489">
        <w:rPr>
          <w:rFonts w:hint="eastAsia"/>
        </w:rPr>
        <w:t>2020</w:t>
      </w:r>
      <w:r w:rsidR="000F5489" w:rsidRPr="000F5489">
        <w:rPr>
          <w:rFonts w:hint="eastAsia"/>
        </w:rPr>
        <w:t>年</w:t>
      </w:r>
      <w:r w:rsidR="000F5489" w:rsidRPr="000F5489">
        <w:rPr>
          <w:rFonts w:hint="eastAsia"/>
        </w:rPr>
        <w:t>6</w:t>
      </w:r>
      <w:r w:rsidR="000F5489" w:rsidRPr="000F5489">
        <w:rPr>
          <w:rFonts w:hint="eastAsia"/>
        </w:rPr>
        <w:t>月份的资源三号（</w:t>
      </w:r>
      <w:r w:rsidR="000F5489" w:rsidRPr="000F5489">
        <w:rPr>
          <w:rFonts w:hint="eastAsia"/>
        </w:rPr>
        <w:t>ZY-3</w:t>
      </w:r>
      <w:r w:rsidR="000F5489" w:rsidRPr="000F5489">
        <w:rPr>
          <w:rFonts w:hint="eastAsia"/>
        </w:rPr>
        <w:t>）影像像数据作为基本信息源，全色空间分辨率</w:t>
      </w:r>
      <w:r w:rsidR="000F5489" w:rsidRPr="000F5489">
        <w:rPr>
          <w:rFonts w:hint="eastAsia"/>
        </w:rPr>
        <w:t>2.1</w:t>
      </w:r>
      <w:r w:rsidR="000F5489" w:rsidRPr="000F5489">
        <w:rPr>
          <w:rFonts w:hint="eastAsia"/>
        </w:rPr>
        <w:t>米，经过融合处理后的图像地表信息丰富，有利于生态环境因子遥感解译标志的建立，保证了各生态环境要素解译成果的准确性。采用人机交互解译的方式进行初步解译，对解译结果进行外业核查并进行室内修正，得到最终的解译结果。</w:t>
      </w:r>
    </w:p>
    <w:p w:rsidR="000F5489" w:rsidRDefault="000F5489" w:rsidP="000F5489">
      <w:pPr>
        <w:ind w:firstLine="480"/>
      </w:pPr>
      <w:r>
        <w:rPr>
          <w:rFonts w:hint="eastAsia"/>
        </w:rPr>
        <w:t>根据卫星影像解译数据，工程评价区</w:t>
      </w:r>
      <w:r w:rsidR="00E97427">
        <w:rPr>
          <w:rFonts w:hint="eastAsia"/>
        </w:rPr>
        <w:t>（</w:t>
      </w:r>
      <w:r>
        <w:rPr>
          <w:rFonts w:hint="eastAsia"/>
        </w:rPr>
        <w:t>包括两河口水库、坝区、回水区和引水管线等</w:t>
      </w:r>
      <w:r w:rsidR="00E97427">
        <w:rPr>
          <w:rFonts w:hint="eastAsia"/>
        </w:rPr>
        <w:t>）</w:t>
      </w:r>
      <w:r>
        <w:rPr>
          <w:rFonts w:hint="eastAsia"/>
        </w:rPr>
        <w:t>总面积为</w:t>
      </w:r>
      <w:r w:rsidR="007E4339">
        <w:rPr>
          <w:rFonts w:hint="eastAsia"/>
        </w:rPr>
        <w:t>3262.40</w:t>
      </w:r>
      <w:r>
        <w:rPr>
          <w:rFonts w:hint="eastAsia"/>
        </w:rPr>
        <w:t>hm</w:t>
      </w:r>
      <w:r w:rsidRPr="007E4339">
        <w:rPr>
          <w:rFonts w:hint="eastAsia"/>
          <w:vertAlign w:val="superscript"/>
        </w:rPr>
        <w:t>2</w:t>
      </w:r>
      <w:r>
        <w:rPr>
          <w:rFonts w:hint="eastAsia"/>
        </w:rPr>
        <w:t>。在野外实地调查和卫片解译的基础上，结合生态评价区地表植被覆盖现状和植被立地情况，可将评价区植被类型划分为</w:t>
      </w:r>
      <w:r w:rsidR="007E4339">
        <w:rPr>
          <w:rFonts w:hint="eastAsia"/>
        </w:rPr>
        <w:t>针叶林、阔叶林、灌草</w:t>
      </w:r>
      <w:r>
        <w:rPr>
          <w:rFonts w:hint="eastAsia"/>
        </w:rPr>
        <w:t>地、</w:t>
      </w:r>
      <w:r w:rsidR="007E4339">
        <w:rPr>
          <w:rFonts w:hint="eastAsia"/>
        </w:rPr>
        <w:t>工业用地、农业用地、道路用地等等</w:t>
      </w:r>
      <w:r>
        <w:rPr>
          <w:rFonts w:hint="eastAsia"/>
        </w:rPr>
        <w:t>。</w:t>
      </w:r>
    </w:p>
    <w:p w:rsidR="004C0ABF" w:rsidRDefault="000F5489" w:rsidP="000F5489">
      <w:pPr>
        <w:ind w:firstLine="480"/>
      </w:pPr>
      <w:r>
        <w:rPr>
          <w:rFonts w:hint="eastAsia"/>
        </w:rPr>
        <w:t>评价区各植被类型净生产力情况</w:t>
      </w:r>
      <w:r w:rsidR="007E4339">
        <w:rPr>
          <w:rFonts w:hint="eastAsia"/>
        </w:rPr>
        <w:t>见下表：</w:t>
      </w:r>
    </w:p>
    <w:p w:rsidR="004C0ABF" w:rsidRDefault="00AC2588" w:rsidP="00AC2588">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7</w:t>
      </w:r>
      <w:r w:rsidR="00A524F9">
        <w:fldChar w:fldCharType="end"/>
      </w:r>
      <w:r>
        <w:rPr>
          <w:rFonts w:hint="eastAsia"/>
        </w:rPr>
        <w:t xml:space="preserve">  </w:t>
      </w:r>
      <w:r>
        <w:rPr>
          <w:rFonts w:hint="eastAsia"/>
        </w:rPr>
        <w:t>评价区植被</w:t>
      </w:r>
      <w:r w:rsidRPr="00AC2588">
        <w:rPr>
          <w:rFonts w:hint="eastAsia"/>
        </w:rPr>
        <w:t>自然生产力情况</w:t>
      </w:r>
    </w:p>
    <w:tbl>
      <w:tblPr>
        <w:tblW w:w="5000" w:type="pct"/>
        <w:tblLook w:val="04A0" w:firstRow="1" w:lastRow="0" w:firstColumn="1" w:lastColumn="0" w:noHBand="0" w:noVBand="1"/>
      </w:tblPr>
      <w:tblGrid>
        <w:gridCol w:w="3370"/>
        <w:gridCol w:w="1416"/>
        <w:gridCol w:w="1445"/>
        <w:gridCol w:w="2291"/>
      </w:tblGrid>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植被类型</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面积</w:t>
            </w:r>
            <w:r w:rsidR="00E97427">
              <w:rPr>
                <w:rFonts w:eastAsiaTheme="majorEastAsia"/>
                <w:color w:val="000000"/>
                <w:kern w:val="0"/>
                <w:sz w:val="21"/>
              </w:rPr>
              <w:t>（</w:t>
            </w:r>
            <w:r w:rsidRPr="004C7D01">
              <w:rPr>
                <w:rFonts w:eastAsiaTheme="majorEastAsia"/>
                <w:color w:val="000000"/>
                <w:kern w:val="0"/>
                <w:sz w:val="21"/>
              </w:rPr>
              <w:t>hm</w:t>
            </w:r>
            <w:r w:rsidRPr="004C7D01">
              <w:rPr>
                <w:rFonts w:eastAsiaTheme="majorEastAsia"/>
                <w:color w:val="000000"/>
                <w:kern w:val="0"/>
                <w:sz w:val="21"/>
                <w:vertAlign w:val="superscript"/>
              </w:rPr>
              <w:t>2</w:t>
            </w:r>
            <w:r w:rsidR="00E97427">
              <w:rPr>
                <w:rFonts w:eastAsiaTheme="majorEastAsia"/>
                <w:color w:val="000000"/>
                <w:kern w:val="0"/>
                <w:sz w:val="21"/>
              </w:rPr>
              <w:t>）</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占评价区</w:t>
            </w:r>
            <w:r w:rsidR="00E97427">
              <w:rPr>
                <w:rFonts w:eastAsiaTheme="majorEastAsia"/>
                <w:color w:val="000000"/>
                <w:kern w:val="0"/>
                <w:sz w:val="21"/>
              </w:rPr>
              <w:t>（</w:t>
            </w:r>
            <w:r w:rsidRPr="004C7D01">
              <w:rPr>
                <w:rFonts w:eastAsiaTheme="majorEastAsia"/>
                <w:color w:val="000000"/>
                <w:kern w:val="0"/>
                <w:sz w:val="21"/>
              </w:rPr>
              <w:t>%</w:t>
            </w:r>
            <w:r w:rsidR="00E97427">
              <w:rPr>
                <w:rFonts w:eastAsiaTheme="majorEastAsia"/>
                <w:color w:val="000000"/>
                <w:kern w:val="0"/>
                <w:sz w:val="21"/>
              </w:rPr>
              <w:t>）</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平均净生产力</w:t>
            </w:r>
            <w:r w:rsidRPr="004C7D01">
              <w:rPr>
                <w:rFonts w:eastAsiaTheme="majorEastAsia"/>
                <w:color w:val="000000"/>
                <w:kern w:val="0"/>
                <w:sz w:val="21"/>
              </w:rPr>
              <w:t>[gC/</w:t>
            </w:r>
            <w:r w:rsidR="00E97427">
              <w:rPr>
                <w:rFonts w:eastAsiaTheme="majorEastAsia"/>
                <w:color w:val="000000"/>
                <w:kern w:val="0"/>
                <w:sz w:val="21"/>
              </w:rPr>
              <w:t>（</w:t>
            </w:r>
            <w:r w:rsidRPr="004C7D01">
              <w:rPr>
                <w:rFonts w:eastAsiaTheme="majorEastAsia"/>
                <w:color w:val="000000"/>
                <w:kern w:val="0"/>
                <w:sz w:val="21"/>
              </w:rPr>
              <w:t>m</w:t>
            </w:r>
            <w:r w:rsidRPr="004C7D01">
              <w:rPr>
                <w:rFonts w:eastAsiaTheme="majorEastAsia"/>
                <w:color w:val="000000"/>
                <w:kern w:val="0"/>
                <w:sz w:val="21"/>
                <w:vertAlign w:val="superscript"/>
              </w:rPr>
              <w:t>2</w:t>
            </w:r>
            <w:r w:rsidRPr="004C7D01">
              <w:rPr>
                <w:rFonts w:eastAsiaTheme="majorEastAsia"/>
                <w:color w:val="000000"/>
                <w:kern w:val="0"/>
                <w:sz w:val="21"/>
              </w:rPr>
              <w:t>·a</w:t>
            </w:r>
            <w:r w:rsidR="00E97427">
              <w:rPr>
                <w:rFonts w:eastAsiaTheme="majorEastAsia"/>
                <w:color w:val="000000"/>
                <w:kern w:val="0"/>
                <w:sz w:val="21"/>
              </w:rPr>
              <w:t>）</w:t>
            </w:r>
            <w:r w:rsidRPr="004C7D01">
              <w:rPr>
                <w:rFonts w:eastAsiaTheme="majorEastAsia"/>
                <w:color w:val="000000"/>
                <w:kern w:val="0"/>
                <w:sz w:val="21"/>
              </w:rPr>
              <w:t>]</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4C7D01" w:rsidRDefault="004C7D01" w:rsidP="004C7D01">
            <w:pPr>
              <w:spacing w:line="240" w:lineRule="auto"/>
              <w:ind w:firstLineChars="0" w:firstLine="0"/>
              <w:jc w:val="center"/>
              <w:rPr>
                <w:rFonts w:eastAsiaTheme="majorEastAsia"/>
                <w:color w:val="000000"/>
                <w:sz w:val="21"/>
              </w:rPr>
            </w:pPr>
            <w:r w:rsidRPr="004C7D01">
              <w:rPr>
                <w:rFonts w:eastAsiaTheme="majorEastAsia"/>
                <w:color w:val="000000"/>
                <w:sz w:val="21"/>
              </w:rPr>
              <w:t>马尾松、华山松亚热带针叶林</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1273.88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37.89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975.3</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4C7D01" w:rsidRDefault="004C7D01" w:rsidP="004C7D01">
            <w:pPr>
              <w:spacing w:line="240" w:lineRule="auto"/>
              <w:ind w:firstLineChars="0" w:firstLine="0"/>
              <w:jc w:val="center"/>
              <w:rPr>
                <w:rFonts w:eastAsiaTheme="majorEastAsia"/>
                <w:color w:val="000000"/>
                <w:sz w:val="21"/>
              </w:rPr>
            </w:pPr>
            <w:r w:rsidRPr="004C7D01">
              <w:rPr>
                <w:rFonts w:eastAsiaTheme="majorEastAsia"/>
                <w:color w:val="000000"/>
                <w:sz w:val="21"/>
              </w:rPr>
              <w:t>栓皮栎、苦槠、青冈亚热带阔叶林</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1170.69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34.82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1043</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4C7D01" w:rsidRDefault="004C7D01" w:rsidP="004C7D01">
            <w:pPr>
              <w:spacing w:line="240" w:lineRule="auto"/>
              <w:ind w:firstLineChars="0" w:firstLine="0"/>
              <w:jc w:val="center"/>
              <w:rPr>
                <w:rFonts w:eastAsiaTheme="majorEastAsia"/>
                <w:color w:val="000000"/>
                <w:sz w:val="21"/>
              </w:rPr>
            </w:pPr>
            <w:r w:rsidRPr="004C7D01">
              <w:rPr>
                <w:rFonts w:eastAsiaTheme="majorEastAsia"/>
                <w:color w:val="000000"/>
                <w:sz w:val="21"/>
              </w:rPr>
              <w:t>白栎、短柄树、芒草亚热带灌草丛</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615.28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18.30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742.8</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4C7D01" w:rsidRDefault="004C7D01" w:rsidP="004C7D01">
            <w:pPr>
              <w:spacing w:line="240" w:lineRule="auto"/>
              <w:ind w:firstLineChars="0" w:firstLine="0"/>
              <w:jc w:val="center"/>
              <w:rPr>
                <w:rFonts w:eastAsiaTheme="majorEastAsia"/>
                <w:color w:val="000000"/>
                <w:sz w:val="21"/>
              </w:rPr>
            </w:pPr>
            <w:r w:rsidRPr="004C7D01">
              <w:rPr>
                <w:rFonts w:eastAsiaTheme="majorEastAsia"/>
                <w:color w:val="000000"/>
                <w:sz w:val="21"/>
              </w:rPr>
              <w:t>夏玉米、冬小麦等旱地栽培植被</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210.34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6.26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C7D01" w:rsidRPr="009B6E21" w:rsidRDefault="004C7D0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804</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4C7D01" w:rsidP="004C7D01">
            <w:pPr>
              <w:spacing w:line="240" w:lineRule="auto"/>
              <w:ind w:firstLineChars="0" w:firstLine="0"/>
              <w:jc w:val="center"/>
              <w:rPr>
                <w:rFonts w:eastAsiaTheme="majorEastAsia"/>
                <w:color w:val="000000"/>
                <w:sz w:val="21"/>
              </w:rPr>
            </w:pPr>
            <w:r w:rsidRPr="004C7D01">
              <w:rPr>
                <w:rFonts w:eastAsiaTheme="majorEastAsia"/>
                <w:color w:val="000000"/>
                <w:sz w:val="21"/>
              </w:rPr>
              <w:t>夏稻等水田栽培植被</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43.79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1.30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804</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4C7D01" w:rsidP="004C7D01">
            <w:pPr>
              <w:widowControl/>
              <w:spacing w:line="240" w:lineRule="auto"/>
              <w:ind w:firstLineChars="0" w:firstLine="0"/>
              <w:jc w:val="center"/>
              <w:rPr>
                <w:rFonts w:eastAsiaTheme="majorEastAsia"/>
                <w:color w:val="000000"/>
                <w:kern w:val="0"/>
                <w:sz w:val="21"/>
              </w:rPr>
            </w:pPr>
            <w:r w:rsidRPr="004C7D01">
              <w:rPr>
                <w:rFonts w:eastAsiaTheme="majorEastAsia"/>
                <w:color w:val="000000"/>
                <w:kern w:val="0"/>
                <w:sz w:val="21"/>
              </w:rPr>
              <w:lastRenderedPageBreak/>
              <w:t>空心莲子草等水生植被</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18.82 </w:t>
            </w:r>
          </w:p>
        </w:tc>
        <w:tc>
          <w:tcPr>
            <w:tcW w:w="8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0.56 </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300</w:t>
            </w:r>
          </w:p>
        </w:tc>
      </w:tr>
      <w:tr w:rsidR="004C7D01" w:rsidRPr="009B6E21" w:rsidTr="004C7D01">
        <w:trPr>
          <w:trHeight w:val="340"/>
        </w:trPr>
        <w:tc>
          <w:tcPr>
            <w:tcW w:w="1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合计</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3332.81 </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99.13 </w:t>
            </w:r>
          </w:p>
        </w:tc>
        <w:tc>
          <w:tcPr>
            <w:tcW w:w="134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 xml:space="preserve">939.28 </w:t>
            </w:r>
          </w:p>
        </w:tc>
      </w:tr>
      <w:tr w:rsidR="009B6E21" w:rsidRPr="009B6E21" w:rsidTr="004C7D01">
        <w:trPr>
          <w:trHeight w:val="340"/>
        </w:trPr>
        <w:tc>
          <w:tcPr>
            <w:tcW w:w="365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评价标准</w:t>
            </w:r>
          </w:p>
        </w:tc>
        <w:tc>
          <w:tcPr>
            <w:tcW w:w="1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E21" w:rsidRPr="009B6E21" w:rsidRDefault="009B6E21" w:rsidP="004C7D01">
            <w:pPr>
              <w:widowControl/>
              <w:spacing w:line="240" w:lineRule="auto"/>
              <w:ind w:firstLineChars="0" w:firstLine="0"/>
              <w:jc w:val="center"/>
              <w:rPr>
                <w:rFonts w:eastAsiaTheme="majorEastAsia"/>
                <w:color w:val="000000"/>
                <w:kern w:val="0"/>
                <w:sz w:val="21"/>
              </w:rPr>
            </w:pPr>
            <w:r w:rsidRPr="009B6E21">
              <w:rPr>
                <w:rFonts w:eastAsiaTheme="majorEastAsia"/>
                <w:color w:val="000000"/>
                <w:kern w:val="0"/>
                <w:sz w:val="21"/>
              </w:rPr>
              <w:t>720</w:t>
            </w:r>
          </w:p>
        </w:tc>
      </w:tr>
    </w:tbl>
    <w:p w:rsidR="009B6E21" w:rsidRPr="009B6E21" w:rsidRDefault="009B6E21" w:rsidP="009B6E21">
      <w:pPr>
        <w:spacing w:line="240" w:lineRule="auto"/>
        <w:ind w:firstLine="420"/>
        <w:rPr>
          <w:sz w:val="21"/>
        </w:rPr>
      </w:pPr>
      <w:r w:rsidRPr="009B6E21">
        <w:rPr>
          <w:rFonts w:hint="eastAsia"/>
          <w:sz w:val="21"/>
        </w:rPr>
        <w:t>注：①表中未包括</w:t>
      </w:r>
      <w:r>
        <w:rPr>
          <w:rFonts w:hint="eastAsia"/>
          <w:sz w:val="21"/>
        </w:rPr>
        <w:t>农村宅基地、工业用地以及道路用地</w:t>
      </w:r>
      <w:r>
        <w:rPr>
          <w:rFonts w:hint="eastAsia"/>
          <w:sz w:val="21"/>
        </w:rPr>
        <w:t>29.59</w:t>
      </w:r>
      <w:r w:rsidRPr="009B6E21">
        <w:rPr>
          <w:rFonts w:hint="eastAsia"/>
          <w:sz w:val="21"/>
        </w:rPr>
        <w:t>hm</w:t>
      </w:r>
      <w:r w:rsidRPr="009B6E21">
        <w:rPr>
          <w:rFonts w:hint="eastAsia"/>
          <w:sz w:val="21"/>
          <w:vertAlign w:val="superscript"/>
        </w:rPr>
        <w:t>2</w:t>
      </w:r>
      <w:r w:rsidRPr="009B6E21">
        <w:rPr>
          <w:rFonts w:hint="eastAsia"/>
          <w:sz w:val="21"/>
        </w:rPr>
        <w:t>，约占评价区面积的</w:t>
      </w:r>
      <w:r w:rsidRPr="009B6E21">
        <w:rPr>
          <w:rFonts w:hint="eastAsia"/>
          <w:sz w:val="21"/>
        </w:rPr>
        <w:t xml:space="preserve"> </w:t>
      </w:r>
      <w:r>
        <w:rPr>
          <w:rFonts w:hint="eastAsia"/>
          <w:sz w:val="21"/>
        </w:rPr>
        <w:t>0.87</w:t>
      </w:r>
      <w:r w:rsidRPr="009B6E21">
        <w:rPr>
          <w:rFonts w:hint="eastAsia"/>
          <w:sz w:val="21"/>
        </w:rPr>
        <w:t>%</w:t>
      </w:r>
      <w:r w:rsidRPr="009B6E21">
        <w:rPr>
          <w:rFonts w:hint="eastAsia"/>
          <w:sz w:val="21"/>
        </w:rPr>
        <w:t>。</w:t>
      </w:r>
    </w:p>
    <w:p w:rsidR="009B6E21" w:rsidRPr="009B6E21" w:rsidRDefault="009B6E21" w:rsidP="009B6E21">
      <w:pPr>
        <w:spacing w:line="240" w:lineRule="auto"/>
        <w:ind w:firstLine="420"/>
        <w:rPr>
          <w:sz w:val="21"/>
        </w:rPr>
      </w:pPr>
      <w:r w:rsidRPr="009B6E21">
        <w:rPr>
          <w:rFonts w:hint="eastAsia"/>
          <w:sz w:val="21"/>
        </w:rPr>
        <w:t>②各植被类型平均净生产力数据来源于：冯宗炜，王效科，吴刚。中国森林生态系统的生物量和生产力</w:t>
      </w:r>
      <w:r w:rsidRPr="009B6E21">
        <w:rPr>
          <w:rFonts w:hint="eastAsia"/>
          <w:sz w:val="21"/>
        </w:rPr>
        <w:t>[M].</w:t>
      </w:r>
      <w:r w:rsidRPr="009B6E21">
        <w:rPr>
          <w:rFonts w:hint="eastAsia"/>
          <w:sz w:val="21"/>
        </w:rPr>
        <w:t>北京：科学出版社，</w:t>
      </w:r>
      <w:r w:rsidRPr="009B6E21">
        <w:rPr>
          <w:rFonts w:hint="eastAsia"/>
          <w:sz w:val="21"/>
        </w:rPr>
        <w:t>1999</w:t>
      </w:r>
      <w:r w:rsidRPr="009B6E21">
        <w:rPr>
          <w:rFonts w:hint="eastAsia"/>
          <w:sz w:val="21"/>
        </w:rPr>
        <w:t>；《中国陆地植被净初级生产力遥感估算》等文献</w:t>
      </w:r>
      <w:r w:rsidRPr="009B6E21">
        <w:rPr>
          <w:rFonts w:hint="eastAsia"/>
          <w:sz w:val="21"/>
        </w:rPr>
        <w:t>.</w:t>
      </w:r>
    </w:p>
    <w:p w:rsidR="000F5489" w:rsidRDefault="009B6E21" w:rsidP="009B6E21">
      <w:pPr>
        <w:spacing w:line="240" w:lineRule="auto"/>
        <w:ind w:firstLine="420"/>
      </w:pPr>
      <w:r w:rsidRPr="009B6E21">
        <w:rPr>
          <w:rFonts w:hint="eastAsia"/>
          <w:sz w:val="21"/>
        </w:rPr>
        <w:t>③评价标准采用全球平均净生产力值</w:t>
      </w:r>
      <w:r>
        <w:rPr>
          <w:rFonts w:hint="eastAsia"/>
        </w:rPr>
        <w:t>。</w:t>
      </w:r>
    </w:p>
    <w:p w:rsidR="000F5489" w:rsidRPr="000F5489" w:rsidRDefault="009B6E21" w:rsidP="004C0ABF">
      <w:pPr>
        <w:ind w:firstLine="480"/>
      </w:pPr>
      <w:r w:rsidRPr="009B6E21">
        <w:rPr>
          <w:rFonts w:hint="eastAsia"/>
        </w:rPr>
        <w:t>由上表可知：</w:t>
      </w:r>
      <w:r>
        <w:rPr>
          <w:rFonts w:hint="eastAsia"/>
        </w:rPr>
        <w:t>两河口</w:t>
      </w:r>
      <w:r w:rsidRPr="009B6E21">
        <w:rPr>
          <w:rFonts w:hint="eastAsia"/>
        </w:rPr>
        <w:t>水库工程评价区平均净生产力为</w:t>
      </w:r>
      <w:r>
        <w:rPr>
          <w:rFonts w:hint="eastAsia"/>
        </w:rPr>
        <w:t>939.28</w:t>
      </w:r>
      <w:r w:rsidRPr="009B6E21">
        <w:rPr>
          <w:rFonts w:hint="eastAsia"/>
        </w:rPr>
        <w:t>gC/</w:t>
      </w:r>
      <w:r w:rsidR="00E97427">
        <w:rPr>
          <w:rFonts w:hint="eastAsia"/>
        </w:rPr>
        <w:t>（</w:t>
      </w:r>
      <w:r w:rsidRPr="009B6E21">
        <w:rPr>
          <w:rFonts w:hint="eastAsia"/>
        </w:rPr>
        <w:t>m</w:t>
      </w:r>
      <w:r w:rsidRPr="009B6E21">
        <w:rPr>
          <w:rFonts w:hint="eastAsia"/>
          <w:vertAlign w:val="superscript"/>
        </w:rPr>
        <w:t>2</w:t>
      </w:r>
      <w:r w:rsidRPr="009B6E21">
        <w:rPr>
          <w:rFonts w:hint="eastAsia"/>
        </w:rPr>
        <w:t>·</w:t>
      </w:r>
      <w:r w:rsidRPr="009B6E21">
        <w:rPr>
          <w:rFonts w:hint="eastAsia"/>
        </w:rPr>
        <w:t>a</w:t>
      </w:r>
      <w:r w:rsidR="00E97427">
        <w:rPr>
          <w:rFonts w:hint="eastAsia"/>
        </w:rPr>
        <w:t>）</w:t>
      </w:r>
      <w:r w:rsidRPr="009B6E21">
        <w:rPr>
          <w:rFonts w:hint="eastAsia"/>
        </w:rPr>
        <w:t>，比全球陆地水平高</w:t>
      </w:r>
      <w:r>
        <w:rPr>
          <w:rFonts w:hint="eastAsia"/>
        </w:rPr>
        <w:t>219.28</w:t>
      </w:r>
      <w:r w:rsidRPr="009B6E21">
        <w:rPr>
          <w:rFonts w:hint="eastAsia"/>
        </w:rPr>
        <w:t>gC/</w:t>
      </w:r>
      <w:r w:rsidR="00E97427">
        <w:rPr>
          <w:rFonts w:hint="eastAsia"/>
        </w:rPr>
        <w:t>（</w:t>
      </w:r>
      <w:r w:rsidRPr="009B6E21">
        <w:rPr>
          <w:rFonts w:hint="eastAsia"/>
        </w:rPr>
        <w:t>m</w:t>
      </w:r>
      <w:r w:rsidRPr="009B6E21">
        <w:rPr>
          <w:rFonts w:hint="eastAsia"/>
          <w:vertAlign w:val="superscript"/>
        </w:rPr>
        <w:t>2</w:t>
      </w:r>
      <w:r w:rsidRPr="009B6E21">
        <w:rPr>
          <w:rFonts w:hint="eastAsia"/>
        </w:rPr>
        <w:t>·</w:t>
      </w:r>
      <w:r w:rsidRPr="009B6E21">
        <w:rPr>
          <w:rFonts w:hint="eastAsia"/>
        </w:rPr>
        <w:t>a</w:t>
      </w:r>
      <w:r w:rsidR="00E97427">
        <w:rPr>
          <w:rFonts w:hint="eastAsia"/>
        </w:rPr>
        <w:t>）</w:t>
      </w:r>
      <w:r w:rsidRPr="009B6E21">
        <w:rPr>
          <w:rFonts w:hint="eastAsia"/>
        </w:rPr>
        <w:t>，说明该地区的植被生长较好，林草覆盖率较高，生态系统稳定性较强。评价区除河流水域中的水生植被的生产力水平低外，</w:t>
      </w:r>
      <w:r w:rsidRPr="009B6E21">
        <w:rPr>
          <w:rFonts w:hint="eastAsia"/>
        </w:rPr>
        <w:t xml:space="preserve"> </w:t>
      </w:r>
      <w:r w:rsidRPr="009B6E21">
        <w:rPr>
          <w:rFonts w:hint="eastAsia"/>
        </w:rPr>
        <w:t>其他植被类型的生产力都较高，评价区</w:t>
      </w:r>
      <w:r>
        <w:rPr>
          <w:rFonts w:hint="eastAsia"/>
        </w:rPr>
        <w:t>针叶林地</w:t>
      </w:r>
      <w:r w:rsidRPr="009B6E21">
        <w:rPr>
          <w:rFonts w:hint="eastAsia"/>
        </w:rPr>
        <w:t>面积所占比重最大，达到</w:t>
      </w:r>
      <w:r>
        <w:rPr>
          <w:rFonts w:hint="eastAsia"/>
        </w:rPr>
        <w:t>37.89</w:t>
      </w:r>
      <w:r w:rsidRPr="009B6E21">
        <w:rPr>
          <w:rFonts w:hint="eastAsia"/>
        </w:rPr>
        <w:t>%</w:t>
      </w:r>
      <w:r w:rsidRPr="009B6E21">
        <w:rPr>
          <w:rFonts w:hint="eastAsia"/>
        </w:rPr>
        <w:t>，对评价区的平均生产力值的大小起决定性的因素。</w:t>
      </w:r>
    </w:p>
    <w:p w:rsidR="004C7D01" w:rsidRDefault="00E97427" w:rsidP="004C7D01">
      <w:pPr>
        <w:ind w:firstLine="480"/>
      </w:pPr>
      <w:r>
        <w:rPr>
          <w:rFonts w:hint="eastAsia"/>
        </w:rPr>
        <w:t>（</w:t>
      </w:r>
      <w:r w:rsidR="004C7D01">
        <w:rPr>
          <w:rFonts w:hint="eastAsia"/>
        </w:rPr>
        <w:t>2</w:t>
      </w:r>
      <w:r>
        <w:rPr>
          <w:rFonts w:hint="eastAsia"/>
        </w:rPr>
        <w:t>）</w:t>
      </w:r>
      <w:r w:rsidR="004C7D01">
        <w:rPr>
          <w:rFonts w:hint="eastAsia"/>
        </w:rPr>
        <w:t>景观的稳定状况</w:t>
      </w:r>
    </w:p>
    <w:p w:rsidR="004C0ABF" w:rsidRDefault="004C7D01" w:rsidP="004C7D01">
      <w:pPr>
        <w:ind w:firstLine="480"/>
      </w:pPr>
      <w:r>
        <w:rPr>
          <w:rFonts w:hint="eastAsia"/>
        </w:rPr>
        <w:t>将两河口水库工程评价区内土地利用的拼块类型分为如下九大类：针叶林、阔叶林、灌草丛、水田、旱地、建设、工业用地、道路、水域、农村宅基地。工程评价区土地利用现状图见附图，评价区植被分布图见附图。</w:t>
      </w:r>
    </w:p>
    <w:p w:rsidR="00E93DBC" w:rsidRDefault="004C7D01" w:rsidP="004C7D01">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8</w:t>
      </w:r>
      <w:r w:rsidR="00A524F9">
        <w:fldChar w:fldCharType="end"/>
      </w:r>
      <w:r>
        <w:rPr>
          <w:rFonts w:hint="eastAsia"/>
        </w:rPr>
        <w:t xml:space="preserve">  </w:t>
      </w:r>
      <w:r>
        <w:rPr>
          <w:rFonts w:hint="eastAsia"/>
        </w:rPr>
        <w:t>两河口</w:t>
      </w:r>
      <w:r w:rsidRPr="004C7D01">
        <w:rPr>
          <w:rFonts w:hint="eastAsia"/>
        </w:rPr>
        <w:t>水库工程评价区总体生态系统景观比例</w:t>
      </w:r>
    </w:p>
    <w:tbl>
      <w:tblPr>
        <w:tblW w:w="5000" w:type="pct"/>
        <w:tblLook w:val="04A0" w:firstRow="1" w:lastRow="0" w:firstColumn="1" w:lastColumn="0" w:noHBand="0" w:noVBand="1"/>
      </w:tblPr>
      <w:tblGrid>
        <w:gridCol w:w="600"/>
        <w:gridCol w:w="3094"/>
        <w:gridCol w:w="1367"/>
        <w:gridCol w:w="1143"/>
        <w:gridCol w:w="1175"/>
        <w:gridCol w:w="1143"/>
      </w:tblGrid>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序号</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植被类型</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面积</w:t>
            </w:r>
            <w:r w:rsidR="00E97427">
              <w:rPr>
                <w:rFonts w:eastAsiaTheme="minorEastAsia"/>
                <w:bCs/>
                <w:kern w:val="0"/>
                <w:sz w:val="21"/>
              </w:rPr>
              <w:t>（</w:t>
            </w:r>
            <w:r w:rsidRPr="004C7D01">
              <w:rPr>
                <w:rFonts w:eastAsiaTheme="minorEastAsia"/>
                <w:bCs/>
                <w:kern w:val="0"/>
                <w:sz w:val="21"/>
              </w:rPr>
              <w:t>公顷</w:t>
            </w:r>
            <w:r w:rsidR="00E97427">
              <w:rPr>
                <w:rFonts w:eastAsiaTheme="minorEastAsia"/>
                <w:bCs/>
                <w:kern w:val="0"/>
                <w:sz w:val="21"/>
              </w:rPr>
              <w:t>）</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比例</w:t>
            </w:r>
            <w:r w:rsidR="00E97427">
              <w:rPr>
                <w:rFonts w:eastAsiaTheme="minorEastAsia"/>
                <w:bCs/>
                <w:kern w:val="0"/>
                <w:sz w:val="21"/>
              </w:rPr>
              <w:t>（</w:t>
            </w:r>
            <w:r w:rsidRPr="004C7D01">
              <w:rPr>
                <w:rFonts w:eastAsiaTheme="minorEastAsia"/>
                <w:bCs/>
                <w:kern w:val="0"/>
                <w:sz w:val="21"/>
              </w:rPr>
              <w:t>%</w:t>
            </w:r>
            <w:r w:rsidR="00E97427">
              <w:rPr>
                <w:rFonts w:eastAsiaTheme="minorEastAsia"/>
                <w:bCs/>
                <w:kern w:val="0"/>
                <w:sz w:val="21"/>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斑块</w:t>
            </w:r>
            <w:r w:rsidR="00E97427">
              <w:rPr>
                <w:rFonts w:eastAsiaTheme="minorEastAsia"/>
                <w:bCs/>
                <w:kern w:val="0"/>
                <w:sz w:val="21"/>
              </w:rPr>
              <w:t>（</w:t>
            </w:r>
            <w:r w:rsidRPr="004C7D01">
              <w:rPr>
                <w:rFonts w:eastAsiaTheme="minorEastAsia"/>
                <w:bCs/>
                <w:kern w:val="0"/>
                <w:sz w:val="21"/>
              </w:rPr>
              <w:t>个</w:t>
            </w:r>
            <w:r w:rsidR="00E97427">
              <w:rPr>
                <w:rFonts w:eastAsiaTheme="minorEastAsia"/>
                <w:bCs/>
                <w:kern w:val="0"/>
                <w:sz w:val="21"/>
              </w:rPr>
              <w:t>）</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bCs/>
                <w:kern w:val="0"/>
                <w:sz w:val="21"/>
              </w:rPr>
            </w:pPr>
            <w:r w:rsidRPr="004C7D01">
              <w:rPr>
                <w:rFonts w:eastAsiaTheme="minorEastAsia"/>
                <w:bCs/>
                <w:kern w:val="0"/>
                <w:sz w:val="21"/>
              </w:rPr>
              <w:t>比例</w:t>
            </w:r>
            <w:r w:rsidR="00E97427">
              <w:rPr>
                <w:rFonts w:eastAsiaTheme="minorEastAsia"/>
                <w:bCs/>
                <w:kern w:val="0"/>
                <w:sz w:val="21"/>
              </w:rPr>
              <w:t>（</w:t>
            </w:r>
            <w:r w:rsidRPr="004C7D01">
              <w:rPr>
                <w:rFonts w:eastAsiaTheme="minorEastAsia"/>
                <w:bCs/>
                <w:kern w:val="0"/>
                <w:sz w:val="21"/>
              </w:rPr>
              <w:t>%</w:t>
            </w:r>
            <w:r w:rsidR="00E97427">
              <w:rPr>
                <w:rFonts w:eastAsiaTheme="minorEastAsia"/>
                <w:bCs/>
                <w:kern w:val="0"/>
                <w:sz w:val="21"/>
              </w:rPr>
              <w:t>）</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马尾松、华山松亚热带针叶林</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1273.88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37.89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182</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10.64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2</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栓皮栎、苦槠、青冈亚热带阔叶林</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1170.69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34.82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427</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24.96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3</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白栎、短柄树、芒草亚热带灌草丛</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615.28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18.30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225</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13.15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4</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夏玉米、冬小麦等旱地栽培植被</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210.34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6.26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358</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20.92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5</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夏稻等水田栽培植被</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43.79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1.30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32</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1.87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6</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农村宅基地</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14.70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0.44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203</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11.86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7</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工业用地</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3.54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0.11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11</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0.64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8</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空心莲子草等水生植被</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18.82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0.56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73</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4.27 </w:t>
            </w:r>
          </w:p>
        </w:tc>
      </w:tr>
      <w:tr w:rsidR="004C7D01" w:rsidRPr="004C7D01" w:rsidTr="004C7D01">
        <w:trPr>
          <w:trHeight w:val="340"/>
        </w:trPr>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9</w:t>
            </w:r>
          </w:p>
        </w:tc>
        <w:tc>
          <w:tcPr>
            <w:tcW w:w="19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道路用地</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11.35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0.34 </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200</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11.69 </w:t>
            </w:r>
          </w:p>
        </w:tc>
      </w:tr>
      <w:tr w:rsidR="004C7D01" w:rsidRPr="004C7D01" w:rsidTr="004C7D01">
        <w:trPr>
          <w:trHeight w:val="340"/>
        </w:trPr>
        <w:tc>
          <w:tcPr>
            <w:tcW w:w="24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总计</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 xml:space="preserve">3362.40 </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100</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1711</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C7D01" w:rsidRPr="004C7D01" w:rsidRDefault="004C7D01" w:rsidP="004C7D01">
            <w:pPr>
              <w:widowControl/>
              <w:spacing w:line="240" w:lineRule="auto"/>
              <w:ind w:firstLineChars="0" w:firstLine="0"/>
              <w:jc w:val="center"/>
              <w:rPr>
                <w:rFonts w:eastAsiaTheme="minorEastAsia"/>
                <w:kern w:val="0"/>
                <w:sz w:val="21"/>
              </w:rPr>
            </w:pPr>
            <w:r w:rsidRPr="004C7D01">
              <w:rPr>
                <w:rFonts w:eastAsiaTheme="minorEastAsia"/>
                <w:kern w:val="0"/>
                <w:sz w:val="21"/>
              </w:rPr>
              <w:t>100</w:t>
            </w:r>
          </w:p>
        </w:tc>
      </w:tr>
    </w:tbl>
    <w:p w:rsidR="004C7D01" w:rsidRPr="004C7D01" w:rsidRDefault="004C7D01" w:rsidP="004C7D01">
      <w:pPr>
        <w:ind w:firstLine="480"/>
      </w:pPr>
      <w:r>
        <w:rPr>
          <w:rFonts w:hint="eastAsia"/>
        </w:rPr>
        <w:t>工程评价区的总面积为</w:t>
      </w:r>
      <w:r>
        <w:rPr>
          <w:rFonts w:hint="eastAsia"/>
        </w:rPr>
        <w:t>3360.4hm</w:t>
      </w:r>
      <w:r w:rsidRPr="004C7D01">
        <w:rPr>
          <w:rFonts w:hint="eastAsia"/>
          <w:vertAlign w:val="superscript"/>
        </w:rPr>
        <w:t>2</w:t>
      </w:r>
      <w:r>
        <w:rPr>
          <w:rFonts w:hint="eastAsia"/>
        </w:rPr>
        <w:t>，其中</w:t>
      </w:r>
      <w:r w:rsidRPr="004C7D01">
        <w:rPr>
          <w:rFonts w:hint="eastAsia"/>
        </w:rPr>
        <w:t>针叶林</w:t>
      </w:r>
      <w:r>
        <w:rPr>
          <w:rFonts w:hint="eastAsia"/>
        </w:rPr>
        <w:t>占整个评价区总面积的</w:t>
      </w:r>
      <w:r>
        <w:rPr>
          <w:rFonts w:hint="eastAsia"/>
        </w:rPr>
        <w:t xml:space="preserve"> 37.89%</w:t>
      </w:r>
      <w:r>
        <w:rPr>
          <w:rFonts w:hint="eastAsia"/>
        </w:rPr>
        <w:t>，比例最大，是区内主要景观类型，其次为阔叶林，占整个评价区总面积的</w:t>
      </w:r>
      <w:r>
        <w:rPr>
          <w:rFonts w:hint="eastAsia"/>
        </w:rPr>
        <w:t>34.82%</w:t>
      </w:r>
      <w:r>
        <w:rPr>
          <w:rFonts w:hint="eastAsia"/>
        </w:rPr>
        <w:t>。根据本工程生态评价区植被类型分布数据和现状分布图可知：评价</w:t>
      </w:r>
      <w:r>
        <w:rPr>
          <w:rFonts w:hint="eastAsia"/>
        </w:rPr>
        <w:lastRenderedPageBreak/>
        <w:t>区内组成景观的各类拼块达</w:t>
      </w:r>
      <w:r w:rsidR="002612E7">
        <w:rPr>
          <w:rFonts w:hint="eastAsia"/>
        </w:rPr>
        <w:t>1711</w:t>
      </w:r>
      <w:r>
        <w:rPr>
          <w:rFonts w:hint="eastAsia"/>
        </w:rPr>
        <w:t>块。其中，具自然生产力的拼块类型的针叶林、阔叶林等林地拼块占</w:t>
      </w:r>
      <w:r w:rsidR="002612E7">
        <w:rPr>
          <w:rFonts w:hint="eastAsia"/>
        </w:rPr>
        <w:t>35.6</w:t>
      </w:r>
      <w:r>
        <w:rPr>
          <w:rFonts w:hint="eastAsia"/>
        </w:rPr>
        <w:t>%</w:t>
      </w:r>
      <w:r>
        <w:rPr>
          <w:rFonts w:hint="eastAsia"/>
        </w:rPr>
        <w:t>，灌丛和灌草丛拼块占</w:t>
      </w:r>
      <w:r w:rsidR="002612E7">
        <w:rPr>
          <w:rFonts w:hint="eastAsia"/>
        </w:rPr>
        <w:t>13.15</w:t>
      </w:r>
      <w:r>
        <w:rPr>
          <w:rFonts w:hint="eastAsia"/>
        </w:rPr>
        <w:t>%</w:t>
      </w:r>
      <w:r w:rsidR="002612E7">
        <w:rPr>
          <w:rFonts w:hint="eastAsia"/>
        </w:rPr>
        <w:t>，工业</w:t>
      </w:r>
      <w:r>
        <w:rPr>
          <w:rFonts w:hint="eastAsia"/>
        </w:rPr>
        <w:t>用地拼块占</w:t>
      </w:r>
      <w:r w:rsidR="002612E7">
        <w:rPr>
          <w:rFonts w:hint="eastAsia"/>
        </w:rPr>
        <w:t>0.64</w:t>
      </w:r>
      <w:r>
        <w:rPr>
          <w:rFonts w:hint="eastAsia"/>
        </w:rPr>
        <w:t>%</w:t>
      </w:r>
      <w:r>
        <w:rPr>
          <w:rFonts w:hint="eastAsia"/>
        </w:rPr>
        <w:t>，水田拼块占</w:t>
      </w:r>
      <w:r w:rsidR="002612E7">
        <w:rPr>
          <w:rFonts w:hint="eastAsia"/>
        </w:rPr>
        <w:t>1.87</w:t>
      </w:r>
      <w:r>
        <w:rPr>
          <w:rFonts w:hint="eastAsia"/>
        </w:rPr>
        <w:t>%</w:t>
      </w:r>
      <w:r>
        <w:rPr>
          <w:rFonts w:hint="eastAsia"/>
        </w:rPr>
        <w:t>，旱地拼块占</w:t>
      </w:r>
      <w:r w:rsidR="002612E7">
        <w:rPr>
          <w:rFonts w:hint="eastAsia"/>
        </w:rPr>
        <w:t>20.92</w:t>
      </w:r>
      <w:r>
        <w:rPr>
          <w:rFonts w:hint="eastAsia"/>
        </w:rPr>
        <w:t>%</w:t>
      </w:r>
      <w:r>
        <w:rPr>
          <w:rFonts w:hint="eastAsia"/>
        </w:rPr>
        <w:t>，道路拼块占</w:t>
      </w:r>
      <w:r w:rsidR="002612E7">
        <w:rPr>
          <w:rFonts w:hint="eastAsia"/>
        </w:rPr>
        <w:t>11.69</w:t>
      </w:r>
      <w:r>
        <w:rPr>
          <w:rFonts w:hint="eastAsia"/>
        </w:rPr>
        <w:t>%</w:t>
      </w:r>
      <w:r>
        <w:rPr>
          <w:rFonts w:hint="eastAsia"/>
        </w:rPr>
        <w:t>，水域拼块占</w:t>
      </w:r>
      <w:r w:rsidR="002612E7">
        <w:rPr>
          <w:rFonts w:hint="eastAsia"/>
        </w:rPr>
        <w:t>4.27</w:t>
      </w:r>
      <w:r>
        <w:rPr>
          <w:rFonts w:hint="eastAsia"/>
        </w:rPr>
        <w:t>%</w:t>
      </w:r>
      <w:r w:rsidR="002612E7">
        <w:rPr>
          <w:rFonts w:hint="eastAsia"/>
        </w:rPr>
        <w:t>，农村宅基地</w:t>
      </w:r>
      <w:r>
        <w:rPr>
          <w:rFonts w:hint="eastAsia"/>
        </w:rPr>
        <w:t>占</w:t>
      </w:r>
      <w:r w:rsidR="002612E7">
        <w:rPr>
          <w:rFonts w:hint="eastAsia"/>
        </w:rPr>
        <w:t>11.86</w:t>
      </w:r>
      <w:r>
        <w:rPr>
          <w:rFonts w:hint="eastAsia"/>
        </w:rPr>
        <w:t>%</w:t>
      </w:r>
      <w:r>
        <w:rPr>
          <w:rFonts w:hint="eastAsia"/>
        </w:rPr>
        <w:t>。表明本区各植被类型分布较为复杂，生境多样性较高。因此从整体看评价区内的生态环境质量较好，有较强的生产能力、抗干扰能力和系统调控能力，总体景观质量较高。</w:t>
      </w:r>
    </w:p>
    <w:p w:rsidR="006175A6" w:rsidRDefault="009B4BA7">
      <w:pPr>
        <w:pStyle w:val="3"/>
      </w:pPr>
      <w:r>
        <w:rPr>
          <w:rFonts w:hint="eastAsia"/>
        </w:rPr>
        <w:t>生态环境现状评价结论</w:t>
      </w:r>
    </w:p>
    <w:p w:rsidR="006175A6" w:rsidRDefault="009B4BA7">
      <w:pPr>
        <w:ind w:firstLine="480"/>
      </w:pPr>
      <w:r>
        <w:rPr>
          <w:rFonts w:hint="eastAsia"/>
        </w:rPr>
        <w:t>评价区森林覆盖率为</w:t>
      </w:r>
      <w:r>
        <w:rPr>
          <w:rFonts w:hint="eastAsia"/>
        </w:rPr>
        <w:t xml:space="preserve"> 66.5%</w:t>
      </w:r>
      <w:r>
        <w:rPr>
          <w:rFonts w:hint="eastAsia"/>
        </w:rPr>
        <w:t>，植被共分为</w:t>
      </w:r>
      <w:r>
        <w:rPr>
          <w:rFonts w:hint="eastAsia"/>
        </w:rPr>
        <w:t xml:space="preserve"> 3 </w:t>
      </w:r>
      <w:r>
        <w:rPr>
          <w:rFonts w:hint="eastAsia"/>
        </w:rPr>
        <w:t>级，</w:t>
      </w:r>
      <w:r>
        <w:rPr>
          <w:rFonts w:hint="eastAsia"/>
        </w:rPr>
        <w:t xml:space="preserve">4 </w:t>
      </w:r>
      <w:r>
        <w:rPr>
          <w:rFonts w:hint="eastAsia"/>
        </w:rPr>
        <w:t>个植被型，</w:t>
      </w:r>
      <w:r>
        <w:rPr>
          <w:rFonts w:hint="eastAsia"/>
        </w:rPr>
        <w:t xml:space="preserve">16 </w:t>
      </w:r>
      <w:r>
        <w:rPr>
          <w:rFonts w:hint="eastAsia"/>
        </w:rPr>
        <w:t>个群系，无珍稀植物和古大名木。因受人类活动干扰较大，林分的质量不高，人工次生林基本为中幼林，疏林地和灌木林地占较大比例，使生产力和生态功能受到一定的限制，居民生产生活木材消耗量大，对森林植被造成较大破坏。</w:t>
      </w:r>
    </w:p>
    <w:p w:rsidR="006175A6" w:rsidRDefault="009B4BA7">
      <w:pPr>
        <w:ind w:firstLine="480"/>
      </w:pPr>
      <w:r>
        <w:rPr>
          <w:rFonts w:hint="eastAsia"/>
        </w:rPr>
        <w:t>评价区陆生动物种类较多，其中两栖动物有</w:t>
      </w:r>
      <w:r>
        <w:rPr>
          <w:rFonts w:hint="eastAsia"/>
        </w:rPr>
        <w:t xml:space="preserve"> 1 </w:t>
      </w:r>
      <w:r>
        <w:rPr>
          <w:rFonts w:hint="eastAsia"/>
        </w:rPr>
        <w:t>目</w:t>
      </w:r>
      <w:r>
        <w:rPr>
          <w:rFonts w:hint="eastAsia"/>
        </w:rPr>
        <w:t xml:space="preserve"> 4 </w:t>
      </w:r>
      <w:r>
        <w:rPr>
          <w:rFonts w:hint="eastAsia"/>
        </w:rPr>
        <w:t>科</w:t>
      </w:r>
      <w:r>
        <w:rPr>
          <w:rFonts w:hint="eastAsia"/>
        </w:rPr>
        <w:t xml:space="preserve"> 8 </w:t>
      </w:r>
      <w:r>
        <w:rPr>
          <w:rFonts w:hint="eastAsia"/>
        </w:rPr>
        <w:t>种，爬行动物有</w:t>
      </w:r>
      <w:r>
        <w:rPr>
          <w:rFonts w:hint="eastAsia"/>
        </w:rPr>
        <w:t xml:space="preserve"> 1 </w:t>
      </w:r>
      <w:r>
        <w:rPr>
          <w:rFonts w:hint="eastAsia"/>
        </w:rPr>
        <w:t>目</w:t>
      </w:r>
      <w:r>
        <w:rPr>
          <w:rFonts w:hint="eastAsia"/>
        </w:rPr>
        <w:t xml:space="preserve"> 3</w:t>
      </w:r>
      <w:r>
        <w:rPr>
          <w:rFonts w:hint="eastAsia"/>
        </w:rPr>
        <w:t>科</w:t>
      </w:r>
      <w:r>
        <w:rPr>
          <w:rFonts w:hint="eastAsia"/>
        </w:rPr>
        <w:t xml:space="preserve"> 10 </w:t>
      </w:r>
      <w:r>
        <w:rPr>
          <w:rFonts w:hint="eastAsia"/>
        </w:rPr>
        <w:t>种，鸟类有</w:t>
      </w:r>
      <w:r>
        <w:rPr>
          <w:rFonts w:hint="eastAsia"/>
        </w:rPr>
        <w:t xml:space="preserve"> 6 </w:t>
      </w:r>
      <w:r>
        <w:rPr>
          <w:rFonts w:hint="eastAsia"/>
        </w:rPr>
        <w:t>目</w:t>
      </w:r>
      <w:r>
        <w:rPr>
          <w:rFonts w:hint="eastAsia"/>
        </w:rPr>
        <w:t xml:space="preserve"> 11 </w:t>
      </w:r>
      <w:r>
        <w:rPr>
          <w:rFonts w:hint="eastAsia"/>
        </w:rPr>
        <w:t>科</w:t>
      </w:r>
      <w:r>
        <w:rPr>
          <w:rFonts w:hint="eastAsia"/>
        </w:rPr>
        <w:t xml:space="preserve"> 18 </w:t>
      </w:r>
      <w:r>
        <w:rPr>
          <w:rFonts w:hint="eastAsia"/>
        </w:rPr>
        <w:t>种，兽类有</w:t>
      </w:r>
      <w:r>
        <w:rPr>
          <w:rFonts w:hint="eastAsia"/>
        </w:rPr>
        <w:t xml:space="preserve"> 6 </w:t>
      </w:r>
      <w:r>
        <w:rPr>
          <w:rFonts w:hint="eastAsia"/>
        </w:rPr>
        <w:t>目</w:t>
      </w:r>
      <w:r>
        <w:rPr>
          <w:rFonts w:hint="eastAsia"/>
        </w:rPr>
        <w:t xml:space="preserve"> 9 </w:t>
      </w:r>
      <w:r>
        <w:rPr>
          <w:rFonts w:hint="eastAsia"/>
        </w:rPr>
        <w:t>科</w:t>
      </w:r>
      <w:r>
        <w:rPr>
          <w:rFonts w:hint="eastAsia"/>
        </w:rPr>
        <w:t xml:space="preserve"> 14 </w:t>
      </w:r>
      <w:r>
        <w:rPr>
          <w:rFonts w:hint="eastAsia"/>
        </w:rPr>
        <w:t>种。评价区陆生珍稀濒危动物有</w:t>
      </w:r>
      <w:r>
        <w:rPr>
          <w:rFonts w:hint="eastAsia"/>
        </w:rPr>
        <w:t xml:space="preserve"> 16 </w:t>
      </w:r>
      <w:r>
        <w:rPr>
          <w:rFonts w:hint="eastAsia"/>
        </w:rPr>
        <w:t>种，没有国家Ⅰ级保护动物，国家Ⅱ级保护动物</w:t>
      </w:r>
      <w:r>
        <w:rPr>
          <w:rFonts w:hint="eastAsia"/>
        </w:rPr>
        <w:t xml:space="preserve"> 1 </w:t>
      </w:r>
      <w:r>
        <w:rPr>
          <w:rFonts w:hint="eastAsia"/>
        </w:rPr>
        <w:t>种：鸢；湖北省重点保护动物</w:t>
      </w:r>
      <w:r>
        <w:rPr>
          <w:rFonts w:hint="eastAsia"/>
        </w:rPr>
        <w:t xml:space="preserve"> 19 </w:t>
      </w:r>
      <w:r>
        <w:rPr>
          <w:rFonts w:hint="eastAsia"/>
        </w:rPr>
        <w:t>种：中华蟾蜍、中国林蛙、泽陆蛙、绿臭蛙、饰纹姬蛙、玉斑锦蛇、王锦蛇、乌梢蛇、灰胸竹鸡、珠颈斑鸠、金腰燕、大嘴乌鸦、喜鹊、灰喜鹊、草兔、红白鼯鼠、赤腹松鼠、猪獾和小麂；《中国濒危动物红皮书》所列种</w:t>
      </w:r>
      <w:r>
        <w:rPr>
          <w:rFonts w:hint="eastAsia"/>
        </w:rPr>
        <w:t xml:space="preserve"> 2 </w:t>
      </w:r>
      <w:r>
        <w:rPr>
          <w:rFonts w:hint="eastAsia"/>
        </w:rPr>
        <w:t>种：蝮蛇</w:t>
      </w:r>
      <w:r w:rsidR="00E97427">
        <w:rPr>
          <w:rFonts w:hint="eastAsia"/>
        </w:rPr>
        <w:t>（</w:t>
      </w:r>
      <w:r>
        <w:rPr>
          <w:rFonts w:hint="eastAsia"/>
        </w:rPr>
        <w:t>易危</w:t>
      </w:r>
      <w:r w:rsidR="00E97427">
        <w:rPr>
          <w:rFonts w:hint="eastAsia"/>
        </w:rPr>
        <w:t>）</w:t>
      </w:r>
      <w:r>
        <w:rPr>
          <w:rFonts w:hint="eastAsia"/>
        </w:rPr>
        <w:t>、中国林蛙</w:t>
      </w:r>
      <w:r w:rsidR="00E97427">
        <w:rPr>
          <w:rFonts w:hint="eastAsia"/>
        </w:rPr>
        <w:t>（</w:t>
      </w:r>
      <w:r>
        <w:rPr>
          <w:rFonts w:hint="eastAsia"/>
        </w:rPr>
        <w:t>渐危</w:t>
      </w:r>
      <w:r w:rsidR="00E97427">
        <w:rPr>
          <w:rFonts w:hint="eastAsia"/>
        </w:rPr>
        <w:t>）</w:t>
      </w:r>
      <w:r>
        <w:rPr>
          <w:rFonts w:hint="eastAsia"/>
        </w:rPr>
        <w:t>。野生动物受人类活动干扰较大，栖息条件一般，虽然物种多样性较丰富，但大部分数量较少，大中型动物罕见。</w:t>
      </w:r>
    </w:p>
    <w:p w:rsidR="006175A6" w:rsidRDefault="009B4BA7">
      <w:pPr>
        <w:ind w:firstLine="480"/>
      </w:pPr>
      <w:r>
        <w:rPr>
          <w:rFonts w:hint="eastAsia"/>
        </w:rPr>
        <w:t>评价区有浮游植物以适应流水生境的硅藻门种类占优势，优势种为曲壳藻、脆杆藻、直链藻、小环藻等；浮游动物中原生动物占优势，优势种为表壳虫、吸管虫、筒壳虫等；底栖动物主要有蜻蜓目、摇蚊幼虫、端足类、等足类等；鱼类有</w:t>
      </w:r>
      <w:r>
        <w:rPr>
          <w:rFonts w:hint="eastAsia"/>
        </w:rPr>
        <w:t xml:space="preserve"> 5 </w:t>
      </w:r>
      <w:r>
        <w:rPr>
          <w:rFonts w:hint="eastAsia"/>
        </w:rPr>
        <w:t>种。由于评价区河流流量小、水流湍急、水温低、养份少等自然条件所限，水生生物的种类较少，初级生产力低，高等水生动物匮乏，水生生物资源十分有限，无珍稀濒危水生生物。</w:t>
      </w:r>
    </w:p>
    <w:p w:rsidR="007E5FE7" w:rsidRDefault="007E5FE7">
      <w:pPr>
        <w:ind w:firstLine="480"/>
      </w:pPr>
      <w:r w:rsidRPr="007E5FE7">
        <w:rPr>
          <w:rFonts w:hint="eastAsia"/>
        </w:rPr>
        <w:t>评价区平均净生产力</w:t>
      </w:r>
      <w:r w:rsidR="002612E7" w:rsidRPr="009B6E21">
        <w:rPr>
          <w:rFonts w:hint="eastAsia"/>
        </w:rPr>
        <w:t>为</w:t>
      </w:r>
      <w:r w:rsidR="002612E7">
        <w:rPr>
          <w:rFonts w:hint="eastAsia"/>
        </w:rPr>
        <w:t>939.28</w:t>
      </w:r>
      <w:r w:rsidR="002612E7" w:rsidRPr="009B6E21">
        <w:rPr>
          <w:rFonts w:hint="eastAsia"/>
        </w:rPr>
        <w:t>gC/</w:t>
      </w:r>
      <w:r w:rsidR="00E97427">
        <w:rPr>
          <w:rFonts w:hint="eastAsia"/>
        </w:rPr>
        <w:t>（</w:t>
      </w:r>
      <w:r w:rsidR="002612E7" w:rsidRPr="009B6E21">
        <w:rPr>
          <w:rFonts w:hint="eastAsia"/>
        </w:rPr>
        <w:t>m</w:t>
      </w:r>
      <w:r w:rsidR="002612E7" w:rsidRPr="009B6E21">
        <w:rPr>
          <w:rFonts w:hint="eastAsia"/>
          <w:vertAlign w:val="superscript"/>
        </w:rPr>
        <w:t>2</w:t>
      </w:r>
      <w:r w:rsidR="002612E7" w:rsidRPr="009B6E21">
        <w:rPr>
          <w:rFonts w:hint="eastAsia"/>
        </w:rPr>
        <w:t>·</w:t>
      </w:r>
      <w:r w:rsidR="002612E7" w:rsidRPr="009B6E21">
        <w:rPr>
          <w:rFonts w:hint="eastAsia"/>
        </w:rPr>
        <w:t>a</w:t>
      </w:r>
      <w:r w:rsidR="00E97427">
        <w:rPr>
          <w:rFonts w:hint="eastAsia"/>
        </w:rPr>
        <w:t>）</w:t>
      </w:r>
      <w:r w:rsidR="002612E7" w:rsidRPr="009B6E21">
        <w:rPr>
          <w:rFonts w:hint="eastAsia"/>
        </w:rPr>
        <w:t>，比全球陆地水平高</w:t>
      </w:r>
      <w:r w:rsidR="002612E7">
        <w:rPr>
          <w:rFonts w:hint="eastAsia"/>
        </w:rPr>
        <w:t>219.28</w:t>
      </w:r>
      <w:r w:rsidR="002612E7" w:rsidRPr="009B6E21">
        <w:rPr>
          <w:rFonts w:hint="eastAsia"/>
        </w:rPr>
        <w:t>gC/</w:t>
      </w:r>
      <w:r w:rsidR="00E97427">
        <w:rPr>
          <w:rFonts w:hint="eastAsia"/>
        </w:rPr>
        <w:t>（</w:t>
      </w:r>
      <w:r w:rsidR="002612E7" w:rsidRPr="009B6E21">
        <w:rPr>
          <w:rFonts w:hint="eastAsia"/>
        </w:rPr>
        <w:t>m</w:t>
      </w:r>
      <w:r w:rsidR="002612E7" w:rsidRPr="009B6E21">
        <w:rPr>
          <w:rFonts w:hint="eastAsia"/>
          <w:vertAlign w:val="superscript"/>
        </w:rPr>
        <w:t>2</w:t>
      </w:r>
      <w:r w:rsidR="002612E7" w:rsidRPr="009B6E21">
        <w:rPr>
          <w:rFonts w:hint="eastAsia"/>
        </w:rPr>
        <w:t>·</w:t>
      </w:r>
      <w:r w:rsidR="002612E7" w:rsidRPr="009B6E21">
        <w:rPr>
          <w:rFonts w:hint="eastAsia"/>
        </w:rPr>
        <w:t>a</w:t>
      </w:r>
      <w:r w:rsidR="00E97427">
        <w:rPr>
          <w:rFonts w:hint="eastAsia"/>
        </w:rPr>
        <w:t>）</w:t>
      </w:r>
      <w:r w:rsidRPr="007E5FE7">
        <w:rPr>
          <w:rFonts w:hint="eastAsia"/>
        </w:rPr>
        <w:t>，</w:t>
      </w:r>
      <w:r w:rsidR="002612E7" w:rsidRPr="009B6E21">
        <w:rPr>
          <w:rFonts w:hint="eastAsia"/>
        </w:rPr>
        <w:t>评价区</w:t>
      </w:r>
      <w:r w:rsidR="002612E7">
        <w:rPr>
          <w:rFonts w:hint="eastAsia"/>
        </w:rPr>
        <w:t>针叶林地</w:t>
      </w:r>
      <w:r w:rsidR="002612E7" w:rsidRPr="009B6E21">
        <w:rPr>
          <w:rFonts w:hint="eastAsia"/>
        </w:rPr>
        <w:t>面积所占比重最大，达到</w:t>
      </w:r>
      <w:r w:rsidR="002612E7">
        <w:rPr>
          <w:rFonts w:hint="eastAsia"/>
        </w:rPr>
        <w:t>37.89</w:t>
      </w:r>
      <w:r w:rsidR="002612E7" w:rsidRPr="009B6E21">
        <w:rPr>
          <w:rFonts w:hint="eastAsia"/>
        </w:rPr>
        <w:t>%</w:t>
      </w:r>
      <w:r w:rsidRPr="007E5FE7">
        <w:rPr>
          <w:rFonts w:hint="eastAsia"/>
        </w:rPr>
        <w:t>，对评价区的平均生产力值的大小起决定性的因素。从整体看评价区内的生态环境质量较好，有较</w:t>
      </w:r>
      <w:r w:rsidRPr="007E5FE7">
        <w:rPr>
          <w:rFonts w:hint="eastAsia"/>
        </w:rPr>
        <w:lastRenderedPageBreak/>
        <w:t>强的生产能力、抗干扰能力和系统调控能力，总体景观质量较高。</w:t>
      </w:r>
    </w:p>
    <w:p w:rsidR="006175A6" w:rsidRDefault="009B4BA7">
      <w:pPr>
        <w:pStyle w:val="2"/>
      </w:pPr>
      <w:bookmarkStart w:id="58" w:name="_Toc80170109"/>
      <w:r>
        <w:rPr>
          <w:rFonts w:hint="eastAsia"/>
        </w:rPr>
        <w:t>环境现状评价</w:t>
      </w:r>
      <w:bookmarkEnd w:id="58"/>
    </w:p>
    <w:p w:rsidR="006175A6" w:rsidRDefault="009B4BA7">
      <w:pPr>
        <w:pStyle w:val="3"/>
      </w:pPr>
      <w:r>
        <w:rPr>
          <w:rFonts w:hint="eastAsia"/>
        </w:rPr>
        <w:t>环境空气质量现状调查与评价</w:t>
      </w:r>
    </w:p>
    <w:p w:rsidR="006175A6" w:rsidRDefault="009B4BA7">
      <w:pPr>
        <w:ind w:firstLine="480"/>
      </w:pPr>
      <w:r>
        <w:rPr>
          <w:rFonts w:hint="eastAsia"/>
        </w:rPr>
        <w:t>工程位于兴山县榛子乡石柱村境内，属环境空气质量二类区域，应执行《环境空气质量标准》（</w:t>
      </w:r>
      <w:r>
        <w:rPr>
          <w:rFonts w:hint="eastAsia"/>
        </w:rPr>
        <w:t>GB3095-2012</w:t>
      </w:r>
      <w:r>
        <w:rPr>
          <w:rFonts w:hint="eastAsia"/>
        </w:rPr>
        <w:t>）中的二级标准。本项目大气评价等级为三级，根据《环境影响评价技术导则大气环境》（</w:t>
      </w:r>
      <w:r>
        <w:rPr>
          <w:rFonts w:hint="eastAsia"/>
        </w:rPr>
        <w:t>HJ2.2-2018</w:t>
      </w:r>
      <w:r>
        <w:rPr>
          <w:rFonts w:hint="eastAsia"/>
        </w:rPr>
        <w:t>），二级评价应调查项目所在区域环境质量达标情况。</w:t>
      </w:r>
    </w:p>
    <w:p w:rsidR="006175A6" w:rsidRDefault="009B4BA7">
      <w:pPr>
        <w:ind w:firstLine="480"/>
      </w:pPr>
      <w:r>
        <w:rPr>
          <w:rFonts w:hint="eastAsia"/>
        </w:rPr>
        <w:t>根据</w:t>
      </w:r>
      <w:r w:rsidR="00C23060">
        <w:rPr>
          <w:rFonts w:hint="eastAsia"/>
        </w:rPr>
        <w:t>《</w:t>
      </w:r>
      <w:r w:rsidR="00C23060">
        <w:rPr>
          <w:rFonts w:hint="eastAsia"/>
        </w:rPr>
        <w:t>2020</w:t>
      </w:r>
      <w:r w:rsidR="00C23060">
        <w:rPr>
          <w:rFonts w:hint="eastAsia"/>
        </w:rPr>
        <w:t>年宜昌市</w:t>
      </w:r>
      <w:r w:rsidR="00C23060" w:rsidRPr="00C23060">
        <w:rPr>
          <w:rFonts w:hint="eastAsia"/>
        </w:rPr>
        <w:t>环境质量年报</w:t>
      </w:r>
      <w:r w:rsidR="00C23060">
        <w:rPr>
          <w:rFonts w:hint="eastAsia"/>
        </w:rPr>
        <w:t>》，</w:t>
      </w:r>
      <w:r w:rsidR="00C23060" w:rsidRPr="00C23060">
        <w:rPr>
          <w:rFonts w:hint="eastAsia"/>
        </w:rPr>
        <w:t>并按导则附录</w:t>
      </w:r>
      <w:r w:rsidR="00C23060" w:rsidRPr="00C23060">
        <w:rPr>
          <w:rFonts w:hint="eastAsia"/>
        </w:rPr>
        <w:t>C</w:t>
      </w:r>
      <w:r w:rsidR="00C23060">
        <w:rPr>
          <w:rFonts w:hint="eastAsia"/>
        </w:rPr>
        <w:t>表格要求汇总如下：</w:t>
      </w:r>
    </w:p>
    <w:p w:rsidR="00C23060" w:rsidRDefault="00C23060" w:rsidP="00C23060">
      <w:pPr>
        <w:pStyle w:val="a3"/>
      </w:pPr>
      <w:bookmarkStart w:id="59" w:name="_Ref80079755"/>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59"/>
      <w:r>
        <w:rPr>
          <w:rFonts w:hint="eastAsia"/>
        </w:rPr>
        <w:t xml:space="preserve">  </w:t>
      </w:r>
      <w:r>
        <w:rPr>
          <w:rFonts w:hint="eastAsia"/>
        </w:rPr>
        <w:t>兴山县</w:t>
      </w:r>
      <w:r w:rsidRPr="00C23060">
        <w:rPr>
          <w:rFonts w:hint="eastAsia"/>
        </w:rPr>
        <w:t>2020</w:t>
      </w:r>
      <w:r w:rsidRPr="00C23060">
        <w:rPr>
          <w:rFonts w:hint="eastAsia"/>
        </w:rPr>
        <w:t>年城市环境空气质量统计表</w:t>
      </w:r>
    </w:p>
    <w:tbl>
      <w:tblPr>
        <w:tblW w:w="8522" w:type="dxa"/>
        <w:tblLayout w:type="fixed"/>
        <w:tblLook w:val="04A0" w:firstRow="1" w:lastRow="0" w:firstColumn="1" w:lastColumn="0" w:noHBand="0" w:noVBand="1"/>
      </w:tblPr>
      <w:tblGrid>
        <w:gridCol w:w="960"/>
        <w:gridCol w:w="1728"/>
        <w:gridCol w:w="1343"/>
        <w:gridCol w:w="1343"/>
        <w:gridCol w:w="1808"/>
        <w:gridCol w:w="1340"/>
      </w:tblGrid>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污染物</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评价指标</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现状浓度（</w:t>
            </w:r>
            <w:r w:rsidRPr="00C23060">
              <w:rPr>
                <w:kern w:val="0"/>
                <w:sz w:val="21"/>
              </w:rPr>
              <w:t>μg/m</w:t>
            </w:r>
            <w:r w:rsidRPr="00C23060">
              <w:rPr>
                <w:kern w:val="0"/>
                <w:sz w:val="21"/>
                <w:vertAlign w:val="superscript"/>
              </w:rPr>
              <w:t>3</w:t>
            </w:r>
            <w:r w:rsidRPr="00C23060">
              <w:rPr>
                <w:kern w:val="0"/>
                <w:sz w:val="21"/>
              </w:rPr>
              <w:t>）</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标准值（</w:t>
            </w:r>
            <w:r>
              <w:rPr>
                <w:kern w:val="0"/>
                <w:sz w:val="21"/>
              </w:rPr>
              <w:t>μg/m</w:t>
            </w:r>
            <w:r>
              <w:rPr>
                <w:kern w:val="0"/>
                <w:sz w:val="21"/>
                <w:vertAlign w:val="superscript"/>
              </w:rPr>
              <w:t>3</w:t>
            </w:r>
            <w:r>
              <w:rPr>
                <w:kern w:val="0"/>
                <w:sz w:val="21"/>
              </w:rPr>
              <w:t>）</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占标率（</w:t>
            </w:r>
            <w:r>
              <w:rPr>
                <w:kern w:val="0"/>
                <w:sz w:val="21"/>
              </w:rPr>
              <w:t>%</w:t>
            </w:r>
            <w:r>
              <w:rPr>
                <w:rFonts w:ascii="宋体" w:hAnsi="宋体"/>
                <w:kern w:val="0"/>
                <w:sz w:val="21"/>
              </w:rPr>
              <w:t>）</w:t>
            </w:r>
          </w:p>
        </w:tc>
        <w:tc>
          <w:tcPr>
            <w:tcW w:w="1340"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达标情况</w:t>
            </w: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SO</w:t>
            </w:r>
            <w:r>
              <w:rPr>
                <w:kern w:val="0"/>
                <w:sz w:val="21"/>
                <w:vertAlign w:val="subscript"/>
              </w:rPr>
              <w:t>2</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年平均质量浓度</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kern w:val="0"/>
                <w:sz w:val="21"/>
              </w:rPr>
              <w:t>9</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60</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15 </w:t>
            </w:r>
          </w:p>
        </w:tc>
        <w:tc>
          <w:tcPr>
            <w:tcW w:w="1340" w:type="dxa"/>
            <w:vMerge w:val="restart"/>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达标</w:t>
            </w: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NO</w:t>
            </w:r>
            <w:r>
              <w:rPr>
                <w:kern w:val="0"/>
                <w:sz w:val="21"/>
                <w:vertAlign w:val="subscript"/>
              </w:rPr>
              <w:t>2</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年平均质量浓度</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rFonts w:hint="eastAsia"/>
                <w:kern w:val="0"/>
                <w:sz w:val="21"/>
              </w:rPr>
              <w:t>20</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40</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50 </w:t>
            </w:r>
          </w:p>
        </w:tc>
        <w:tc>
          <w:tcPr>
            <w:tcW w:w="1340" w:type="dxa"/>
            <w:vMerge/>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left"/>
              <w:rPr>
                <w:kern w:val="0"/>
                <w:sz w:val="21"/>
              </w:rPr>
            </w:pP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PM</w:t>
            </w:r>
            <w:r>
              <w:rPr>
                <w:kern w:val="0"/>
                <w:sz w:val="21"/>
                <w:vertAlign w:val="subscript"/>
              </w:rPr>
              <w:t>10</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年平均质量浓度</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rFonts w:hint="eastAsia"/>
                <w:kern w:val="0"/>
                <w:sz w:val="21"/>
              </w:rPr>
              <w:t>46</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70</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66 </w:t>
            </w:r>
          </w:p>
        </w:tc>
        <w:tc>
          <w:tcPr>
            <w:tcW w:w="1340" w:type="dxa"/>
            <w:vMerge/>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left"/>
              <w:rPr>
                <w:kern w:val="0"/>
                <w:sz w:val="21"/>
              </w:rPr>
            </w:pP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PM</w:t>
            </w:r>
            <w:r>
              <w:rPr>
                <w:kern w:val="0"/>
                <w:sz w:val="21"/>
                <w:vertAlign w:val="subscript"/>
              </w:rPr>
              <w:t>2.5</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年平均质量浓度</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rFonts w:hint="eastAsia"/>
                <w:kern w:val="0"/>
                <w:sz w:val="21"/>
              </w:rPr>
              <w:t>24</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35</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69 </w:t>
            </w:r>
          </w:p>
        </w:tc>
        <w:tc>
          <w:tcPr>
            <w:tcW w:w="1340" w:type="dxa"/>
            <w:vMerge/>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left"/>
              <w:rPr>
                <w:kern w:val="0"/>
                <w:sz w:val="21"/>
              </w:rPr>
            </w:pP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CO</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百分位数日平均</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rFonts w:hint="eastAsia"/>
                <w:kern w:val="0"/>
                <w:sz w:val="21"/>
              </w:rPr>
              <w:t>1.5</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4</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38 </w:t>
            </w:r>
          </w:p>
        </w:tc>
        <w:tc>
          <w:tcPr>
            <w:tcW w:w="1340" w:type="dxa"/>
            <w:vMerge/>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left"/>
              <w:rPr>
                <w:kern w:val="0"/>
                <w:sz w:val="21"/>
              </w:rPr>
            </w:pPr>
          </w:p>
        </w:tc>
      </w:tr>
      <w:tr w:rsidR="00C23060" w:rsidTr="00C23060">
        <w:trPr>
          <w:trHeight w:val="340"/>
        </w:trPr>
        <w:tc>
          <w:tcPr>
            <w:tcW w:w="960" w:type="dxa"/>
            <w:tcBorders>
              <w:top w:val="single" w:sz="4" w:space="0" w:color="000000"/>
              <w:left w:val="single" w:sz="4" w:space="0" w:color="000000"/>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rPr>
                <w:kern w:val="0"/>
                <w:sz w:val="21"/>
              </w:rPr>
            </w:pPr>
            <w:r>
              <w:rPr>
                <w:kern w:val="0"/>
                <w:sz w:val="21"/>
              </w:rPr>
              <w:t>O</w:t>
            </w:r>
            <w:r>
              <w:rPr>
                <w:kern w:val="0"/>
                <w:sz w:val="21"/>
                <w:vertAlign w:val="subscript"/>
              </w:rPr>
              <w:t>3</w:t>
            </w:r>
          </w:p>
        </w:tc>
        <w:tc>
          <w:tcPr>
            <w:tcW w:w="1728"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rPr>
                <w:kern w:val="0"/>
                <w:sz w:val="21"/>
              </w:rPr>
            </w:pPr>
            <w:r w:rsidRPr="00C23060">
              <w:rPr>
                <w:kern w:val="0"/>
                <w:sz w:val="21"/>
              </w:rPr>
              <w:t>8h</w:t>
            </w:r>
            <w:r w:rsidRPr="00C23060">
              <w:rPr>
                <w:rFonts w:ascii="宋体" w:hAnsi="宋体"/>
                <w:kern w:val="0"/>
                <w:sz w:val="21"/>
              </w:rPr>
              <w:t>评价质量浓度</w:t>
            </w:r>
          </w:p>
        </w:tc>
        <w:tc>
          <w:tcPr>
            <w:tcW w:w="1343" w:type="dxa"/>
            <w:tcBorders>
              <w:top w:val="single" w:sz="4" w:space="0" w:color="000000"/>
              <w:left w:val="nil"/>
              <w:bottom w:val="single" w:sz="4" w:space="0" w:color="000000"/>
              <w:right w:val="single" w:sz="4" w:space="0" w:color="000000"/>
            </w:tcBorders>
            <w:vAlign w:val="center"/>
            <w:hideMark/>
          </w:tcPr>
          <w:p w:rsidR="00C23060" w:rsidRPr="00C23060" w:rsidRDefault="00C23060" w:rsidP="00C23060">
            <w:pPr>
              <w:widowControl/>
              <w:spacing w:line="240" w:lineRule="auto"/>
              <w:ind w:firstLineChars="0" w:firstLine="0"/>
              <w:jc w:val="center"/>
              <w:textAlignment w:val="center"/>
              <w:rPr>
                <w:kern w:val="0"/>
                <w:sz w:val="21"/>
              </w:rPr>
            </w:pPr>
            <w:r w:rsidRPr="00C23060">
              <w:rPr>
                <w:rFonts w:hint="eastAsia"/>
                <w:kern w:val="0"/>
                <w:sz w:val="21"/>
              </w:rPr>
              <w:t>87</w:t>
            </w:r>
          </w:p>
        </w:tc>
        <w:tc>
          <w:tcPr>
            <w:tcW w:w="1343" w:type="dxa"/>
            <w:tcBorders>
              <w:top w:val="single" w:sz="4" w:space="0" w:color="000000"/>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center"/>
              <w:textAlignment w:val="center"/>
              <w:rPr>
                <w:kern w:val="0"/>
                <w:sz w:val="21"/>
              </w:rPr>
            </w:pPr>
            <w:r>
              <w:rPr>
                <w:kern w:val="0"/>
                <w:sz w:val="21"/>
              </w:rPr>
              <w:t>160</w:t>
            </w:r>
          </w:p>
        </w:tc>
        <w:tc>
          <w:tcPr>
            <w:tcW w:w="1808" w:type="dxa"/>
            <w:tcBorders>
              <w:top w:val="single" w:sz="4" w:space="0" w:color="000000"/>
              <w:left w:val="nil"/>
              <w:bottom w:val="single" w:sz="4" w:space="0" w:color="000000"/>
              <w:right w:val="single" w:sz="4" w:space="0" w:color="000000"/>
            </w:tcBorders>
            <w:vAlign w:val="center"/>
            <w:hideMark/>
          </w:tcPr>
          <w:p w:rsidR="00C23060" w:rsidRDefault="00C23060" w:rsidP="00C23060">
            <w:pPr>
              <w:spacing w:line="240" w:lineRule="auto"/>
              <w:ind w:firstLineChars="0" w:firstLine="0"/>
              <w:jc w:val="center"/>
              <w:rPr>
                <w:color w:val="000000"/>
                <w:sz w:val="21"/>
              </w:rPr>
            </w:pPr>
            <w:r>
              <w:rPr>
                <w:color w:val="000000"/>
                <w:sz w:val="21"/>
              </w:rPr>
              <w:t xml:space="preserve">54 </w:t>
            </w:r>
          </w:p>
        </w:tc>
        <w:tc>
          <w:tcPr>
            <w:tcW w:w="1340" w:type="dxa"/>
            <w:vMerge/>
            <w:tcBorders>
              <w:top w:val="nil"/>
              <w:left w:val="nil"/>
              <w:bottom w:val="single" w:sz="4" w:space="0" w:color="000000"/>
              <w:right w:val="single" w:sz="4" w:space="0" w:color="000000"/>
            </w:tcBorders>
            <w:vAlign w:val="center"/>
            <w:hideMark/>
          </w:tcPr>
          <w:p w:rsidR="00C23060" w:rsidRDefault="00C23060" w:rsidP="00C23060">
            <w:pPr>
              <w:widowControl/>
              <w:spacing w:line="240" w:lineRule="auto"/>
              <w:ind w:firstLineChars="0" w:firstLine="0"/>
              <w:jc w:val="left"/>
              <w:rPr>
                <w:kern w:val="0"/>
                <w:sz w:val="21"/>
              </w:rPr>
            </w:pPr>
          </w:p>
        </w:tc>
      </w:tr>
    </w:tbl>
    <w:p w:rsidR="00C23060" w:rsidRDefault="00C23060">
      <w:pPr>
        <w:ind w:firstLine="480"/>
      </w:pPr>
      <w:r>
        <w:rPr>
          <w:rFonts w:hint="eastAsia"/>
        </w:rPr>
        <w:t>由</w:t>
      </w:r>
      <w:r>
        <w:fldChar w:fldCharType="begin"/>
      </w:r>
      <w:r>
        <w:instrText xml:space="preserve"> </w:instrText>
      </w:r>
      <w:r>
        <w:rPr>
          <w:rFonts w:hint="eastAsia"/>
        </w:rPr>
        <w:instrText>REF _Ref80079755 \h</w:instrText>
      </w:r>
      <w:r>
        <w:instrText xml:space="preserve"> </w:instrText>
      </w:r>
      <w:r>
        <w:fldChar w:fldCharType="separate"/>
      </w:r>
      <w:r w:rsidR="00E97427">
        <w:rPr>
          <w:rFonts w:hint="eastAsia"/>
        </w:rPr>
        <w:t>表</w:t>
      </w:r>
      <w:r w:rsidR="00E97427">
        <w:rPr>
          <w:rFonts w:hint="eastAsia"/>
        </w:rPr>
        <w:t xml:space="preserve"> </w:t>
      </w:r>
      <w:r w:rsidR="00E97427">
        <w:rPr>
          <w:noProof/>
        </w:rPr>
        <w:t>5.3</w:t>
      </w:r>
      <w:r w:rsidR="00E97427">
        <w:noBreakHyphen/>
      </w:r>
      <w:r w:rsidR="00E97427">
        <w:rPr>
          <w:noProof/>
        </w:rPr>
        <w:t>1</w:t>
      </w:r>
      <w:r>
        <w:fldChar w:fldCharType="end"/>
      </w:r>
      <w:r>
        <w:rPr>
          <w:rFonts w:hint="eastAsia"/>
        </w:rPr>
        <w:t>可知，兴山县</w:t>
      </w:r>
      <w:r>
        <w:rPr>
          <w:rFonts w:hint="eastAsia"/>
        </w:rPr>
        <w:t>2020</w:t>
      </w:r>
      <w:r>
        <w:rPr>
          <w:rFonts w:hint="eastAsia"/>
        </w:rPr>
        <w:t>年各环境空气基本污染物质量浓度能够满足</w:t>
      </w:r>
      <w:r w:rsidRPr="00C23060">
        <w:rPr>
          <w:rFonts w:hint="eastAsia"/>
        </w:rPr>
        <w:t>《环境空气质量标准》（</w:t>
      </w:r>
      <w:r w:rsidRPr="00C23060">
        <w:rPr>
          <w:rFonts w:hint="eastAsia"/>
        </w:rPr>
        <w:t>GB3095-2012</w:t>
      </w:r>
      <w:r w:rsidRPr="00C23060">
        <w:rPr>
          <w:rFonts w:hint="eastAsia"/>
        </w:rPr>
        <w:t>）二级标准，项目所在区域的城市环境空气质量属于达标区</w:t>
      </w:r>
      <w:r>
        <w:rPr>
          <w:rFonts w:hint="eastAsia"/>
        </w:rPr>
        <w:t>，区域所在环境空气质量现状良好</w:t>
      </w:r>
      <w:r w:rsidRPr="00C23060">
        <w:rPr>
          <w:rFonts w:hint="eastAsia"/>
        </w:rPr>
        <w:t>。</w:t>
      </w:r>
    </w:p>
    <w:p w:rsidR="006175A6" w:rsidRDefault="009B4BA7">
      <w:pPr>
        <w:pStyle w:val="3"/>
      </w:pPr>
      <w:r>
        <w:rPr>
          <w:rFonts w:hint="eastAsia"/>
        </w:rPr>
        <w:t>地表水环境质量现状调查与评价</w:t>
      </w:r>
    </w:p>
    <w:p w:rsidR="006175A6" w:rsidRDefault="009B4BA7">
      <w:pPr>
        <w:pStyle w:val="4"/>
      </w:pPr>
      <w:r>
        <w:rPr>
          <w:rFonts w:hint="eastAsia"/>
        </w:rPr>
        <w:t>地表水现状监测调查与评价</w:t>
      </w:r>
    </w:p>
    <w:p w:rsidR="00CC4576" w:rsidRDefault="00CC4576" w:rsidP="00CC4576">
      <w:pPr>
        <w:ind w:firstLine="480"/>
      </w:pPr>
      <w:r>
        <w:rPr>
          <w:rFonts w:hint="eastAsia"/>
        </w:rPr>
        <w:t>项目位于兴山县榛子乡石柱村，区域地表水环境质量应满足</w:t>
      </w:r>
      <w:r w:rsidRPr="009B4BA7">
        <w:rPr>
          <w:rFonts w:hint="eastAsia"/>
        </w:rPr>
        <w:t>《地表水环境质量标准》（</w:t>
      </w:r>
      <w:r w:rsidRPr="009B4BA7">
        <w:rPr>
          <w:rFonts w:hint="eastAsia"/>
        </w:rPr>
        <w:t>GB3838-2002</w:t>
      </w:r>
      <w:r>
        <w:rPr>
          <w:rFonts w:hint="eastAsia"/>
        </w:rPr>
        <w:t>）</w:t>
      </w:r>
      <w:r w:rsidRPr="009B4BA7">
        <w:rPr>
          <w:rFonts w:hint="eastAsia"/>
        </w:rPr>
        <w:t>III</w:t>
      </w:r>
      <w:r w:rsidRPr="009B4BA7">
        <w:rPr>
          <w:rFonts w:hint="eastAsia"/>
        </w:rPr>
        <w:t>类</w:t>
      </w:r>
      <w:r>
        <w:rPr>
          <w:rFonts w:hint="eastAsia"/>
        </w:rPr>
        <w:t>标准要求，为了解区域所在地表水环境质量现状，建设单位于</w:t>
      </w:r>
      <w:r>
        <w:rPr>
          <w:rFonts w:hint="eastAsia"/>
        </w:rPr>
        <w:t>2021</w:t>
      </w:r>
      <w:r>
        <w:rPr>
          <w:rFonts w:hint="eastAsia"/>
        </w:rPr>
        <w:t>年</w:t>
      </w:r>
      <w:r>
        <w:rPr>
          <w:rFonts w:hint="eastAsia"/>
        </w:rPr>
        <w:t>7</w:t>
      </w:r>
      <w:r>
        <w:rPr>
          <w:rFonts w:hint="eastAsia"/>
        </w:rPr>
        <w:t>月委托</w:t>
      </w:r>
      <w:r w:rsidRPr="009B4BA7">
        <w:rPr>
          <w:rFonts w:hint="eastAsia"/>
        </w:rPr>
        <w:t>湖北求实检测技术有限公司</w:t>
      </w:r>
      <w:r>
        <w:rPr>
          <w:rFonts w:hint="eastAsia"/>
        </w:rPr>
        <w:t>对工程坝址上游以及下游水质进行了检测。</w:t>
      </w:r>
    </w:p>
    <w:p w:rsidR="00CC4576" w:rsidRDefault="00CC4576" w:rsidP="00CC4576">
      <w:pPr>
        <w:ind w:firstLine="480"/>
      </w:pPr>
      <w:r>
        <w:rPr>
          <w:rFonts w:hint="eastAsia"/>
        </w:rPr>
        <w:t>（</w:t>
      </w:r>
      <w:r>
        <w:rPr>
          <w:rFonts w:hint="eastAsia"/>
        </w:rPr>
        <w:t>1</w:t>
      </w:r>
      <w:r>
        <w:rPr>
          <w:rFonts w:hint="eastAsia"/>
        </w:rPr>
        <w:t>）监测因子</w:t>
      </w:r>
    </w:p>
    <w:p w:rsidR="00CC4576" w:rsidRDefault="00CC4576" w:rsidP="00CC4576">
      <w:pPr>
        <w:ind w:firstLine="480"/>
      </w:pPr>
      <w:r>
        <w:rPr>
          <w:rFonts w:hint="eastAsia"/>
          <w:color w:val="000000"/>
        </w:rPr>
        <w:t>水温、</w:t>
      </w:r>
      <w:r>
        <w:rPr>
          <w:rFonts w:hint="eastAsia"/>
          <w:color w:val="000000"/>
        </w:rPr>
        <w:t>pH</w:t>
      </w:r>
      <w:r>
        <w:rPr>
          <w:rFonts w:hint="eastAsia"/>
          <w:color w:val="000000"/>
        </w:rPr>
        <w:t>、</w:t>
      </w:r>
      <w:r>
        <w:rPr>
          <w:rFonts w:hint="eastAsia"/>
          <w:color w:val="000000"/>
        </w:rPr>
        <w:t>DO</w:t>
      </w:r>
      <w:r>
        <w:rPr>
          <w:rFonts w:hint="eastAsia"/>
          <w:color w:val="000000"/>
        </w:rPr>
        <w:t>、高锰酸盐指数、</w:t>
      </w:r>
      <w:r>
        <w:rPr>
          <w:rFonts w:hint="eastAsia"/>
          <w:color w:val="000000"/>
        </w:rPr>
        <w:t>BOD</w:t>
      </w:r>
      <w:r>
        <w:rPr>
          <w:rFonts w:hint="eastAsia"/>
          <w:color w:val="000000"/>
          <w:vertAlign w:val="subscript"/>
        </w:rPr>
        <w:t>5</w:t>
      </w:r>
      <w:r w:rsidR="006A223A">
        <w:rPr>
          <w:rFonts w:hint="eastAsia"/>
          <w:color w:val="000000"/>
        </w:rPr>
        <w:t>、氨氮</w:t>
      </w:r>
      <w:r>
        <w:rPr>
          <w:rFonts w:hint="eastAsia"/>
          <w:color w:val="000000"/>
        </w:rPr>
        <w:t>、总磷、粪大肠菌群。</w:t>
      </w:r>
    </w:p>
    <w:p w:rsidR="00CC4576" w:rsidRDefault="00CC4576" w:rsidP="00CC4576">
      <w:pPr>
        <w:ind w:firstLine="480"/>
      </w:pPr>
      <w:r>
        <w:rPr>
          <w:rFonts w:hint="eastAsia"/>
        </w:rPr>
        <w:t>（</w:t>
      </w:r>
      <w:r>
        <w:rPr>
          <w:rFonts w:hint="eastAsia"/>
        </w:rPr>
        <w:t>2</w:t>
      </w:r>
      <w:r>
        <w:rPr>
          <w:rFonts w:hint="eastAsia"/>
        </w:rPr>
        <w:t>）</w:t>
      </w:r>
      <w:r>
        <w:t>监测布点</w:t>
      </w:r>
    </w:p>
    <w:p w:rsidR="00CC4576" w:rsidRDefault="00CC4576" w:rsidP="00CC4576">
      <w:pPr>
        <w:ind w:firstLine="480"/>
      </w:pPr>
      <w:r>
        <w:t>项目位于</w:t>
      </w:r>
      <w:r>
        <w:rPr>
          <w:rFonts w:hint="eastAsia"/>
        </w:rPr>
        <w:t>兴山县榛子乡石柱村境内</w:t>
      </w:r>
      <w:r>
        <w:t>，为了解</w:t>
      </w:r>
      <w:r>
        <w:rPr>
          <w:rFonts w:hint="eastAsia"/>
        </w:rPr>
        <w:t>区域地表水环境质量现状</w:t>
      </w:r>
      <w:r>
        <w:t>，在评</w:t>
      </w:r>
      <w:r>
        <w:lastRenderedPageBreak/>
        <w:t>价范围内共布设</w:t>
      </w:r>
      <w:r>
        <w:rPr>
          <w:rFonts w:hint="eastAsia"/>
        </w:rPr>
        <w:t>4</w:t>
      </w:r>
      <w:r>
        <w:t>个监测</w:t>
      </w:r>
      <w:r>
        <w:rPr>
          <w:rFonts w:hint="eastAsia"/>
        </w:rPr>
        <w:t>断面</w:t>
      </w:r>
      <w:r>
        <w:t>，具体布点情况见</w:t>
      </w:r>
      <w:r>
        <w:rPr>
          <w:rFonts w:hint="eastAsia"/>
        </w:rPr>
        <w:t>下表。</w:t>
      </w:r>
    </w:p>
    <w:p w:rsidR="006175A6" w:rsidRPr="00CC4576" w:rsidRDefault="00CC4576" w:rsidP="00CC4576">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sidRPr="00CC4576">
        <w:rPr>
          <w:rFonts w:hint="eastAsia"/>
        </w:rPr>
        <w:t>地表水质量现状监测布点一览表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883"/>
        <w:gridCol w:w="2942"/>
      </w:tblGrid>
      <w:tr w:rsidR="00CC4576" w:rsidRPr="00CC4576" w:rsidTr="00CC4576">
        <w:trPr>
          <w:trHeight w:val="340"/>
        </w:trPr>
        <w:tc>
          <w:tcPr>
            <w:tcW w:w="996" w:type="pct"/>
            <w:tcBorders>
              <w:top w:val="single" w:sz="4" w:space="0" w:color="auto"/>
              <w:left w:val="single" w:sz="4" w:space="0" w:color="auto"/>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编号</w:t>
            </w:r>
          </w:p>
        </w:tc>
        <w:tc>
          <w:tcPr>
            <w:tcW w:w="2278"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监测点</w:t>
            </w:r>
          </w:p>
        </w:tc>
        <w:tc>
          <w:tcPr>
            <w:tcW w:w="1726"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断面类型</w:t>
            </w:r>
          </w:p>
        </w:tc>
      </w:tr>
      <w:tr w:rsidR="00CC4576" w:rsidRPr="00CC4576" w:rsidTr="00CC4576">
        <w:trPr>
          <w:trHeight w:val="340"/>
        </w:trPr>
        <w:tc>
          <w:tcPr>
            <w:tcW w:w="996" w:type="pct"/>
            <w:tcBorders>
              <w:top w:val="single" w:sz="4" w:space="0" w:color="auto"/>
              <w:left w:val="single" w:sz="4" w:space="0" w:color="auto"/>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S1</w:t>
            </w:r>
            <w:r w:rsidRPr="00CC4576">
              <w:rPr>
                <w:bCs/>
                <w:sz w:val="21"/>
              </w:rPr>
              <w:t>断面</w:t>
            </w:r>
          </w:p>
        </w:tc>
        <w:tc>
          <w:tcPr>
            <w:tcW w:w="2278"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两岔口上游</w:t>
            </w:r>
            <w:r w:rsidRPr="00CC4576">
              <w:rPr>
                <w:rFonts w:ascii="Times New Roman" w:hAnsi="Times New Roman" w:cs="Times New Roman"/>
                <w:bCs/>
                <w:sz w:val="21"/>
                <w:szCs w:val="21"/>
              </w:rPr>
              <w:t>500m</w:t>
            </w:r>
            <w:r w:rsidRPr="00CC4576">
              <w:rPr>
                <w:rFonts w:ascii="Times New Roman" w:eastAsia="宋体" w:hAnsi="Times New Roman" w:cs="Times New Roman"/>
                <w:bCs/>
                <w:sz w:val="21"/>
                <w:szCs w:val="21"/>
              </w:rPr>
              <w:t>清洞口河</w:t>
            </w:r>
          </w:p>
        </w:tc>
        <w:tc>
          <w:tcPr>
            <w:tcW w:w="1726"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对照断面</w:t>
            </w:r>
          </w:p>
        </w:tc>
      </w:tr>
      <w:tr w:rsidR="00CC4576" w:rsidRPr="00CC4576" w:rsidTr="00CC4576">
        <w:trPr>
          <w:trHeight w:val="340"/>
        </w:trPr>
        <w:tc>
          <w:tcPr>
            <w:tcW w:w="996" w:type="pct"/>
            <w:tcBorders>
              <w:top w:val="single" w:sz="4" w:space="0" w:color="auto"/>
              <w:left w:val="single" w:sz="4" w:space="0" w:color="auto"/>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S2</w:t>
            </w:r>
            <w:r w:rsidRPr="00CC4576">
              <w:rPr>
                <w:bCs/>
                <w:sz w:val="21"/>
              </w:rPr>
              <w:t>断面</w:t>
            </w:r>
          </w:p>
        </w:tc>
        <w:tc>
          <w:tcPr>
            <w:tcW w:w="2278"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两岔口上游</w:t>
            </w:r>
            <w:r w:rsidRPr="00CC4576">
              <w:rPr>
                <w:rFonts w:ascii="Times New Roman" w:hAnsi="Times New Roman" w:cs="Times New Roman"/>
                <w:bCs/>
                <w:sz w:val="21"/>
                <w:szCs w:val="21"/>
              </w:rPr>
              <w:t>500m</w:t>
            </w:r>
            <w:r w:rsidRPr="00CC4576">
              <w:rPr>
                <w:rFonts w:ascii="Times New Roman" w:eastAsia="宋体" w:hAnsi="Times New Roman" w:cs="Times New Roman"/>
                <w:bCs/>
                <w:sz w:val="21"/>
                <w:szCs w:val="21"/>
              </w:rPr>
              <w:t>石洞子河</w:t>
            </w:r>
          </w:p>
        </w:tc>
        <w:tc>
          <w:tcPr>
            <w:tcW w:w="1726"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对照断面</w:t>
            </w:r>
          </w:p>
        </w:tc>
      </w:tr>
      <w:tr w:rsidR="00CC4576" w:rsidRPr="00CC4576" w:rsidTr="00CC4576">
        <w:trPr>
          <w:trHeight w:val="340"/>
        </w:trPr>
        <w:tc>
          <w:tcPr>
            <w:tcW w:w="996" w:type="pct"/>
            <w:tcBorders>
              <w:top w:val="single" w:sz="4" w:space="0" w:color="auto"/>
              <w:left w:val="single" w:sz="4" w:space="0" w:color="auto"/>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rFonts w:eastAsia="楷体_GB2312"/>
                <w:bCs/>
                <w:sz w:val="21"/>
              </w:rPr>
            </w:pPr>
            <w:r w:rsidRPr="00CC4576">
              <w:rPr>
                <w:bCs/>
                <w:sz w:val="21"/>
              </w:rPr>
              <w:t>S3</w:t>
            </w:r>
            <w:r w:rsidRPr="00CC4576">
              <w:rPr>
                <w:bCs/>
                <w:sz w:val="21"/>
              </w:rPr>
              <w:t>断面</w:t>
            </w:r>
          </w:p>
        </w:tc>
        <w:tc>
          <w:tcPr>
            <w:tcW w:w="2278"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坝址下游</w:t>
            </w:r>
            <w:r w:rsidRPr="00CC4576">
              <w:rPr>
                <w:rFonts w:ascii="Times New Roman" w:hAnsi="Times New Roman" w:cs="Times New Roman"/>
                <w:bCs/>
                <w:sz w:val="21"/>
                <w:szCs w:val="21"/>
              </w:rPr>
              <w:t>500m</w:t>
            </w:r>
          </w:p>
        </w:tc>
        <w:tc>
          <w:tcPr>
            <w:tcW w:w="1726"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控制断面</w:t>
            </w:r>
          </w:p>
        </w:tc>
      </w:tr>
      <w:tr w:rsidR="00CC4576" w:rsidRPr="00CC4576" w:rsidTr="00CC4576">
        <w:trPr>
          <w:trHeight w:val="340"/>
        </w:trPr>
        <w:tc>
          <w:tcPr>
            <w:tcW w:w="996" w:type="pct"/>
            <w:tcBorders>
              <w:top w:val="single" w:sz="4" w:space="0" w:color="auto"/>
              <w:left w:val="single" w:sz="4" w:space="0" w:color="auto"/>
              <w:bottom w:val="single" w:sz="4" w:space="0" w:color="auto"/>
              <w:right w:val="single" w:sz="4" w:space="0" w:color="auto"/>
            </w:tcBorders>
            <w:vAlign w:val="center"/>
            <w:hideMark/>
          </w:tcPr>
          <w:p w:rsidR="00CC4576" w:rsidRPr="00CC4576" w:rsidRDefault="00CC4576" w:rsidP="00CC4576">
            <w:pPr>
              <w:spacing w:line="240" w:lineRule="auto"/>
              <w:ind w:firstLineChars="0" w:firstLine="0"/>
              <w:jc w:val="center"/>
              <w:rPr>
                <w:bCs/>
                <w:sz w:val="21"/>
              </w:rPr>
            </w:pPr>
            <w:r w:rsidRPr="00CC4576">
              <w:rPr>
                <w:bCs/>
                <w:sz w:val="21"/>
              </w:rPr>
              <w:t>S4</w:t>
            </w:r>
            <w:r w:rsidRPr="00CC4576">
              <w:rPr>
                <w:bCs/>
                <w:sz w:val="21"/>
              </w:rPr>
              <w:t>断面</w:t>
            </w:r>
          </w:p>
        </w:tc>
        <w:tc>
          <w:tcPr>
            <w:tcW w:w="2278"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坝址下游</w:t>
            </w:r>
            <w:r w:rsidRPr="00CC4576">
              <w:rPr>
                <w:rFonts w:ascii="Times New Roman" w:hAnsi="Times New Roman" w:cs="Times New Roman"/>
                <w:bCs/>
                <w:sz w:val="21"/>
                <w:szCs w:val="21"/>
              </w:rPr>
              <w:t>1000m</w:t>
            </w:r>
          </w:p>
        </w:tc>
        <w:tc>
          <w:tcPr>
            <w:tcW w:w="1726" w:type="pct"/>
            <w:tcBorders>
              <w:top w:val="single" w:sz="4" w:space="0" w:color="auto"/>
              <w:left w:val="nil"/>
              <w:bottom w:val="single" w:sz="4" w:space="0" w:color="auto"/>
              <w:right w:val="single" w:sz="4" w:space="0" w:color="auto"/>
            </w:tcBorders>
            <w:vAlign w:val="center"/>
            <w:hideMark/>
          </w:tcPr>
          <w:p w:rsidR="00CC4576" w:rsidRPr="00CC4576" w:rsidRDefault="00CC4576" w:rsidP="00CC4576">
            <w:pPr>
              <w:pStyle w:val="af2"/>
              <w:spacing w:line="240" w:lineRule="auto"/>
              <w:rPr>
                <w:rFonts w:ascii="Times New Roman" w:eastAsia="宋体" w:hAnsi="Times New Roman" w:cs="Times New Roman"/>
                <w:bCs/>
                <w:sz w:val="21"/>
                <w:szCs w:val="21"/>
              </w:rPr>
            </w:pPr>
            <w:r w:rsidRPr="00CC4576">
              <w:rPr>
                <w:rFonts w:ascii="Times New Roman" w:eastAsia="宋体" w:hAnsi="Times New Roman" w:cs="Times New Roman"/>
                <w:bCs/>
                <w:sz w:val="21"/>
                <w:szCs w:val="21"/>
              </w:rPr>
              <w:t>削减断面</w:t>
            </w:r>
          </w:p>
        </w:tc>
      </w:tr>
    </w:tbl>
    <w:p w:rsidR="00CC4576" w:rsidRDefault="00CC4576" w:rsidP="00CC4576">
      <w:pPr>
        <w:ind w:firstLine="480"/>
      </w:pPr>
      <w:r>
        <w:rPr>
          <w:rFonts w:hint="eastAsia"/>
        </w:rPr>
        <w:t>（</w:t>
      </w:r>
      <w:r>
        <w:rPr>
          <w:rFonts w:hint="eastAsia"/>
        </w:rPr>
        <w:t>3</w:t>
      </w:r>
      <w:r>
        <w:rPr>
          <w:rFonts w:hint="eastAsia"/>
        </w:rPr>
        <w:t>）监测时间及频次</w:t>
      </w:r>
    </w:p>
    <w:p w:rsidR="00CC4576" w:rsidRDefault="00CC4576" w:rsidP="00CC4576">
      <w:pPr>
        <w:ind w:firstLine="480"/>
      </w:pPr>
      <w:r>
        <w:rPr>
          <w:rFonts w:hint="eastAsia"/>
        </w:rPr>
        <w:t>于</w:t>
      </w:r>
      <w:r>
        <w:rPr>
          <w:rFonts w:hint="eastAsia"/>
        </w:rPr>
        <w:t>2021</w:t>
      </w:r>
      <w:r>
        <w:rPr>
          <w:rFonts w:hint="eastAsia"/>
        </w:rPr>
        <w:t>年</w:t>
      </w:r>
      <w:r>
        <w:rPr>
          <w:rFonts w:hint="eastAsia"/>
        </w:rPr>
        <w:t>7</w:t>
      </w:r>
      <w:r>
        <w:rPr>
          <w:rFonts w:hint="eastAsia"/>
        </w:rPr>
        <w:t>月</w:t>
      </w:r>
      <w:r>
        <w:rPr>
          <w:rFonts w:hint="eastAsia"/>
        </w:rPr>
        <w:t>21</w:t>
      </w:r>
      <w:r>
        <w:rPr>
          <w:rFonts w:hint="eastAsia"/>
        </w:rPr>
        <w:t>日</w:t>
      </w:r>
      <w:r>
        <w:rPr>
          <w:rFonts w:hint="eastAsia"/>
        </w:rPr>
        <w:t>7</w:t>
      </w:r>
      <w:r>
        <w:rPr>
          <w:rFonts w:hint="eastAsia"/>
        </w:rPr>
        <w:t>月</w:t>
      </w:r>
      <w:r>
        <w:rPr>
          <w:rFonts w:hint="eastAsia"/>
        </w:rPr>
        <w:t>23</w:t>
      </w:r>
      <w:r>
        <w:rPr>
          <w:rFonts w:hint="eastAsia"/>
        </w:rPr>
        <w:t>日至连续调查取样</w:t>
      </w:r>
      <w:r>
        <w:rPr>
          <w:rFonts w:hint="eastAsia"/>
        </w:rPr>
        <w:t>3d</w:t>
      </w:r>
      <w:r>
        <w:rPr>
          <w:rFonts w:hint="eastAsia"/>
        </w:rPr>
        <w:t>，每个水质取样点取一组水样。水温观测频次，应每间隔</w:t>
      </w:r>
      <w:r>
        <w:rPr>
          <w:rFonts w:hint="eastAsia"/>
        </w:rPr>
        <w:t>6h</w:t>
      </w:r>
      <w:r>
        <w:rPr>
          <w:rFonts w:hint="eastAsia"/>
        </w:rPr>
        <w:t>观测一次水温，统计计算日平均水温。</w:t>
      </w:r>
    </w:p>
    <w:p w:rsidR="00CC4576" w:rsidRDefault="00CC4576" w:rsidP="00CC4576">
      <w:pPr>
        <w:adjustRightInd w:val="0"/>
        <w:ind w:firstLine="480"/>
      </w:pPr>
      <w:r>
        <w:rPr>
          <w:rFonts w:hint="eastAsia"/>
        </w:rPr>
        <w:t>（</w:t>
      </w:r>
      <w:r>
        <w:rPr>
          <w:rFonts w:hint="eastAsia"/>
        </w:rPr>
        <w:t>4</w:t>
      </w:r>
      <w:r>
        <w:rPr>
          <w:rFonts w:hint="eastAsia"/>
        </w:rPr>
        <w:t>）检测分析</w:t>
      </w:r>
      <w:r>
        <w:t>方法</w:t>
      </w:r>
    </w:p>
    <w:p w:rsidR="00CC4576" w:rsidRDefault="00CC4576">
      <w:pPr>
        <w:ind w:firstLine="480"/>
      </w:pPr>
      <w:r>
        <w:rPr>
          <w:rFonts w:hint="eastAsia"/>
        </w:rPr>
        <w:t>地表水检测、分析方法如下表所示：</w:t>
      </w:r>
    </w:p>
    <w:p w:rsidR="00CC4576" w:rsidRPr="00CC4576" w:rsidRDefault="00CC4576" w:rsidP="00CC4576">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地表水检测、分析方法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679"/>
        <w:gridCol w:w="2768"/>
        <w:gridCol w:w="2078"/>
        <w:gridCol w:w="1144"/>
      </w:tblGrid>
      <w:tr w:rsidR="00CC4576" w:rsidRPr="00CC4576" w:rsidTr="006A223A">
        <w:trPr>
          <w:trHeight w:val="340"/>
          <w:jc w:val="center"/>
        </w:trPr>
        <w:tc>
          <w:tcPr>
            <w:tcW w:w="500" w:type="pct"/>
            <w:vAlign w:val="center"/>
            <w:hideMark/>
          </w:tcPr>
          <w:p w:rsidR="00CC4576" w:rsidRPr="00CC4576" w:rsidRDefault="00CC4576" w:rsidP="00CC4576">
            <w:pPr>
              <w:autoSpaceDE w:val="0"/>
              <w:adjustRightInd w:val="0"/>
              <w:snapToGrid w:val="0"/>
              <w:spacing w:line="240" w:lineRule="auto"/>
              <w:ind w:firstLineChars="0" w:firstLine="0"/>
              <w:jc w:val="center"/>
              <w:rPr>
                <w:sz w:val="21"/>
              </w:rPr>
            </w:pPr>
            <w:r w:rsidRPr="00CC4576">
              <w:rPr>
                <w:rFonts w:hint="eastAsia"/>
                <w:sz w:val="21"/>
              </w:rPr>
              <w:t>序号</w:t>
            </w:r>
          </w:p>
        </w:tc>
        <w:tc>
          <w:tcPr>
            <w:tcW w:w="985" w:type="pct"/>
            <w:vAlign w:val="center"/>
            <w:hideMark/>
          </w:tcPr>
          <w:p w:rsidR="00CC4576" w:rsidRPr="00CC4576" w:rsidRDefault="00CC4576" w:rsidP="00CC4576">
            <w:pPr>
              <w:autoSpaceDE w:val="0"/>
              <w:adjustRightInd w:val="0"/>
              <w:snapToGrid w:val="0"/>
              <w:spacing w:line="240" w:lineRule="auto"/>
              <w:ind w:firstLineChars="0" w:firstLine="0"/>
              <w:jc w:val="center"/>
              <w:rPr>
                <w:sz w:val="21"/>
              </w:rPr>
            </w:pPr>
            <w:r w:rsidRPr="00CC4576">
              <w:rPr>
                <w:sz w:val="21"/>
              </w:rPr>
              <w:t>检测项目</w:t>
            </w:r>
          </w:p>
        </w:tc>
        <w:tc>
          <w:tcPr>
            <w:tcW w:w="1624" w:type="pct"/>
            <w:vAlign w:val="center"/>
            <w:hideMark/>
          </w:tcPr>
          <w:p w:rsidR="00CC4576" w:rsidRPr="00CC4576" w:rsidRDefault="00CC4576" w:rsidP="00CC4576">
            <w:pPr>
              <w:autoSpaceDE w:val="0"/>
              <w:adjustRightInd w:val="0"/>
              <w:snapToGrid w:val="0"/>
              <w:spacing w:line="240" w:lineRule="auto"/>
              <w:ind w:firstLineChars="0" w:firstLine="0"/>
              <w:jc w:val="center"/>
              <w:rPr>
                <w:sz w:val="21"/>
              </w:rPr>
            </w:pPr>
            <w:r w:rsidRPr="00CC4576">
              <w:rPr>
                <w:sz w:val="21"/>
              </w:rPr>
              <w:t>标准方法名称</w:t>
            </w:r>
          </w:p>
        </w:tc>
        <w:tc>
          <w:tcPr>
            <w:tcW w:w="1219" w:type="pct"/>
            <w:vAlign w:val="center"/>
            <w:hideMark/>
          </w:tcPr>
          <w:p w:rsidR="00CC4576" w:rsidRPr="00CC4576" w:rsidRDefault="00CC4576" w:rsidP="00CC4576">
            <w:pPr>
              <w:autoSpaceDE w:val="0"/>
              <w:adjustRightInd w:val="0"/>
              <w:snapToGrid w:val="0"/>
              <w:spacing w:line="240" w:lineRule="auto"/>
              <w:ind w:firstLineChars="0" w:firstLine="0"/>
              <w:jc w:val="center"/>
              <w:rPr>
                <w:sz w:val="21"/>
              </w:rPr>
            </w:pPr>
            <w:r w:rsidRPr="00CC4576">
              <w:rPr>
                <w:sz w:val="21"/>
              </w:rPr>
              <w:t>检测仪器及编号</w:t>
            </w:r>
          </w:p>
        </w:tc>
        <w:tc>
          <w:tcPr>
            <w:tcW w:w="671" w:type="pct"/>
            <w:vAlign w:val="center"/>
            <w:hideMark/>
          </w:tcPr>
          <w:p w:rsidR="00CC4576" w:rsidRPr="00CC4576" w:rsidRDefault="00CC4576" w:rsidP="00CC4576">
            <w:pPr>
              <w:autoSpaceDE w:val="0"/>
              <w:adjustRightInd w:val="0"/>
              <w:snapToGrid w:val="0"/>
              <w:spacing w:line="240" w:lineRule="auto"/>
              <w:ind w:firstLineChars="0" w:firstLine="0"/>
              <w:jc w:val="center"/>
              <w:rPr>
                <w:sz w:val="21"/>
              </w:rPr>
            </w:pPr>
            <w:r w:rsidRPr="00CC4576">
              <w:rPr>
                <w:sz w:val="21"/>
              </w:rPr>
              <w:t>检出限</w:t>
            </w:r>
          </w:p>
        </w:tc>
      </w:tr>
      <w:tr w:rsidR="00CC4576" w:rsidRPr="00CC4576" w:rsidTr="006A223A">
        <w:trPr>
          <w:trHeight w:val="340"/>
          <w:jc w:val="center"/>
        </w:trPr>
        <w:tc>
          <w:tcPr>
            <w:tcW w:w="500" w:type="pct"/>
            <w:vAlign w:val="center"/>
            <w:hideMark/>
          </w:tcPr>
          <w:p w:rsidR="00CC4576" w:rsidRPr="00CC4576" w:rsidRDefault="00CC4576"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1</w:t>
            </w:r>
          </w:p>
        </w:tc>
        <w:tc>
          <w:tcPr>
            <w:tcW w:w="985"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水温</w:t>
            </w:r>
          </w:p>
        </w:tc>
        <w:tc>
          <w:tcPr>
            <w:tcW w:w="1624"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水温的测定</w:t>
            </w:r>
            <w:r w:rsidRPr="00CC4576">
              <w:rPr>
                <w:sz w:val="21"/>
              </w:rPr>
              <w:t xml:space="preserve"> </w:t>
            </w:r>
            <w:r w:rsidRPr="00CC4576">
              <w:rPr>
                <w:sz w:val="21"/>
              </w:rPr>
              <w:t>温度计或颠倒温度计</w:t>
            </w:r>
            <w:r w:rsidRPr="00CC4576">
              <w:rPr>
                <w:sz w:val="21"/>
              </w:rPr>
              <w:t xml:space="preserve"> </w:t>
            </w:r>
            <w:r w:rsidRPr="00CC4576">
              <w:rPr>
                <w:sz w:val="21"/>
              </w:rPr>
              <w:t>测定法</w:t>
            </w:r>
            <w:r w:rsidRPr="00CC4576">
              <w:rPr>
                <w:sz w:val="21"/>
              </w:rPr>
              <w:t xml:space="preserve"> </w:t>
            </w:r>
          </w:p>
          <w:p w:rsidR="00CC4576" w:rsidRPr="00CC4576" w:rsidRDefault="00CC4576" w:rsidP="00CC4576">
            <w:pPr>
              <w:autoSpaceDE w:val="0"/>
              <w:spacing w:line="240" w:lineRule="auto"/>
              <w:ind w:firstLineChars="0" w:firstLine="0"/>
              <w:jc w:val="center"/>
              <w:textAlignment w:val="center"/>
              <w:rPr>
                <w:sz w:val="21"/>
              </w:rPr>
            </w:pPr>
            <w:r w:rsidRPr="00CC4576">
              <w:rPr>
                <w:sz w:val="21"/>
              </w:rPr>
              <w:t>GB 13195-1991</w:t>
            </w:r>
          </w:p>
        </w:tc>
        <w:tc>
          <w:tcPr>
            <w:tcW w:w="1219"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rFonts w:hint="eastAsia"/>
                <w:sz w:val="21"/>
              </w:rPr>
              <w:t>PH-100</w:t>
            </w:r>
          </w:p>
          <w:p w:rsidR="00CC4576" w:rsidRPr="00CC4576" w:rsidRDefault="00CC4576" w:rsidP="00CC4576">
            <w:pPr>
              <w:autoSpaceDE w:val="0"/>
              <w:spacing w:line="240" w:lineRule="auto"/>
              <w:ind w:firstLineChars="0" w:firstLine="0"/>
              <w:jc w:val="center"/>
              <w:textAlignment w:val="center"/>
              <w:rPr>
                <w:sz w:val="21"/>
              </w:rPr>
            </w:pPr>
            <w:r w:rsidRPr="00CC4576">
              <w:rPr>
                <w:rFonts w:hint="eastAsia"/>
                <w:sz w:val="21"/>
              </w:rPr>
              <w:t>笔式酸度计</w:t>
            </w:r>
            <w:r w:rsidR="00E97427">
              <w:rPr>
                <w:sz w:val="21"/>
              </w:rPr>
              <w:t>（</w:t>
            </w:r>
            <w:r w:rsidRPr="00CC4576">
              <w:rPr>
                <w:sz w:val="21"/>
              </w:rPr>
              <w:t>QS-XC0</w:t>
            </w:r>
            <w:r w:rsidRPr="00CC4576">
              <w:rPr>
                <w:rFonts w:hint="eastAsia"/>
                <w:sz w:val="21"/>
              </w:rPr>
              <w:t>28</w:t>
            </w:r>
            <w:r w:rsidR="00E97427">
              <w:rPr>
                <w:sz w:val="21"/>
              </w:rPr>
              <w:t>）</w:t>
            </w:r>
          </w:p>
        </w:tc>
        <w:tc>
          <w:tcPr>
            <w:tcW w:w="671" w:type="pct"/>
            <w:vAlign w:val="center"/>
            <w:hideMark/>
          </w:tcPr>
          <w:p w:rsidR="00CC4576" w:rsidRPr="00CC4576" w:rsidRDefault="00CC4576" w:rsidP="00CC4576">
            <w:pPr>
              <w:autoSpaceDE w:val="0"/>
              <w:spacing w:line="240" w:lineRule="auto"/>
              <w:ind w:firstLineChars="0" w:firstLine="0"/>
              <w:jc w:val="center"/>
              <w:rPr>
                <w:sz w:val="21"/>
              </w:rPr>
            </w:pPr>
            <w:r w:rsidRPr="00CC4576">
              <w:rPr>
                <w:sz w:val="21"/>
              </w:rPr>
              <w:t>分度值：</w:t>
            </w:r>
            <w:r w:rsidRPr="00CC4576">
              <w:rPr>
                <w:sz w:val="21"/>
              </w:rPr>
              <w:t>0.1</w:t>
            </w:r>
            <w:r w:rsidRPr="00CC4576">
              <w:rPr>
                <w:rFonts w:ascii="宋体" w:hAnsi="宋体" w:cs="宋体" w:hint="eastAsia"/>
                <w:sz w:val="21"/>
              </w:rPr>
              <w:t>℃</w:t>
            </w:r>
          </w:p>
        </w:tc>
      </w:tr>
      <w:tr w:rsidR="00CC4576" w:rsidRPr="00CC4576" w:rsidTr="006A223A">
        <w:trPr>
          <w:trHeight w:val="340"/>
          <w:jc w:val="center"/>
        </w:trPr>
        <w:tc>
          <w:tcPr>
            <w:tcW w:w="500" w:type="pct"/>
            <w:vAlign w:val="center"/>
          </w:tcPr>
          <w:p w:rsidR="00CC4576" w:rsidRPr="00CC4576" w:rsidRDefault="00CC4576"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2</w:t>
            </w:r>
          </w:p>
        </w:tc>
        <w:tc>
          <w:tcPr>
            <w:tcW w:w="985"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pH</w:t>
            </w:r>
            <w:r w:rsidRPr="00CC4576">
              <w:rPr>
                <w:rFonts w:ascii="宋体" w:hAnsi="宋体"/>
                <w:sz w:val="21"/>
              </w:rPr>
              <w:t>值</w:t>
            </w:r>
          </w:p>
        </w:tc>
        <w:tc>
          <w:tcPr>
            <w:tcW w:w="1624" w:type="pct"/>
            <w:vAlign w:val="center"/>
            <w:hideMark/>
          </w:tcPr>
          <w:p w:rsidR="00CC4576" w:rsidRPr="00CC4576" w:rsidRDefault="00CC4576" w:rsidP="00CC4576">
            <w:pPr>
              <w:autoSpaceDE w:val="0"/>
              <w:spacing w:line="240" w:lineRule="auto"/>
              <w:ind w:firstLineChars="0" w:firstLine="0"/>
              <w:jc w:val="center"/>
              <w:rPr>
                <w:sz w:val="21"/>
              </w:rPr>
            </w:pPr>
            <w:r w:rsidRPr="00CC4576">
              <w:rPr>
                <w:sz w:val="21"/>
              </w:rPr>
              <w:t>便携式</w:t>
            </w:r>
            <w:r w:rsidRPr="00CC4576">
              <w:rPr>
                <w:sz w:val="21"/>
              </w:rPr>
              <w:t>pH</w:t>
            </w:r>
            <w:r w:rsidRPr="00CC4576">
              <w:rPr>
                <w:rFonts w:ascii="宋体" w:hAnsi="宋体"/>
                <w:sz w:val="21"/>
              </w:rPr>
              <w:t>计法 《水和废水监测分析方法》（第四版增补版）国家环境保护总局</w:t>
            </w:r>
            <w:r w:rsidRPr="00CC4576">
              <w:rPr>
                <w:sz w:val="21"/>
              </w:rPr>
              <w:t>2002</w:t>
            </w:r>
            <w:r w:rsidRPr="00CC4576">
              <w:rPr>
                <w:rFonts w:ascii="宋体" w:hAnsi="宋体"/>
                <w:sz w:val="21"/>
              </w:rPr>
              <w:t>年 第三篇第一章第六节（二）</w:t>
            </w:r>
          </w:p>
        </w:tc>
        <w:tc>
          <w:tcPr>
            <w:tcW w:w="1219"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rFonts w:hint="eastAsia"/>
                <w:sz w:val="21"/>
              </w:rPr>
              <w:t>PH-100</w:t>
            </w:r>
          </w:p>
          <w:p w:rsidR="00CC4576" w:rsidRPr="00CC4576" w:rsidRDefault="00CC4576" w:rsidP="00CC4576">
            <w:pPr>
              <w:autoSpaceDE w:val="0"/>
              <w:spacing w:line="240" w:lineRule="auto"/>
              <w:ind w:firstLineChars="0" w:firstLine="0"/>
              <w:jc w:val="center"/>
              <w:textAlignment w:val="center"/>
              <w:rPr>
                <w:sz w:val="21"/>
              </w:rPr>
            </w:pPr>
            <w:r w:rsidRPr="00CC4576">
              <w:rPr>
                <w:rFonts w:hint="eastAsia"/>
                <w:sz w:val="21"/>
              </w:rPr>
              <w:t>笔式酸度计</w:t>
            </w:r>
            <w:r w:rsidR="00E97427">
              <w:rPr>
                <w:sz w:val="21"/>
              </w:rPr>
              <w:t>（</w:t>
            </w:r>
            <w:r w:rsidRPr="00CC4576">
              <w:rPr>
                <w:sz w:val="21"/>
              </w:rPr>
              <w:t>QS-XC0</w:t>
            </w:r>
            <w:r w:rsidRPr="00CC4576">
              <w:rPr>
                <w:rFonts w:hint="eastAsia"/>
                <w:sz w:val="21"/>
              </w:rPr>
              <w:t>28</w:t>
            </w:r>
            <w:r w:rsidR="00E97427">
              <w:rPr>
                <w:sz w:val="21"/>
              </w:rPr>
              <w:t>）</w:t>
            </w:r>
          </w:p>
        </w:tc>
        <w:tc>
          <w:tcPr>
            <w:tcW w:w="671"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解析度：</w:t>
            </w:r>
            <w:r w:rsidRPr="00CC4576">
              <w:rPr>
                <w:sz w:val="21"/>
              </w:rPr>
              <w:t>0.01pH</w:t>
            </w:r>
          </w:p>
        </w:tc>
      </w:tr>
      <w:tr w:rsidR="00CC4576" w:rsidRPr="00CC4576" w:rsidTr="006A223A">
        <w:trPr>
          <w:trHeight w:val="340"/>
          <w:jc w:val="center"/>
        </w:trPr>
        <w:tc>
          <w:tcPr>
            <w:tcW w:w="500" w:type="pct"/>
            <w:vAlign w:val="center"/>
          </w:tcPr>
          <w:p w:rsidR="00CC4576" w:rsidRPr="00CC4576" w:rsidRDefault="00CC4576"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3</w:t>
            </w:r>
          </w:p>
        </w:tc>
        <w:tc>
          <w:tcPr>
            <w:tcW w:w="985"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溶解氧</w:t>
            </w:r>
          </w:p>
        </w:tc>
        <w:tc>
          <w:tcPr>
            <w:tcW w:w="1624"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溶解氧的测定</w:t>
            </w:r>
            <w:r w:rsidRPr="00CC4576">
              <w:rPr>
                <w:sz w:val="21"/>
              </w:rPr>
              <w:t xml:space="preserve"> </w:t>
            </w:r>
            <w:r w:rsidRPr="00CC4576">
              <w:rPr>
                <w:sz w:val="21"/>
              </w:rPr>
              <w:t>电化学探头法</w:t>
            </w:r>
            <w:r w:rsidRPr="00CC4576">
              <w:rPr>
                <w:sz w:val="21"/>
              </w:rPr>
              <w:t xml:space="preserve"> HJ 506-2009</w:t>
            </w:r>
          </w:p>
        </w:tc>
        <w:tc>
          <w:tcPr>
            <w:tcW w:w="1219"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JPB-607A</w:t>
            </w:r>
          </w:p>
          <w:p w:rsidR="00CC4576" w:rsidRPr="00CC4576" w:rsidRDefault="00CC4576" w:rsidP="00CC4576">
            <w:pPr>
              <w:autoSpaceDE w:val="0"/>
              <w:spacing w:line="240" w:lineRule="auto"/>
              <w:ind w:firstLineChars="0" w:firstLine="0"/>
              <w:jc w:val="center"/>
              <w:textAlignment w:val="center"/>
              <w:rPr>
                <w:sz w:val="21"/>
              </w:rPr>
            </w:pPr>
            <w:r w:rsidRPr="00CC4576">
              <w:rPr>
                <w:sz w:val="21"/>
              </w:rPr>
              <w:t>便携式溶解氧测定仪</w:t>
            </w:r>
            <w:r w:rsidR="00E97427">
              <w:rPr>
                <w:sz w:val="21"/>
              </w:rPr>
              <w:t>（</w:t>
            </w:r>
            <w:r w:rsidRPr="00CC4576">
              <w:rPr>
                <w:sz w:val="21"/>
              </w:rPr>
              <w:t>QS-XC0</w:t>
            </w:r>
            <w:r w:rsidRPr="00CC4576">
              <w:rPr>
                <w:rFonts w:hint="eastAsia"/>
                <w:sz w:val="21"/>
              </w:rPr>
              <w:t>72</w:t>
            </w:r>
            <w:r w:rsidR="00E97427">
              <w:rPr>
                <w:sz w:val="21"/>
              </w:rPr>
              <w:t>）</w:t>
            </w:r>
          </w:p>
        </w:tc>
        <w:tc>
          <w:tcPr>
            <w:tcW w:w="671"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w:t>
            </w:r>
          </w:p>
        </w:tc>
      </w:tr>
      <w:tr w:rsidR="003B1225" w:rsidRPr="00CC4576" w:rsidTr="006A223A">
        <w:trPr>
          <w:trHeight w:val="340"/>
          <w:jc w:val="center"/>
        </w:trPr>
        <w:tc>
          <w:tcPr>
            <w:tcW w:w="500" w:type="pct"/>
            <w:vAlign w:val="center"/>
          </w:tcPr>
          <w:p w:rsidR="00CC4576" w:rsidRPr="00CC4576" w:rsidRDefault="00CC4576"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4</w:t>
            </w:r>
          </w:p>
        </w:tc>
        <w:tc>
          <w:tcPr>
            <w:tcW w:w="985"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高锰酸盐指数</w:t>
            </w:r>
          </w:p>
        </w:tc>
        <w:tc>
          <w:tcPr>
            <w:tcW w:w="1624" w:type="pct"/>
            <w:vAlign w:val="center"/>
            <w:hideMark/>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高锰酸盐指数的测定</w:t>
            </w:r>
            <w:r w:rsidRPr="00CC4576">
              <w:rPr>
                <w:sz w:val="21"/>
              </w:rPr>
              <w:t>GB 11892-1989</w:t>
            </w:r>
          </w:p>
        </w:tc>
        <w:tc>
          <w:tcPr>
            <w:tcW w:w="1219" w:type="pct"/>
            <w:vAlign w:val="center"/>
            <w:hideMark/>
          </w:tcPr>
          <w:p w:rsidR="00CC4576" w:rsidRPr="00CC4576" w:rsidRDefault="00CC4576" w:rsidP="00CC4576">
            <w:pPr>
              <w:autoSpaceDE w:val="0"/>
              <w:spacing w:line="240" w:lineRule="auto"/>
              <w:ind w:firstLineChars="0" w:firstLine="0"/>
              <w:jc w:val="center"/>
              <w:rPr>
                <w:sz w:val="21"/>
              </w:rPr>
            </w:pPr>
            <w:r w:rsidRPr="00CC4576">
              <w:rPr>
                <w:sz w:val="21"/>
              </w:rPr>
              <w:t>50mL</w:t>
            </w:r>
            <w:r w:rsidRPr="00CC4576">
              <w:rPr>
                <w:rFonts w:ascii="宋体" w:hAnsi="宋体"/>
                <w:sz w:val="21"/>
              </w:rPr>
              <w:t>滴定管</w:t>
            </w:r>
          </w:p>
        </w:tc>
        <w:tc>
          <w:tcPr>
            <w:tcW w:w="671" w:type="pct"/>
            <w:vAlign w:val="center"/>
            <w:hideMark/>
          </w:tcPr>
          <w:p w:rsidR="00CC4576" w:rsidRPr="00CC4576" w:rsidRDefault="00CC4576" w:rsidP="00CC4576">
            <w:pPr>
              <w:autoSpaceDE w:val="0"/>
              <w:spacing w:line="240" w:lineRule="auto"/>
              <w:ind w:firstLineChars="0" w:firstLine="0"/>
              <w:jc w:val="center"/>
              <w:rPr>
                <w:sz w:val="21"/>
              </w:rPr>
            </w:pPr>
            <w:r w:rsidRPr="00CC4576">
              <w:rPr>
                <w:sz w:val="21"/>
              </w:rPr>
              <w:t>0.5mg/L</w:t>
            </w:r>
          </w:p>
        </w:tc>
      </w:tr>
      <w:tr w:rsidR="00CC4576" w:rsidRPr="00CC4576" w:rsidTr="006A223A">
        <w:trPr>
          <w:trHeight w:val="340"/>
          <w:jc w:val="center"/>
        </w:trPr>
        <w:tc>
          <w:tcPr>
            <w:tcW w:w="500" w:type="pct"/>
            <w:vAlign w:val="center"/>
          </w:tcPr>
          <w:p w:rsidR="00CC4576" w:rsidRPr="00CC4576" w:rsidRDefault="00CC4576"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5</w:t>
            </w:r>
          </w:p>
        </w:tc>
        <w:tc>
          <w:tcPr>
            <w:tcW w:w="985"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五日生化需氧量</w:t>
            </w:r>
          </w:p>
        </w:tc>
        <w:tc>
          <w:tcPr>
            <w:tcW w:w="1624"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五日生化需氧量</w:t>
            </w:r>
            <w:r w:rsidR="00E97427">
              <w:rPr>
                <w:sz w:val="21"/>
              </w:rPr>
              <w:t>（</w:t>
            </w:r>
            <w:r w:rsidRPr="00CC4576">
              <w:rPr>
                <w:sz w:val="21"/>
              </w:rPr>
              <w:t>BOD</w:t>
            </w:r>
            <w:r w:rsidRPr="00CC4576">
              <w:rPr>
                <w:sz w:val="21"/>
                <w:vertAlign w:val="subscript"/>
              </w:rPr>
              <w:t>5</w:t>
            </w:r>
            <w:r w:rsidR="00E97427">
              <w:rPr>
                <w:sz w:val="21"/>
              </w:rPr>
              <w:t>）</w:t>
            </w:r>
            <w:r w:rsidRPr="00CC4576">
              <w:rPr>
                <w:rFonts w:ascii="宋体" w:hAnsi="宋体"/>
                <w:sz w:val="21"/>
              </w:rPr>
              <w:t>的测定 稀释与接种法</w:t>
            </w:r>
            <w:r w:rsidRPr="00CC4576">
              <w:rPr>
                <w:sz w:val="21"/>
              </w:rPr>
              <w:t>HJ 505-2009</w:t>
            </w:r>
          </w:p>
        </w:tc>
        <w:tc>
          <w:tcPr>
            <w:tcW w:w="1219"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LRH-150</w:t>
            </w:r>
          </w:p>
          <w:p w:rsidR="00CC4576" w:rsidRPr="00CC4576" w:rsidRDefault="00CC4576" w:rsidP="00CC4576">
            <w:pPr>
              <w:autoSpaceDE w:val="0"/>
              <w:spacing w:line="240" w:lineRule="auto"/>
              <w:ind w:firstLineChars="0" w:firstLine="0"/>
              <w:jc w:val="center"/>
              <w:textAlignment w:val="center"/>
              <w:rPr>
                <w:sz w:val="21"/>
              </w:rPr>
            </w:pPr>
            <w:r w:rsidRPr="00CC4576">
              <w:rPr>
                <w:sz w:val="21"/>
              </w:rPr>
              <w:t>生化培养箱</w:t>
            </w:r>
            <w:r w:rsidR="00E97427">
              <w:rPr>
                <w:sz w:val="21"/>
              </w:rPr>
              <w:t>（</w:t>
            </w:r>
            <w:r w:rsidRPr="00CC4576">
              <w:rPr>
                <w:sz w:val="21"/>
              </w:rPr>
              <w:t>QS-FX069</w:t>
            </w:r>
            <w:r w:rsidR="00E97427">
              <w:rPr>
                <w:sz w:val="21"/>
              </w:rPr>
              <w:t>）</w:t>
            </w:r>
          </w:p>
        </w:tc>
        <w:tc>
          <w:tcPr>
            <w:tcW w:w="671" w:type="pct"/>
            <w:vAlign w:val="center"/>
          </w:tcPr>
          <w:p w:rsidR="00CC4576" w:rsidRPr="00CC4576" w:rsidRDefault="00CC4576" w:rsidP="00CC4576">
            <w:pPr>
              <w:autoSpaceDE w:val="0"/>
              <w:spacing w:line="240" w:lineRule="auto"/>
              <w:ind w:firstLineChars="0" w:firstLine="0"/>
              <w:jc w:val="center"/>
              <w:rPr>
                <w:sz w:val="21"/>
              </w:rPr>
            </w:pPr>
            <w:r w:rsidRPr="00CC4576">
              <w:rPr>
                <w:sz w:val="21"/>
              </w:rPr>
              <w:t>0.5mg/L</w:t>
            </w:r>
          </w:p>
        </w:tc>
      </w:tr>
      <w:tr w:rsidR="002E7213" w:rsidRPr="00CC4576" w:rsidTr="006A223A">
        <w:trPr>
          <w:trHeight w:val="340"/>
          <w:jc w:val="center"/>
        </w:trPr>
        <w:tc>
          <w:tcPr>
            <w:tcW w:w="500" w:type="pct"/>
            <w:vAlign w:val="center"/>
          </w:tcPr>
          <w:p w:rsidR="002E7213" w:rsidRPr="00CC4576" w:rsidRDefault="002E7213" w:rsidP="00CC4576">
            <w:pPr>
              <w:pStyle w:val="0"/>
              <w:autoSpaceDE w:val="0"/>
              <w:spacing w:line="240" w:lineRule="auto"/>
              <w:ind w:firstLineChars="0" w:firstLine="0"/>
              <w:jc w:val="center"/>
              <w:rPr>
                <w:rFonts w:ascii="Times New Roman" w:hAnsi="Times New Roman" w:cs="Times New Roman"/>
                <w:sz w:val="21"/>
                <w:szCs w:val="21"/>
              </w:rPr>
            </w:pPr>
            <w:r w:rsidRPr="00CC4576">
              <w:rPr>
                <w:rFonts w:ascii="Times New Roman" w:hAnsi="Times New Roman" w:cs="Times New Roman" w:hint="eastAsia"/>
                <w:sz w:val="21"/>
                <w:szCs w:val="21"/>
              </w:rPr>
              <w:t>6</w:t>
            </w:r>
          </w:p>
        </w:tc>
        <w:tc>
          <w:tcPr>
            <w:tcW w:w="985" w:type="pct"/>
            <w:vAlign w:val="center"/>
          </w:tcPr>
          <w:p w:rsidR="002E7213" w:rsidRPr="00CC4576" w:rsidRDefault="002E7213" w:rsidP="00CC4576">
            <w:pPr>
              <w:autoSpaceDE w:val="0"/>
              <w:spacing w:line="240" w:lineRule="auto"/>
              <w:ind w:firstLineChars="0" w:firstLine="0"/>
              <w:jc w:val="center"/>
              <w:textAlignment w:val="center"/>
              <w:rPr>
                <w:sz w:val="21"/>
              </w:rPr>
            </w:pPr>
            <w:r w:rsidRPr="00CC4576">
              <w:rPr>
                <w:sz w:val="21"/>
              </w:rPr>
              <w:t>氨氮</w:t>
            </w:r>
          </w:p>
        </w:tc>
        <w:tc>
          <w:tcPr>
            <w:tcW w:w="1624" w:type="pct"/>
            <w:vAlign w:val="center"/>
          </w:tcPr>
          <w:p w:rsidR="002E7213" w:rsidRPr="00CC4576" w:rsidRDefault="002E7213"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氨氮的测定</w:t>
            </w:r>
            <w:r w:rsidRPr="00CC4576">
              <w:rPr>
                <w:sz w:val="21"/>
              </w:rPr>
              <w:t xml:space="preserve"> </w:t>
            </w:r>
            <w:r w:rsidRPr="00CC4576">
              <w:rPr>
                <w:sz w:val="21"/>
              </w:rPr>
              <w:t>纳氏试剂分光光度法</w:t>
            </w:r>
            <w:r w:rsidRPr="00CC4576">
              <w:rPr>
                <w:sz w:val="21"/>
              </w:rPr>
              <w:t xml:space="preserve"> HJ 535-2009</w:t>
            </w:r>
          </w:p>
        </w:tc>
        <w:tc>
          <w:tcPr>
            <w:tcW w:w="1219" w:type="pct"/>
            <w:vAlign w:val="center"/>
          </w:tcPr>
          <w:p w:rsidR="002E7213" w:rsidRPr="00CC4576" w:rsidRDefault="002E7213" w:rsidP="00CC4576">
            <w:pPr>
              <w:autoSpaceDE w:val="0"/>
              <w:spacing w:line="240" w:lineRule="auto"/>
              <w:ind w:firstLineChars="0" w:firstLine="0"/>
              <w:jc w:val="center"/>
              <w:rPr>
                <w:sz w:val="21"/>
              </w:rPr>
            </w:pPr>
            <w:r w:rsidRPr="00CC4576">
              <w:rPr>
                <w:rFonts w:hint="eastAsia"/>
                <w:sz w:val="21"/>
              </w:rPr>
              <w:t>T6</w:t>
            </w:r>
            <w:r w:rsidRPr="00CC4576">
              <w:rPr>
                <w:rFonts w:ascii="宋体" w:hAnsi="宋体" w:hint="eastAsia"/>
                <w:sz w:val="21"/>
              </w:rPr>
              <w:t>新世纪</w:t>
            </w:r>
          </w:p>
          <w:p w:rsidR="002E7213" w:rsidRPr="00CC4576" w:rsidRDefault="002E7213" w:rsidP="00CC4576">
            <w:pPr>
              <w:autoSpaceDE w:val="0"/>
              <w:spacing w:line="240" w:lineRule="auto"/>
              <w:ind w:firstLineChars="0" w:firstLine="0"/>
              <w:jc w:val="center"/>
              <w:rPr>
                <w:sz w:val="21"/>
              </w:rPr>
            </w:pPr>
            <w:r w:rsidRPr="00CC4576">
              <w:rPr>
                <w:sz w:val="21"/>
              </w:rPr>
              <w:t>紫外可见分光光度计</w:t>
            </w:r>
            <w:r w:rsidRPr="00CC4576">
              <w:rPr>
                <w:sz w:val="21"/>
              </w:rPr>
              <w:t xml:space="preserve"> </w:t>
            </w:r>
            <w:r w:rsidR="00E97427">
              <w:rPr>
                <w:sz w:val="21"/>
              </w:rPr>
              <w:t>（</w:t>
            </w:r>
            <w:r w:rsidRPr="00CC4576">
              <w:rPr>
                <w:sz w:val="21"/>
              </w:rPr>
              <w:t>QS-FX</w:t>
            </w:r>
            <w:r w:rsidRPr="00CC4576">
              <w:rPr>
                <w:rFonts w:hint="eastAsia"/>
                <w:sz w:val="21"/>
              </w:rPr>
              <w:t>059</w:t>
            </w:r>
            <w:r w:rsidR="00E97427">
              <w:rPr>
                <w:sz w:val="21"/>
              </w:rPr>
              <w:t>）</w:t>
            </w:r>
          </w:p>
        </w:tc>
        <w:tc>
          <w:tcPr>
            <w:tcW w:w="671" w:type="pct"/>
            <w:vAlign w:val="center"/>
          </w:tcPr>
          <w:p w:rsidR="002E7213" w:rsidRPr="00CC4576" w:rsidRDefault="002E7213" w:rsidP="00CC4576">
            <w:pPr>
              <w:autoSpaceDE w:val="0"/>
              <w:spacing w:line="240" w:lineRule="auto"/>
              <w:ind w:firstLineChars="0" w:firstLine="0"/>
              <w:jc w:val="center"/>
              <w:rPr>
                <w:sz w:val="21"/>
              </w:rPr>
            </w:pPr>
            <w:r w:rsidRPr="00CC4576">
              <w:rPr>
                <w:sz w:val="21"/>
              </w:rPr>
              <w:t>0.025mg/L</w:t>
            </w:r>
          </w:p>
        </w:tc>
      </w:tr>
      <w:tr w:rsidR="00CC4576" w:rsidRPr="00CC4576" w:rsidTr="006A223A">
        <w:trPr>
          <w:trHeight w:val="340"/>
          <w:jc w:val="center"/>
        </w:trPr>
        <w:tc>
          <w:tcPr>
            <w:tcW w:w="500" w:type="pct"/>
            <w:vAlign w:val="center"/>
          </w:tcPr>
          <w:p w:rsidR="00CC4576" w:rsidRPr="00CC4576" w:rsidRDefault="006A223A" w:rsidP="00CC4576">
            <w:pPr>
              <w:pStyle w:val="0"/>
              <w:autoSpaceDE w:val="0"/>
              <w:spacing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985"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总磷</w:t>
            </w:r>
          </w:p>
        </w:tc>
        <w:tc>
          <w:tcPr>
            <w:tcW w:w="1624"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总磷的测定</w:t>
            </w:r>
            <w:r w:rsidRPr="00CC4576">
              <w:rPr>
                <w:sz w:val="21"/>
              </w:rPr>
              <w:t xml:space="preserve"> </w:t>
            </w:r>
            <w:r w:rsidRPr="00CC4576">
              <w:rPr>
                <w:sz w:val="21"/>
              </w:rPr>
              <w:t>钼酸铵分光光度法</w:t>
            </w:r>
            <w:r w:rsidRPr="00CC4576">
              <w:rPr>
                <w:sz w:val="21"/>
              </w:rPr>
              <w:t xml:space="preserve"> GB 11893-1989</w:t>
            </w:r>
          </w:p>
        </w:tc>
        <w:tc>
          <w:tcPr>
            <w:tcW w:w="1219" w:type="pct"/>
            <w:vAlign w:val="center"/>
          </w:tcPr>
          <w:p w:rsidR="00CC4576" w:rsidRPr="00CC4576" w:rsidRDefault="00CC4576" w:rsidP="00CC4576">
            <w:pPr>
              <w:autoSpaceDE w:val="0"/>
              <w:spacing w:line="240" w:lineRule="auto"/>
              <w:ind w:firstLineChars="0" w:firstLine="0"/>
              <w:jc w:val="center"/>
              <w:rPr>
                <w:sz w:val="21"/>
              </w:rPr>
            </w:pPr>
            <w:r w:rsidRPr="00CC4576">
              <w:rPr>
                <w:sz w:val="21"/>
              </w:rPr>
              <w:t>SP-752</w:t>
            </w:r>
          </w:p>
          <w:p w:rsidR="00CC4576" w:rsidRPr="00CC4576" w:rsidRDefault="00CC4576" w:rsidP="00CC4576">
            <w:pPr>
              <w:autoSpaceDE w:val="0"/>
              <w:spacing w:line="240" w:lineRule="auto"/>
              <w:ind w:firstLineChars="0" w:firstLine="0"/>
              <w:jc w:val="center"/>
              <w:rPr>
                <w:sz w:val="21"/>
              </w:rPr>
            </w:pPr>
            <w:r w:rsidRPr="00CC4576">
              <w:rPr>
                <w:sz w:val="21"/>
              </w:rPr>
              <w:t>紫外可见分光光度计</w:t>
            </w:r>
            <w:r w:rsidRPr="00CC4576">
              <w:rPr>
                <w:sz w:val="21"/>
              </w:rPr>
              <w:t xml:space="preserve"> </w:t>
            </w:r>
            <w:r w:rsidR="00E97427">
              <w:rPr>
                <w:sz w:val="21"/>
              </w:rPr>
              <w:t>（</w:t>
            </w:r>
            <w:r w:rsidRPr="00CC4576">
              <w:rPr>
                <w:sz w:val="21"/>
              </w:rPr>
              <w:t>QS-FX110</w:t>
            </w:r>
            <w:r w:rsidR="00E97427">
              <w:rPr>
                <w:sz w:val="21"/>
              </w:rPr>
              <w:t>）</w:t>
            </w:r>
          </w:p>
        </w:tc>
        <w:tc>
          <w:tcPr>
            <w:tcW w:w="671"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0.01mg/L</w:t>
            </w:r>
          </w:p>
        </w:tc>
      </w:tr>
      <w:tr w:rsidR="00CC4576" w:rsidRPr="00CC4576" w:rsidTr="006A223A">
        <w:trPr>
          <w:trHeight w:val="340"/>
          <w:jc w:val="center"/>
        </w:trPr>
        <w:tc>
          <w:tcPr>
            <w:tcW w:w="500" w:type="pct"/>
            <w:vAlign w:val="center"/>
          </w:tcPr>
          <w:p w:rsidR="00CC4576" w:rsidRPr="00CC4576" w:rsidRDefault="006A223A" w:rsidP="00CC4576">
            <w:pPr>
              <w:pStyle w:val="0"/>
              <w:autoSpaceDE w:val="0"/>
              <w:spacing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985" w:type="pct"/>
            <w:vAlign w:val="center"/>
          </w:tcPr>
          <w:p w:rsidR="00CC4576" w:rsidRPr="00CC4576" w:rsidRDefault="00CC4576" w:rsidP="00CC4576">
            <w:pPr>
              <w:autoSpaceDE w:val="0"/>
              <w:spacing w:line="240" w:lineRule="auto"/>
              <w:ind w:firstLineChars="0" w:firstLine="0"/>
              <w:jc w:val="center"/>
              <w:rPr>
                <w:sz w:val="21"/>
              </w:rPr>
            </w:pPr>
            <w:r w:rsidRPr="00CC4576">
              <w:rPr>
                <w:sz w:val="21"/>
              </w:rPr>
              <w:t>粪大肠菌群</w:t>
            </w:r>
          </w:p>
        </w:tc>
        <w:tc>
          <w:tcPr>
            <w:tcW w:w="1624" w:type="pct"/>
            <w:vAlign w:val="center"/>
          </w:tcPr>
          <w:p w:rsidR="00CC4576" w:rsidRPr="00CC4576" w:rsidRDefault="00CC4576" w:rsidP="00CC4576">
            <w:pPr>
              <w:autoSpaceDE w:val="0"/>
              <w:spacing w:line="240" w:lineRule="auto"/>
              <w:ind w:firstLineChars="0" w:firstLine="0"/>
              <w:jc w:val="center"/>
              <w:textAlignment w:val="center"/>
              <w:rPr>
                <w:sz w:val="21"/>
              </w:rPr>
            </w:pPr>
            <w:r w:rsidRPr="00CC4576">
              <w:rPr>
                <w:sz w:val="21"/>
              </w:rPr>
              <w:t>水质</w:t>
            </w:r>
            <w:r w:rsidRPr="00CC4576">
              <w:rPr>
                <w:sz w:val="21"/>
              </w:rPr>
              <w:t xml:space="preserve"> </w:t>
            </w:r>
            <w:r w:rsidRPr="00CC4576">
              <w:rPr>
                <w:sz w:val="21"/>
              </w:rPr>
              <w:t>粪大肠菌群的测定</w:t>
            </w:r>
            <w:r w:rsidRPr="00CC4576">
              <w:rPr>
                <w:sz w:val="21"/>
              </w:rPr>
              <w:t xml:space="preserve"> </w:t>
            </w:r>
            <w:r w:rsidRPr="00CC4576">
              <w:rPr>
                <w:sz w:val="21"/>
              </w:rPr>
              <w:t>多管发酵法</w:t>
            </w:r>
            <w:r w:rsidRPr="00CC4576">
              <w:rPr>
                <w:sz w:val="21"/>
              </w:rPr>
              <w:t xml:space="preserve"> HJ 347.2-2018</w:t>
            </w:r>
          </w:p>
        </w:tc>
        <w:tc>
          <w:tcPr>
            <w:tcW w:w="1219" w:type="pct"/>
            <w:vAlign w:val="center"/>
          </w:tcPr>
          <w:p w:rsidR="00CC4576" w:rsidRPr="00CC4576" w:rsidRDefault="00CC4576" w:rsidP="00CC4576">
            <w:pPr>
              <w:autoSpaceDE w:val="0"/>
              <w:spacing w:line="240" w:lineRule="auto"/>
              <w:ind w:firstLineChars="0" w:firstLine="0"/>
              <w:jc w:val="center"/>
              <w:rPr>
                <w:sz w:val="21"/>
              </w:rPr>
            </w:pPr>
            <w:r w:rsidRPr="00CC4576">
              <w:rPr>
                <w:sz w:val="21"/>
              </w:rPr>
              <w:t>DHP-9052</w:t>
            </w:r>
          </w:p>
          <w:p w:rsidR="00CC4576" w:rsidRPr="00CC4576" w:rsidRDefault="00CC4576" w:rsidP="00CC4576">
            <w:pPr>
              <w:autoSpaceDE w:val="0"/>
              <w:spacing w:line="240" w:lineRule="auto"/>
              <w:ind w:firstLineChars="0" w:firstLine="0"/>
              <w:jc w:val="center"/>
              <w:rPr>
                <w:sz w:val="21"/>
              </w:rPr>
            </w:pPr>
            <w:r w:rsidRPr="00CC4576">
              <w:rPr>
                <w:sz w:val="21"/>
              </w:rPr>
              <w:t>电热恒温培养箱</w:t>
            </w:r>
          </w:p>
          <w:p w:rsidR="00CC4576" w:rsidRPr="00CC4576" w:rsidRDefault="00E97427" w:rsidP="00CC4576">
            <w:pPr>
              <w:autoSpaceDE w:val="0"/>
              <w:spacing w:line="240" w:lineRule="auto"/>
              <w:ind w:firstLineChars="0" w:firstLine="0"/>
              <w:jc w:val="center"/>
              <w:rPr>
                <w:sz w:val="21"/>
              </w:rPr>
            </w:pPr>
            <w:r>
              <w:rPr>
                <w:sz w:val="21"/>
              </w:rPr>
              <w:t>（</w:t>
            </w:r>
            <w:r w:rsidR="00CC4576" w:rsidRPr="00CC4576">
              <w:rPr>
                <w:sz w:val="21"/>
              </w:rPr>
              <w:t>QS-FX072</w:t>
            </w:r>
            <w:r w:rsidR="00CC4576" w:rsidRPr="00CC4576">
              <w:rPr>
                <w:rFonts w:ascii="宋体" w:hAnsi="宋体"/>
                <w:sz w:val="21"/>
              </w:rPr>
              <w:t>、</w:t>
            </w:r>
            <w:r w:rsidR="00CC4576" w:rsidRPr="00CC4576">
              <w:rPr>
                <w:sz w:val="21"/>
              </w:rPr>
              <w:t>081</w:t>
            </w:r>
            <w:r>
              <w:rPr>
                <w:sz w:val="21"/>
              </w:rPr>
              <w:t>）</w:t>
            </w:r>
          </w:p>
        </w:tc>
        <w:tc>
          <w:tcPr>
            <w:tcW w:w="671" w:type="pct"/>
            <w:vAlign w:val="center"/>
          </w:tcPr>
          <w:p w:rsidR="00CC4576" w:rsidRPr="00CC4576" w:rsidRDefault="00CC4576" w:rsidP="00CC4576">
            <w:pPr>
              <w:autoSpaceDE w:val="0"/>
              <w:spacing w:line="240" w:lineRule="auto"/>
              <w:ind w:firstLineChars="0" w:firstLine="0"/>
              <w:jc w:val="center"/>
              <w:rPr>
                <w:sz w:val="21"/>
              </w:rPr>
            </w:pPr>
            <w:r w:rsidRPr="00CC4576">
              <w:rPr>
                <w:sz w:val="21"/>
              </w:rPr>
              <w:t>20MPN/L</w:t>
            </w:r>
          </w:p>
        </w:tc>
      </w:tr>
    </w:tbl>
    <w:p w:rsidR="003B1225" w:rsidRDefault="003B1225" w:rsidP="00D063D9">
      <w:pPr>
        <w:ind w:firstLine="480"/>
      </w:pPr>
      <w:r>
        <w:rPr>
          <w:rFonts w:hint="eastAsia"/>
        </w:rPr>
        <w:lastRenderedPageBreak/>
        <w:t>（</w:t>
      </w:r>
      <w:r>
        <w:rPr>
          <w:rFonts w:hint="eastAsia"/>
        </w:rPr>
        <w:t>5</w:t>
      </w:r>
      <w:r>
        <w:rPr>
          <w:rFonts w:hint="eastAsia"/>
        </w:rPr>
        <w:t>）评价方法</w:t>
      </w:r>
    </w:p>
    <w:p w:rsidR="003B1225" w:rsidRDefault="003B1225" w:rsidP="00281269">
      <w:pPr>
        <w:ind w:firstLine="480"/>
      </w:pPr>
      <w:r>
        <w:rPr>
          <w:rFonts w:hint="eastAsia"/>
        </w:rPr>
        <w:t>监测数据按《地表水环境质量标准》</w:t>
      </w:r>
      <w:r w:rsidR="00E97427">
        <w:t>（</w:t>
      </w:r>
      <w:r>
        <w:t>GB3838</w:t>
      </w:r>
      <w:r>
        <w:rPr>
          <w:rFonts w:hint="eastAsia"/>
        </w:rPr>
        <w:t>—</w:t>
      </w:r>
      <w:r>
        <w:t>2002</w:t>
      </w:r>
      <w:r w:rsidR="00E97427">
        <w:t>）</w:t>
      </w:r>
      <w:r>
        <w:rPr>
          <w:rFonts w:hint="eastAsia"/>
        </w:rPr>
        <w:t>采用单因子评价，同</w:t>
      </w:r>
    </w:p>
    <w:p w:rsidR="003B1225" w:rsidRDefault="003B1225" w:rsidP="00281269">
      <w:pPr>
        <w:ind w:firstLine="480"/>
      </w:pPr>
      <w:r>
        <w:rPr>
          <w:rFonts w:hint="eastAsia"/>
        </w:rPr>
        <w:t>时参照《环境影响评价技术导则</w:t>
      </w:r>
      <w:r>
        <w:rPr>
          <w:rFonts w:hint="eastAsia"/>
        </w:rPr>
        <w:t xml:space="preserve"> </w:t>
      </w:r>
      <w:r>
        <w:rPr>
          <w:rFonts w:hint="eastAsia"/>
        </w:rPr>
        <w:t>地面水环境》</w:t>
      </w:r>
      <w:r w:rsidR="00E97427">
        <w:t>（</w:t>
      </w:r>
      <w:r>
        <w:t>HJ/T2.3</w:t>
      </w:r>
      <w:r>
        <w:rPr>
          <w:rFonts w:hint="eastAsia"/>
        </w:rPr>
        <w:t>—</w:t>
      </w:r>
      <w:r>
        <w:t>93</w:t>
      </w:r>
      <w:r w:rsidR="00E97427">
        <w:t>）</w:t>
      </w:r>
      <w:r>
        <w:rPr>
          <w:rFonts w:hint="eastAsia"/>
        </w:rPr>
        <w:t>中标准指数法评价数据进行分析。采用单因子指数法评价工程水域水环境现状质量。</w:t>
      </w:r>
    </w:p>
    <w:p w:rsidR="003B1225" w:rsidRDefault="003B1225" w:rsidP="00281269">
      <w:pPr>
        <w:ind w:firstLine="480"/>
      </w:pPr>
      <w:r>
        <w:rPr>
          <w:rFonts w:hint="eastAsia"/>
        </w:rPr>
        <w:t>单项水质参数标准指数为：</w:t>
      </w:r>
    </w:p>
    <w:p w:rsidR="003B1225" w:rsidRDefault="003B1225" w:rsidP="00281269">
      <w:pPr>
        <w:spacing w:before="178"/>
        <w:ind w:left="2755" w:firstLine="480"/>
        <w:rPr>
          <w:sz w:val="15"/>
          <w:szCs w:val="15"/>
        </w:rPr>
      </w:pPr>
      <w:r>
        <w:rPr>
          <w:position w:val="2"/>
          <w:szCs w:val="24"/>
        </w:rPr>
        <w:t>S</w:t>
      </w:r>
      <w:r>
        <w:rPr>
          <w:sz w:val="15"/>
          <w:szCs w:val="15"/>
        </w:rPr>
        <w:t>ij</w:t>
      </w:r>
      <w:r>
        <w:rPr>
          <w:position w:val="2"/>
          <w:szCs w:val="24"/>
        </w:rPr>
        <w:t>=C</w:t>
      </w:r>
      <w:r>
        <w:rPr>
          <w:sz w:val="15"/>
          <w:szCs w:val="15"/>
        </w:rPr>
        <w:t>ij</w:t>
      </w:r>
      <w:r>
        <w:rPr>
          <w:position w:val="2"/>
          <w:szCs w:val="24"/>
        </w:rPr>
        <w:t>/C</w:t>
      </w:r>
      <w:r>
        <w:rPr>
          <w:sz w:val="15"/>
          <w:szCs w:val="15"/>
        </w:rPr>
        <w:t>si</w:t>
      </w:r>
    </w:p>
    <w:p w:rsidR="003B1225" w:rsidRDefault="003B1225" w:rsidP="00281269">
      <w:pPr>
        <w:pStyle w:val="a5"/>
        <w:spacing w:before="193" w:line="360" w:lineRule="auto"/>
        <w:ind w:left="1435" w:right="2853" w:hanging="720"/>
      </w:pPr>
      <w:r>
        <w:rPr>
          <w:rFonts w:hint="eastAsia"/>
          <w:position w:val="1"/>
        </w:rPr>
        <w:t>式中：</w:t>
      </w:r>
      <w:r>
        <w:rPr>
          <w:rFonts w:ascii="Times New Roman" w:hAnsi="Times New Roman"/>
          <w:position w:val="1"/>
        </w:rPr>
        <w:t>S</w:t>
      </w:r>
      <w:r>
        <w:rPr>
          <w:rFonts w:ascii="Times New Roman" w:hAnsi="Times New Roman"/>
          <w:position w:val="1"/>
          <w:vertAlign w:val="subscript"/>
        </w:rPr>
        <w:t>ij</w:t>
      </w:r>
      <w:r>
        <w:rPr>
          <w:rFonts w:ascii="Times New Roman" w:hAnsi="Times New Roman"/>
          <w:position w:val="1"/>
        </w:rPr>
        <w:t>—</w:t>
      </w:r>
      <w:r>
        <w:rPr>
          <w:rFonts w:hint="eastAsia"/>
          <w:position w:val="1"/>
        </w:rPr>
        <w:t>单项水质参数</w:t>
      </w:r>
      <w:r>
        <w:rPr>
          <w:rFonts w:ascii="Times New Roman" w:hAnsi="Times New Roman"/>
          <w:position w:val="1"/>
        </w:rPr>
        <w:t>i</w:t>
      </w:r>
      <w:r>
        <w:rPr>
          <w:rFonts w:hint="eastAsia"/>
          <w:position w:val="1"/>
        </w:rPr>
        <w:t>在第</w:t>
      </w:r>
      <w:r>
        <w:rPr>
          <w:rFonts w:ascii="Times New Roman" w:hAnsi="Times New Roman"/>
          <w:position w:val="1"/>
        </w:rPr>
        <w:t>j</w:t>
      </w:r>
      <w:r>
        <w:rPr>
          <w:rFonts w:hint="eastAsia"/>
          <w:position w:val="1"/>
        </w:rPr>
        <w:t xml:space="preserve">点标准指数； </w:t>
      </w:r>
      <w:r>
        <w:rPr>
          <w:rFonts w:ascii="Times New Roman" w:hAnsi="Times New Roman"/>
          <w:position w:val="2"/>
        </w:rPr>
        <w:t>C</w:t>
      </w:r>
      <w:r>
        <w:rPr>
          <w:rFonts w:ascii="Times New Roman" w:hAnsi="Times New Roman"/>
          <w:position w:val="2"/>
          <w:vertAlign w:val="subscript"/>
        </w:rPr>
        <w:t>ij</w:t>
      </w:r>
      <w:r>
        <w:rPr>
          <w:rFonts w:ascii="Times New Roman" w:hAnsi="Times New Roman"/>
          <w:position w:val="2"/>
        </w:rPr>
        <w:t>—</w:t>
      </w:r>
      <w:r>
        <w:rPr>
          <w:rFonts w:hint="eastAsia"/>
          <w:position w:val="1"/>
        </w:rPr>
        <w:t>单项水质参数</w:t>
      </w:r>
      <w:r>
        <w:rPr>
          <w:rFonts w:ascii="Times New Roman" w:hAnsi="Times New Roman"/>
          <w:spacing w:val="-5"/>
          <w:position w:val="2"/>
        </w:rPr>
        <w:t>i</w:t>
      </w:r>
      <w:r>
        <w:rPr>
          <w:rFonts w:hint="eastAsia"/>
          <w:position w:val="1"/>
        </w:rPr>
        <w:t>在第</w:t>
      </w:r>
      <w:r>
        <w:rPr>
          <w:rFonts w:ascii="Times New Roman" w:hAnsi="Times New Roman"/>
          <w:position w:val="2"/>
        </w:rPr>
        <w:t>j</w:t>
      </w:r>
      <w:r w:rsidR="00D063D9">
        <w:rPr>
          <w:rFonts w:hint="eastAsia"/>
          <w:position w:val="1"/>
        </w:rPr>
        <w:t>点监测值</w:t>
      </w:r>
      <w:r>
        <w:rPr>
          <w:rFonts w:ascii="Times New Roman" w:hAnsi="Times New Roman"/>
          <w:position w:val="2"/>
        </w:rPr>
        <w:t>mg/L</w:t>
      </w:r>
      <w:r>
        <w:rPr>
          <w:rFonts w:hint="eastAsia"/>
          <w:position w:val="1"/>
        </w:rPr>
        <w:t>；</w:t>
      </w:r>
      <w:r>
        <w:rPr>
          <w:rFonts w:ascii="Times New Roman" w:hAnsi="Times New Roman"/>
          <w:position w:val="1"/>
        </w:rPr>
        <w:t>C</w:t>
      </w:r>
      <w:r>
        <w:rPr>
          <w:rFonts w:ascii="Times New Roman" w:hAnsi="Times New Roman"/>
          <w:position w:val="1"/>
          <w:vertAlign w:val="subscript"/>
        </w:rPr>
        <w:t>si</w:t>
      </w:r>
      <w:r>
        <w:rPr>
          <w:rFonts w:ascii="Times New Roman" w:hAnsi="Times New Roman"/>
          <w:position w:val="1"/>
        </w:rPr>
        <w:t>—</w:t>
      </w:r>
      <w:r>
        <w:rPr>
          <w:rFonts w:hint="eastAsia"/>
          <w:position w:val="1"/>
        </w:rPr>
        <w:t>单项水质参数</w:t>
      </w:r>
      <w:r>
        <w:rPr>
          <w:rFonts w:ascii="Times New Roman" w:hAnsi="Times New Roman"/>
          <w:position w:val="1"/>
        </w:rPr>
        <w:t>i</w:t>
      </w:r>
      <w:r>
        <w:rPr>
          <w:rFonts w:hint="eastAsia"/>
          <w:position w:val="1"/>
        </w:rPr>
        <w:t>在第</w:t>
      </w:r>
      <w:r>
        <w:rPr>
          <w:rFonts w:ascii="Times New Roman" w:hAnsi="Times New Roman"/>
          <w:position w:val="1"/>
        </w:rPr>
        <w:t>j</w:t>
      </w:r>
      <w:r w:rsidR="00D063D9">
        <w:rPr>
          <w:rFonts w:hint="eastAsia"/>
          <w:position w:val="1"/>
        </w:rPr>
        <w:t>点标准</w:t>
      </w:r>
      <w:r>
        <w:rPr>
          <w:rFonts w:ascii="Times New Roman" w:hAnsi="Times New Roman"/>
          <w:position w:val="1"/>
        </w:rPr>
        <w:t>mg/L</w:t>
      </w:r>
      <w:r>
        <w:rPr>
          <w:rFonts w:hint="eastAsia"/>
          <w:spacing w:val="-21"/>
          <w:position w:val="1"/>
        </w:rPr>
        <w:t>。</w:t>
      </w:r>
    </w:p>
    <w:p w:rsidR="003B1225" w:rsidRDefault="003B1225" w:rsidP="00281269">
      <w:pPr>
        <w:ind w:firstLine="480"/>
      </w:pPr>
      <w:r>
        <w:t xml:space="preserve">pH </w:t>
      </w:r>
      <w:r>
        <w:rPr>
          <w:rFonts w:hint="eastAsia"/>
        </w:rPr>
        <w:t>值评价模式为：</w:t>
      </w:r>
    </w:p>
    <w:p w:rsidR="00D063D9" w:rsidRPr="00D063D9" w:rsidRDefault="009D20DC" w:rsidP="00281269">
      <w:pPr>
        <w:pStyle w:val="70"/>
        <w:spacing w:line="360" w:lineRule="auto"/>
        <w:ind w:firstLine="482"/>
        <w:jc w:val="center"/>
        <w:rPr>
          <w:sz w:val="28"/>
          <w:szCs w:val="24"/>
        </w:rPr>
      </w:pPr>
      <m:oMath>
        <m:sSub>
          <m:sSubPr>
            <m:ctrlPr>
              <w:rPr>
                <w:rFonts w:ascii="Cambria Math" w:hAnsi="Cambria Math"/>
                <w:kern w:val="0"/>
                <w:sz w:val="28"/>
                <w:szCs w:val="24"/>
              </w:rPr>
            </m:ctrlPr>
          </m:sSubPr>
          <m:e>
            <m:r>
              <w:rPr>
                <w:rFonts w:ascii="Cambria Math" w:hAnsi="Cambria Math"/>
                <w:sz w:val="28"/>
                <w:szCs w:val="24"/>
              </w:rPr>
              <m:t>S</m:t>
            </m:r>
          </m:e>
          <m:sub>
            <m:r>
              <w:rPr>
                <w:rFonts w:ascii="Cambria Math" w:hAnsi="Cambria Math"/>
                <w:sz w:val="28"/>
                <w:szCs w:val="24"/>
              </w:rPr>
              <m:t>pH,j</m:t>
            </m:r>
          </m:sub>
        </m:sSub>
        <m:r>
          <w:rPr>
            <w:rFonts w:ascii="Cambria Math" w:hAnsi="Cambria Math"/>
            <w:sz w:val="28"/>
            <w:szCs w:val="24"/>
          </w:rPr>
          <m:t>=</m:t>
        </m:r>
        <m:f>
          <m:fPr>
            <m:ctrlPr>
              <w:rPr>
                <w:rFonts w:ascii="Cambria Math" w:hAnsi="Cambria Math"/>
                <w:i/>
                <w:kern w:val="0"/>
                <w:sz w:val="28"/>
                <w:szCs w:val="24"/>
              </w:rPr>
            </m:ctrlPr>
          </m:fPr>
          <m:num>
            <m:r>
              <w:rPr>
                <w:rFonts w:ascii="Cambria Math" w:hAnsi="Cambria Math"/>
                <w:sz w:val="28"/>
                <w:szCs w:val="24"/>
              </w:rPr>
              <m:t>7.0-</m:t>
            </m:r>
            <m:sSub>
              <m:sSubPr>
                <m:ctrlPr>
                  <w:rPr>
                    <w:rFonts w:ascii="Cambria Math" w:hAnsi="Cambria Math"/>
                    <w:i/>
                    <w:kern w:val="0"/>
                    <w:sz w:val="28"/>
                    <w:szCs w:val="24"/>
                  </w:rPr>
                </m:ctrlPr>
              </m:sSubPr>
              <m:e>
                <m:r>
                  <w:rPr>
                    <w:rFonts w:ascii="Cambria Math" w:hAnsi="Cambria Math"/>
                    <w:sz w:val="28"/>
                    <w:szCs w:val="24"/>
                  </w:rPr>
                  <m:t>pH</m:t>
                </m:r>
              </m:e>
              <m:sub>
                <m:r>
                  <w:rPr>
                    <w:rFonts w:ascii="Cambria Math" w:hAnsi="Cambria Math"/>
                    <w:sz w:val="28"/>
                    <w:szCs w:val="24"/>
                  </w:rPr>
                  <m:t>j</m:t>
                </m:r>
              </m:sub>
            </m:sSub>
          </m:num>
          <m:den>
            <m:r>
              <w:rPr>
                <w:rFonts w:ascii="Cambria Math" w:hAnsi="Cambria Math"/>
                <w:sz w:val="28"/>
                <w:szCs w:val="24"/>
              </w:rPr>
              <m:t>7.0-</m:t>
            </m:r>
            <m:sSub>
              <m:sSubPr>
                <m:ctrlPr>
                  <w:rPr>
                    <w:rFonts w:ascii="Cambria Math" w:hAnsi="Cambria Math"/>
                    <w:i/>
                    <w:kern w:val="0"/>
                    <w:sz w:val="28"/>
                    <w:szCs w:val="24"/>
                  </w:rPr>
                </m:ctrlPr>
              </m:sSubPr>
              <m:e>
                <m:r>
                  <w:rPr>
                    <w:rFonts w:ascii="Cambria Math" w:hAnsi="Cambria Math"/>
                    <w:sz w:val="28"/>
                    <w:szCs w:val="24"/>
                  </w:rPr>
                  <m:t>pH</m:t>
                </m:r>
              </m:e>
              <m:sub>
                <m:r>
                  <w:rPr>
                    <w:rFonts w:ascii="Cambria Math" w:hAnsi="Cambria Math"/>
                    <w:sz w:val="28"/>
                    <w:szCs w:val="24"/>
                  </w:rPr>
                  <m:t>jsd</m:t>
                </m:r>
              </m:sub>
            </m:sSub>
          </m:den>
        </m:f>
      </m:oMath>
      <w:r w:rsidR="00D063D9" w:rsidRPr="00D063D9">
        <w:rPr>
          <w:rFonts w:hint="eastAsia"/>
          <w:sz w:val="28"/>
          <w:szCs w:val="24"/>
        </w:rPr>
        <w:t xml:space="preserve">  </w:t>
      </w:r>
      <w:r w:rsidR="00D063D9">
        <w:rPr>
          <w:rFonts w:hint="eastAsia"/>
          <w:sz w:val="28"/>
          <w:szCs w:val="24"/>
        </w:rPr>
        <w:t xml:space="preserve"> </w:t>
      </w:r>
      <w:r w:rsidR="00D063D9" w:rsidRPr="00D063D9">
        <w:rPr>
          <w:rFonts w:hint="eastAsia"/>
          <w:sz w:val="28"/>
          <w:szCs w:val="24"/>
        </w:rPr>
        <w:t xml:space="preserve"> </w:t>
      </w:r>
      <w:r w:rsidR="00D063D9" w:rsidRPr="00D063D9">
        <w:rPr>
          <w:rFonts w:hint="eastAsia"/>
          <w:sz w:val="22"/>
        </w:rPr>
        <w:t xml:space="preserve"> </w:t>
      </w:r>
      <w:r w:rsidR="00D063D9" w:rsidRPr="00D063D9">
        <w:rPr>
          <w:rFonts w:ascii="Times New Roman" w:hAnsi="Times New Roman" w:cs="Times New Roman"/>
          <w:sz w:val="24"/>
          <w:szCs w:val="24"/>
        </w:rPr>
        <w:t>pH</w:t>
      </w:r>
      <w:r w:rsidR="00D063D9">
        <w:rPr>
          <w:rFonts w:ascii="宋体" w:hAnsi="宋体" w:cs="Times New Roman" w:hint="eastAsia"/>
          <w:sz w:val="24"/>
          <w:szCs w:val="24"/>
        </w:rPr>
        <w:t>≦</w:t>
      </w:r>
      <w:r w:rsidR="00D063D9" w:rsidRPr="00D063D9">
        <w:rPr>
          <w:rFonts w:ascii="Times New Roman" w:hAnsi="Times New Roman" w:cs="Times New Roman"/>
          <w:sz w:val="24"/>
          <w:szCs w:val="24"/>
        </w:rPr>
        <w:t>7.0</w:t>
      </w:r>
    </w:p>
    <w:p w:rsidR="00D063D9" w:rsidRPr="00D063D9" w:rsidRDefault="009D20DC" w:rsidP="00281269">
      <w:pPr>
        <w:pStyle w:val="70"/>
        <w:spacing w:line="360" w:lineRule="auto"/>
        <w:ind w:firstLine="482"/>
        <w:jc w:val="center"/>
        <w:rPr>
          <w:sz w:val="28"/>
          <w:szCs w:val="24"/>
        </w:rPr>
      </w:pPr>
      <m:oMath>
        <m:sSub>
          <m:sSubPr>
            <m:ctrlPr>
              <w:rPr>
                <w:rFonts w:ascii="Cambria Math" w:hAnsi="Cambria Math"/>
                <w:kern w:val="0"/>
                <w:sz w:val="28"/>
                <w:szCs w:val="24"/>
              </w:rPr>
            </m:ctrlPr>
          </m:sSubPr>
          <m:e>
            <m:r>
              <w:rPr>
                <w:rFonts w:ascii="Cambria Math" w:hAnsi="Cambria Math"/>
                <w:sz w:val="28"/>
                <w:szCs w:val="24"/>
              </w:rPr>
              <m:t>S</m:t>
            </m:r>
          </m:e>
          <m:sub>
            <m:r>
              <w:rPr>
                <w:rFonts w:ascii="Cambria Math" w:hAnsi="Cambria Math"/>
                <w:sz w:val="28"/>
                <w:szCs w:val="24"/>
              </w:rPr>
              <m:t>pH,j</m:t>
            </m:r>
          </m:sub>
        </m:sSub>
        <m:r>
          <w:rPr>
            <w:rFonts w:ascii="Cambria Math" w:hAnsi="Cambria Math"/>
            <w:sz w:val="28"/>
            <w:szCs w:val="24"/>
          </w:rPr>
          <m:t>=</m:t>
        </m:r>
        <m:f>
          <m:fPr>
            <m:ctrlPr>
              <w:rPr>
                <w:rFonts w:ascii="Cambria Math" w:hAnsi="Cambria Math"/>
                <w:i/>
                <w:kern w:val="0"/>
                <w:sz w:val="28"/>
                <w:szCs w:val="24"/>
              </w:rPr>
            </m:ctrlPr>
          </m:fPr>
          <m:num>
            <m:sSub>
              <m:sSubPr>
                <m:ctrlPr>
                  <w:rPr>
                    <w:rFonts w:ascii="Cambria Math" w:hAnsi="Cambria Math"/>
                    <w:i/>
                    <w:kern w:val="0"/>
                    <w:sz w:val="28"/>
                    <w:szCs w:val="24"/>
                  </w:rPr>
                </m:ctrlPr>
              </m:sSubPr>
              <m:e>
                <m:r>
                  <w:rPr>
                    <w:rFonts w:ascii="Cambria Math" w:hAnsi="Cambria Math"/>
                    <w:sz w:val="28"/>
                    <w:szCs w:val="24"/>
                  </w:rPr>
                  <m:t>pH</m:t>
                </m:r>
              </m:e>
              <m:sub>
                <m:r>
                  <w:rPr>
                    <w:rFonts w:ascii="Cambria Math" w:hAnsi="Cambria Math"/>
                    <w:sz w:val="28"/>
                    <w:szCs w:val="24"/>
                  </w:rPr>
                  <m:t>j</m:t>
                </m:r>
              </m:sub>
            </m:sSub>
            <m:r>
              <w:rPr>
                <w:rFonts w:ascii="Cambria Math" w:hAnsi="Cambria Math"/>
                <w:sz w:val="28"/>
                <w:szCs w:val="24"/>
              </w:rPr>
              <m:t>-7.0</m:t>
            </m:r>
          </m:num>
          <m:den>
            <m:sSub>
              <m:sSubPr>
                <m:ctrlPr>
                  <w:rPr>
                    <w:rFonts w:ascii="Cambria Math" w:hAnsi="Cambria Math"/>
                    <w:i/>
                    <w:kern w:val="0"/>
                    <w:sz w:val="28"/>
                    <w:szCs w:val="24"/>
                  </w:rPr>
                </m:ctrlPr>
              </m:sSubPr>
              <m:e>
                <m:r>
                  <w:rPr>
                    <w:rFonts w:ascii="Cambria Math" w:hAnsi="Cambria Math"/>
                    <w:sz w:val="28"/>
                    <w:szCs w:val="24"/>
                  </w:rPr>
                  <m:t>pH</m:t>
                </m:r>
              </m:e>
              <m:sub>
                <m:r>
                  <w:rPr>
                    <w:rFonts w:ascii="Cambria Math" w:hAnsi="Cambria Math"/>
                    <w:sz w:val="28"/>
                    <w:szCs w:val="24"/>
                  </w:rPr>
                  <m:t>jsu</m:t>
                </m:r>
              </m:sub>
            </m:sSub>
            <m:r>
              <w:rPr>
                <w:rFonts w:ascii="Cambria Math" w:hAnsi="Cambria Math"/>
                <w:sz w:val="28"/>
                <w:szCs w:val="24"/>
              </w:rPr>
              <m:t>-7.0</m:t>
            </m:r>
          </m:den>
        </m:f>
      </m:oMath>
      <w:r w:rsidR="00D063D9" w:rsidRPr="00D063D9">
        <w:rPr>
          <w:rFonts w:hint="eastAsia"/>
          <w:sz w:val="28"/>
          <w:szCs w:val="24"/>
        </w:rPr>
        <w:t xml:space="preserve">  </w:t>
      </w:r>
      <w:r w:rsidR="00D063D9">
        <w:rPr>
          <w:rFonts w:hint="eastAsia"/>
          <w:sz w:val="28"/>
          <w:szCs w:val="24"/>
        </w:rPr>
        <w:t xml:space="preserve"> </w:t>
      </w:r>
      <w:r w:rsidR="00D063D9" w:rsidRPr="00D063D9">
        <w:rPr>
          <w:rFonts w:hint="eastAsia"/>
          <w:sz w:val="28"/>
          <w:szCs w:val="24"/>
        </w:rPr>
        <w:t xml:space="preserve"> </w:t>
      </w:r>
      <w:r w:rsidR="00D063D9" w:rsidRPr="00D063D9">
        <w:rPr>
          <w:rFonts w:hint="eastAsia"/>
          <w:sz w:val="24"/>
          <w:szCs w:val="24"/>
        </w:rPr>
        <w:t xml:space="preserve"> </w:t>
      </w:r>
      <w:r w:rsidR="00D063D9" w:rsidRPr="00D063D9">
        <w:rPr>
          <w:rFonts w:ascii="Times New Roman" w:hAnsi="Times New Roman" w:cs="Times New Roman"/>
          <w:sz w:val="24"/>
          <w:szCs w:val="24"/>
        </w:rPr>
        <w:t>pH</w:t>
      </w:r>
      <w:r w:rsidR="00D063D9">
        <w:rPr>
          <w:rFonts w:ascii="宋体" w:hAnsi="宋体" w:cs="Times New Roman" w:hint="eastAsia"/>
          <w:sz w:val="24"/>
          <w:szCs w:val="24"/>
        </w:rPr>
        <w:t>≧</w:t>
      </w:r>
      <w:r w:rsidR="00D063D9" w:rsidRPr="00D063D9">
        <w:rPr>
          <w:rFonts w:ascii="Times New Roman" w:hAnsi="Times New Roman" w:cs="Times New Roman"/>
          <w:sz w:val="24"/>
          <w:szCs w:val="24"/>
        </w:rPr>
        <w:t>7.0</w:t>
      </w:r>
    </w:p>
    <w:p w:rsidR="006839C4" w:rsidRDefault="003B1225" w:rsidP="00281269">
      <w:pPr>
        <w:pStyle w:val="a5"/>
        <w:spacing w:before="74" w:line="360" w:lineRule="auto"/>
        <w:ind w:left="714" w:firstLine="482"/>
      </w:pPr>
      <w:r>
        <w:rPr>
          <w:rFonts w:hint="eastAsia"/>
        </w:rPr>
        <w:t>式中：</w:t>
      </w:r>
      <w:r>
        <w:rPr>
          <w:rFonts w:ascii="Times New Roman" w:hAnsi="Times New Roman"/>
        </w:rPr>
        <w:t>S</w:t>
      </w:r>
      <w:r>
        <w:rPr>
          <w:rFonts w:ascii="Times New Roman" w:hAnsi="Times New Roman"/>
          <w:vertAlign w:val="subscript"/>
        </w:rPr>
        <w:t>pH</w:t>
      </w:r>
      <w:r>
        <w:rPr>
          <w:rFonts w:hint="eastAsia"/>
          <w:position w:val="-2"/>
          <w:sz w:val="12"/>
          <w:szCs w:val="12"/>
        </w:rPr>
        <w:t>，</w:t>
      </w:r>
      <w:r>
        <w:rPr>
          <w:rFonts w:ascii="Times New Roman" w:hAnsi="Times New Roman"/>
          <w:position w:val="-1"/>
          <w:sz w:val="15"/>
          <w:szCs w:val="15"/>
        </w:rPr>
        <w:t>j</w:t>
      </w:r>
      <w:r>
        <w:rPr>
          <w:rFonts w:ascii="Times New Roman" w:hAnsi="Times New Roman"/>
        </w:rPr>
        <w:t xml:space="preserve">—pH </w:t>
      </w:r>
      <w:r>
        <w:rPr>
          <w:rFonts w:hint="eastAsia"/>
        </w:rPr>
        <w:t xml:space="preserve">值在第 </w:t>
      </w:r>
      <w:r>
        <w:rPr>
          <w:rFonts w:ascii="Times New Roman" w:hAnsi="Times New Roman"/>
        </w:rPr>
        <w:t xml:space="preserve">j </w:t>
      </w:r>
      <w:r>
        <w:rPr>
          <w:rFonts w:hint="eastAsia"/>
        </w:rPr>
        <w:t>点标准指数；</w:t>
      </w:r>
    </w:p>
    <w:p w:rsidR="006839C4" w:rsidRDefault="00D063D9" w:rsidP="00281269">
      <w:pPr>
        <w:pStyle w:val="a5"/>
        <w:spacing w:before="74" w:line="360" w:lineRule="auto"/>
        <w:ind w:left="714" w:firstLine="482"/>
      </w:pPr>
      <w:r>
        <w:rPr>
          <w:rFonts w:ascii="Times New Roman" w:hAnsi="Times New Roman"/>
        </w:rPr>
        <w:t>pH</w:t>
      </w:r>
      <w:r w:rsidR="003B1225">
        <w:rPr>
          <w:rFonts w:ascii="Times New Roman" w:hAnsi="Times New Roman"/>
          <w:vertAlign w:val="subscript"/>
        </w:rPr>
        <w:t>j</w:t>
      </w:r>
      <w:r w:rsidR="003B1225">
        <w:rPr>
          <w:rFonts w:ascii="Times New Roman" w:hAnsi="Times New Roman"/>
        </w:rPr>
        <w:t>—</w:t>
      </w:r>
      <w:r w:rsidR="003B1225">
        <w:rPr>
          <w:rFonts w:hint="eastAsia"/>
        </w:rPr>
        <w:t>第</w:t>
      </w:r>
      <w:r>
        <w:rPr>
          <w:rFonts w:ascii="Times New Roman" w:hAnsi="Times New Roman"/>
        </w:rPr>
        <w:t>j</w:t>
      </w:r>
      <w:r w:rsidR="003B1225">
        <w:rPr>
          <w:rFonts w:hint="eastAsia"/>
        </w:rPr>
        <w:t xml:space="preserve">点 </w:t>
      </w:r>
      <w:r w:rsidR="003B1225">
        <w:rPr>
          <w:rFonts w:ascii="Times New Roman" w:hAnsi="Times New Roman"/>
        </w:rPr>
        <w:t xml:space="preserve">pH </w:t>
      </w:r>
      <w:r w:rsidR="003B1225">
        <w:rPr>
          <w:rFonts w:hint="eastAsia"/>
        </w:rPr>
        <w:t>监测值；</w:t>
      </w:r>
    </w:p>
    <w:p w:rsidR="006839C4" w:rsidRPr="00D063D9" w:rsidRDefault="00D063D9" w:rsidP="00281269">
      <w:pPr>
        <w:pStyle w:val="a5"/>
        <w:spacing w:before="74" w:line="360" w:lineRule="auto"/>
        <w:ind w:left="714" w:firstLine="482"/>
        <w:rPr>
          <w:rFonts w:ascii="Times New Roman" w:hAnsi="Times New Roman" w:cs="Times New Roman"/>
          <w:position w:val="2"/>
        </w:rPr>
      </w:pPr>
      <w:r>
        <w:rPr>
          <w:rFonts w:ascii="Times New Roman" w:hAnsi="Times New Roman"/>
        </w:rPr>
        <w:t>pH</w:t>
      </w:r>
      <w:r w:rsidR="003B1225" w:rsidRPr="00D063D9">
        <w:rPr>
          <w:rFonts w:ascii="Times New Roman" w:hAnsi="Times New Roman" w:cs="Times New Roman"/>
          <w:position w:val="2"/>
          <w:vertAlign w:val="subscript"/>
        </w:rPr>
        <w:t>sd</w:t>
      </w:r>
      <w:r w:rsidR="003B1225" w:rsidRPr="00D063D9">
        <w:rPr>
          <w:rFonts w:ascii="Times New Roman" w:hAnsi="Times New Roman" w:cs="Times New Roman"/>
          <w:position w:val="2"/>
        </w:rPr>
        <w:t>—pH</w:t>
      </w:r>
      <w:r w:rsidR="003B1225" w:rsidRPr="00D063D9">
        <w:rPr>
          <w:rFonts w:ascii="Times New Roman" w:hAnsi="Times New Roman" w:cs="Times New Roman"/>
          <w:position w:val="2"/>
        </w:rPr>
        <w:t>标准低限值；</w:t>
      </w:r>
    </w:p>
    <w:p w:rsidR="006839C4" w:rsidRPr="00D063D9" w:rsidRDefault="00D063D9" w:rsidP="00281269">
      <w:pPr>
        <w:pStyle w:val="a5"/>
        <w:spacing w:before="74" w:line="360" w:lineRule="auto"/>
        <w:ind w:left="714" w:firstLine="482"/>
        <w:rPr>
          <w:rFonts w:ascii="Times New Roman" w:hAnsi="Times New Roman" w:cs="Times New Roman"/>
          <w:spacing w:val="-7"/>
          <w:position w:val="2"/>
        </w:rPr>
      </w:pPr>
      <w:r>
        <w:rPr>
          <w:rFonts w:ascii="Times New Roman" w:hAnsi="Times New Roman"/>
        </w:rPr>
        <w:t>pH</w:t>
      </w:r>
      <w:r w:rsidR="003B1225" w:rsidRPr="00D063D9">
        <w:rPr>
          <w:rFonts w:ascii="Times New Roman" w:hAnsi="Times New Roman" w:cs="Times New Roman"/>
          <w:position w:val="2"/>
          <w:vertAlign w:val="subscript"/>
        </w:rPr>
        <w:t>su</w:t>
      </w:r>
      <w:r w:rsidR="003B1225" w:rsidRPr="00D063D9">
        <w:rPr>
          <w:rFonts w:ascii="Times New Roman" w:hAnsi="Times New Roman" w:cs="Times New Roman"/>
          <w:position w:val="2"/>
        </w:rPr>
        <w:t>—pH</w:t>
      </w:r>
      <w:r w:rsidR="003B1225" w:rsidRPr="00D063D9">
        <w:rPr>
          <w:rFonts w:ascii="Times New Roman" w:hAnsi="Times New Roman" w:cs="Times New Roman"/>
          <w:spacing w:val="-7"/>
          <w:position w:val="2"/>
        </w:rPr>
        <w:t>标准高限值。</w:t>
      </w:r>
    </w:p>
    <w:p w:rsidR="003B1225" w:rsidRDefault="003B1225" w:rsidP="00281269">
      <w:pPr>
        <w:pStyle w:val="a5"/>
        <w:spacing w:before="74" w:line="360" w:lineRule="auto"/>
        <w:ind w:left="714" w:firstLine="482"/>
      </w:pPr>
      <w:r w:rsidRPr="00D063D9">
        <w:rPr>
          <w:rFonts w:ascii="Times New Roman" w:hAnsi="Times New Roman" w:cs="Times New Roman"/>
        </w:rPr>
        <w:t>当水质参数的标准指数＞</w:t>
      </w:r>
      <w:r w:rsidRPr="00D063D9">
        <w:rPr>
          <w:rFonts w:ascii="Times New Roman" w:hAnsi="Times New Roman" w:cs="Times New Roman"/>
        </w:rPr>
        <w:t>1</w:t>
      </w:r>
      <w:r>
        <w:rPr>
          <w:rFonts w:hint="eastAsia"/>
        </w:rPr>
        <w:t>时，则该污染物超标。</w:t>
      </w:r>
    </w:p>
    <w:p w:rsidR="00D063D9" w:rsidRDefault="00A74294" w:rsidP="00281269">
      <w:pPr>
        <w:ind w:firstLine="480"/>
      </w:pPr>
      <w:r>
        <w:rPr>
          <w:rFonts w:hint="eastAsia"/>
        </w:rPr>
        <w:t>溶解氧的评价模式为：</w:t>
      </w:r>
    </w:p>
    <w:p w:rsidR="00674DED" w:rsidRPr="00D063D9" w:rsidRDefault="009D20DC" w:rsidP="00281269">
      <w:pPr>
        <w:pStyle w:val="70"/>
        <w:spacing w:line="360" w:lineRule="auto"/>
        <w:ind w:firstLine="482"/>
        <w:jc w:val="center"/>
        <w:rPr>
          <w:sz w:val="28"/>
          <w:szCs w:val="24"/>
        </w:rPr>
      </w:pPr>
      <m:oMath>
        <m:sSub>
          <m:sSubPr>
            <m:ctrlPr>
              <w:rPr>
                <w:rFonts w:ascii="Cambria Math" w:hAnsi="Cambria Math"/>
                <w:kern w:val="0"/>
                <w:sz w:val="28"/>
                <w:szCs w:val="24"/>
              </w:rPr>
            </m:ctrlPr>
          </m:sSubPr>
          <m:e>
            <m:r>
              <w:rPr>
                <w:rFonts w:ascii="Cambria Math" w:hAnsi="Cambria Math"/>
                <w:sz w:val="28"/>
                <w:szCs w:val="24"/>
              </w:rPr>
              <m:t>S</m:t>
            </m:r>
          </m:e>
          <m:sub>
            <m:r>
              <w:rPr>
                <w:rFonts w:ascii="Cambria Math" w:hAnsi="Cambria Math"/>
                <w:sz w:val="28"/>
                <w:szCs w:val="24"/>
              </w:rPr>
              <m:t>DO,j</m:t>
            </m:r>
          </m:sub>
        </m:sSub>
        <m:r>
          <w:rPr>
            <w:rFonts w:ascii="Cambria Math" w:hAnsi="Cambria Math"/>
            <w:sz w:val="28"/>
            <w:szCs w:val="24"/>
          </w:rPr>
          <m:t>=</m:t>
        </m:r>
        <m:f>
          <m:fPr>
            <m:ctrlPr>
              <w:rPr>
                <w:rFonts w:ascii="Cambria Math" w:hAnsi="Cambria Math"/>
                <w:i/>
                <w:kern w:val="0"/>
                <w:sz w:val="28"/>
                <w:szCs w:val="24"/>
              </w:rPr>
            </m:ctrlPr>
          </m:fPr>
          <m:num>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S</m:t>
                </m:r>
              </m:sub>
            </m:sSub>
          </m:num>
          <m:den>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j</m:t>
                </m:r>
              </m:sub>
            </m:sSub>
          </m:den>
        </m:f>
        <m:r>
          <w:rPr>
            <w:rFonts w:ascii="Cambria Math" w:hAnsi="Cambria Math"/>
            <w:kern w:val="0"/>
            <w:sz w:val="28"/>
            <w:szCs w:val="24"/>
          </w:rPr>
          <m:t xml:space="preserve">      </m:t>
        </m:r>
        <m:sSub>
          <m:sSubPr>
            <m:ctrlPr>
              <w:rPr>
                <w:rFonts w:ascii="Cambria Math" w:hAnsi="Cambria Math"/>
                <w:i/>
                <w:kern w:val="0"/>
                <w:sz w:val="28"/>
                <w:szCs w:val="24"/>
              </w:rPr>
            </m:ctrlPr>
          </m:sSubPr>
          <m:e>
            <m:r>
              <w:rPr>
                <w:rFonts w:ascii="Cambria Math" w:hAnsi="Cambria Math"/>
                <w:kern w:val="0"/>
                <w:sz w:val="28"/>
                <w:szCs w:val="24"/>
              </w:rPr>
              <m:t xml:space="preserve">         DO</m:t>
            </m:r>
          </m:e>
          <m:sub>
            <m:r>
              <w:rPr>
                <w:rFonts w:ascii="Cambria Math" w:hAnsi="Cambria Math"/>
                <w:kern w:val="0"/>
                <w:sz w:val="28"/>
                <w:szCs w:val="24"/>
              </w:rPr>
              <m:t>j</m:t>
            </m:r>
          </m:sub>
        </m:sSub>
        <m:r>
          <w:rPr>
            <w:rFonts w:ascii="Cambria Math" w:hAnsi="Cambria Math"/>
            <w:kern w:val="0"/>
            <w:sz w:val="28"/>
            <w:szCs w:val="24"/>
          </w:rPr>
          <m:t>≤</m:t>
        </m:r>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f</m:t>
            </m:r>
          </m:sub>
        </m:sSub>
      </m:oMath>
      <w:r w:rsidR="00674DED" w:rsidRPr="00D063D9">
        <w:rPr>
          <w:rFonts w:hint="eastAsia"/>
          <w:sz w:val="28"/>
          <w:szCs w:val="24"/>
        </w:rPr>
        <w:t xml:space="preserve">  </w:t>
      </w:r>
      <w:r w:rsidR="00674DED">
        <w:rPr>
          <w:rFonts w:hint="eastAsia"/>
          <w:sz w:val="28"/>
          <w:szCs w:val="24"/>
        </w:rPr>
        <w:t xml:space="preserve"> </w:t>
      </w:r>
      <w:r w:rsidR="00674DED" w:rsidRPr="00D063D9">
        <w:rPr>
          <w:rFonts w:hint="eastAsia"/>
          <w:sz w:val="28"/>
          <w:szCs w:val="24"/>
        </w:rPr>
        <w:t xml:space="preserve"> </w:t>
      </w:r>
      <w:r w:rsidR="00674DED" w:rsidRPr="00D063D9">
        <w:rPr>
          <w:rFonts w:hint="eastAsia"/>
          <w:sz w:val="22"/>
        </w:rPr>
        <w:t xml:space="preserve"> </w:t>
      </w:r>
    </w:p>
    <w:p w:rsidR="00674DED" w:rsidRPr="00D063D9" w:rsidRDefault="009D20DC" w:rsidP="00281269">
      <w:pPr>
        <w:pStyle w:val="70"/>
        <w:spacing w:line="360" w:lineRule="auto"/>
        <w:ind w:firstLine="482"/>
        <w:jc w:val="center"/>
        <w:rPr>
          <w:sz w:val="28"/>
          <w:szCs w:val="24"/>
        </w:rPr>
      </w:pPr>
      <m:oMath>
        <m:sSub>
          <m:sSubPr>
            <m:ctrlPr>
              <w:rPr>
                <w:rFonts w:ascii="Cambria Math" w:hAnsi="Cambria Math"/>
                <w:kern w:val="0"/>
                <w:sz w:val="28"/>
                <w:szCs w:val="24"/>
              </w:rPr>
            </m:ctrlPr>
          </m:sSubPr>
          <m:e>
            <m:r>
              <w:rPr>
                <w:rFonts w:ascii="Cambria Math" w:hAnsi="Cambria Math"/>
                <w:sz w:val="28"/>
                <w:szCs w:val="24"/>
              </w:rPr>
              <m:t>S</m:t>
            </m:r>
          </m:e>
          <m:sub>
            <m:r>
              <w:rPr>
                <w:rFonts w:ascii="Cambria Math" w:hAnsi="Cambria Math"/>
                <w:sz w:val="28"/>
                <w:szCs w:val="24"/>
              </w:rPr>
              <m:t>DO,j</m:t>
            </m:r>
          </m:sub>
        </m:sSub>
        <m:r>
          <w:rPr>
            <w:rFonts w:ascii="Cambria Math" w:hAnsi="Cambria Math"/>
            <w:sz w:val="28"/>
            <w:szCs w:val="24"/>
          </w:rPr>
          <m:t>=</m:t>
        </m:r>
        <m:f>
          <m:fPr>
            <m:ctrlPr>
              <w:rPr>
                <w:rFonts w:ascii="Cambria Math" w:hAnsi="Cambria Math"/>
                <w:i/>
                <w:kern w:val="0"/>
                <w:sz w:val="28"/>
                <w:szCs w:val="24"/>
              </w:rPr>
            </m:ctrlPr>
          </m:fPr>
          <m:num>
            <m:d>
              <m:dPr>
                <m:begChr m:val="|"/>
                <m:endChr m:val="|"/>
                <m:ctrlPr>
                  <w:rPr>
                    <w:rFonts w:ascii="Cambria Math" w:hAnsi="Cambria Math"/>
                    <w:i/>
                    <w:kern w:val="0"/>
                    <w:sz w:val="28"/>
                    <w:szCs w:val="24"/>
                  </w:rPr>
                </m:ctrlPr>
              </m:dPr>
              <m:e>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f</m:t>
                    </m:r>
                  </m:sub>
                </m:sSub>
                <m:r>
                  <w:rPr>
                    <w:rFonts w:ascii="Cambria Math" w:hAnsi="Cambria Math"/>
                    <w:kern w:val="0"/>
                    <w:sz w:val="28"/>
                    <w:szCs w:val="24"/>
                  </w:rPr>
                  <m:t>-</m:t>
                </m:r>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j</m:t>
                    </m:r>
                  </m:sub>
                </m:sSub>
              </m:e>
            </m:d>
          </m:num>
          <m:den>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f</m:t>
                </m:r>
              </m:sub>
            </m:sSub>
            <m:r>
              <w:rPr>
                <w:rFonts w:ascii="Cambria Math" w:hAnsi="Cambria Math"/>
                <w:kern w:val="0"/>
                <w:sz w:val="28"/>
                <w:szCs w:val="24"/>
              </w:rPr>
              <m:t>-</m:t>
            </m:r>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s</m:t>
                </m:r>
              </m:sub>
            </m:sSub>
          </m:den>
        </m:f>
      </m:oMath>
      <w:r w:rsidR="00674DED">
        <w:rPr>
          <w:rFonts w:hint="eastAsia"/>
          <w:kern w:val="0"/>
          <w:sz w:val="28"/>
          <w:szCs w:val="24"/>
        </w:rPr>
        <w:t xml:space="preserve">   </w:t>
      </w:r>
      <m:oMath>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j</m:t>
            </m:r>
          </m:sub>
        </m:sSub>
        <m:r>
          <w:rPr>
            <w:rFonts w:ascii="Cambria Math" w:hAnsi="Cambria Math"/>
            <w:kern w:val="0"/>
            <w:sz w:val="28"/>
            <w:szCs w:val="24"/>
          </w:rPr>
          <m:t>&gt;</m:t>
        </m:r>
        <m:sSub>
          <m:sSubPr>
            <m:ctrlPr>
              <w:rPr>
                <w:rFonts w:ascii="Cambria Math" w:hAnsi="Cambria Math"/>
                <w:i/>
                <w:kern w:val="0"/>
                <w:sz w:val="28"/>
                <w:szCs w:val="24"/>
              </w:rPr>
            </m:ctrlPr>
          </m:sSubPr>
          <m:e>
            <m:r>
              <w:rPr>
                <w:rFonts w:ascii="Cambria Math" w:hAnsi="Cambria Math"/>
                <w:kern w:val="0"/>
                <w:sz w:val="28"/>
                <w:szCs w:val="24"/>
              </w:rPr>
              <m:t>DO</m:t>
            </m:r>
          </m:e>
          <m:sub>
            <m:r>
              <w:rPr>
                <w:rFonts w:ascii="Cambria Math" w:hAnsi="Cambria Math"/>
                <w:kern w:val="0"/>
                <w:sz w:val="28"/>
                <w:szCs w:val="24"/>
              </w:rPr>
              <m:t>f</m:t>
            </m:r>
          </m:sub>
        </m:sSub>
      </m:oMath>
      <w:r w:rsidR="00674DED" w:rsidRPr="00D063D9">
        <w:rPr>
          <w:rFonts w:hint="eastAsia"/>
          <w:sz w:val="28"/>
          <w:szCs w:val="24"/>
        </w:rPr>
        <w:t xml:space="preserve">  </w:t>
      </w:r>
      <w:r w:rsidR="00674DED">
        <w:rPr>
          <w:rFonts w:hint="eastAsia"/>
          <w:sz w:val="28"/>
          <w:szCs w:val="24"/>
        </w:rPr>
        <w:t xml:space="preserve"> </w:t>
      </w:r>
      <w:r w:rsidR="00674DED" w:rsidRPr="00D063D9">
        <w:rPr>
          <w:rFonts w:hint="eastAsia"/>
          <w:sz w:val="28"/>
          <w:szCs w:val="24"/>
        </w:rPr>
        <w:t xml:space="preserve"> </w:t>
      </w:r>
      <w:r w:rsidR="00674DED" w:rsidRPr="00D063D9">
        <w:rPr>
          <w:rFonts w:hint="eastAsia"/>
          <w:sz w:val="24"/>
          <w:szCs w:val="24"/>
        </w:rPr>
        <w:t xml:space="preserve"> </w:t>
      </w:r>
    </w:p>
    <w:p w:rsidR="00674DED" w:rsidRDefault="00674DED" w:rsidP="00281269">
      <w:pPr>
        <w:ind w:firstLine="480"/>
      </w:pPr>
      <w:r>
        <w:rPr>
          <w:rFonts w:hint="eastAsia"/>
        </w:rPr>
        <w:t>式中：</w:t>
      </w:r>
      <w:r>
        <w:rPr>
          <w:rFonts w:hint="eastAsia"/>
        </w:rPr>
        <w:t>S</w:t>
      </w:r>
      <w:r w:rsidRPr="00674DED">
        <w:rPr>
          <w:rFonts w:hint="eastAsia"/>
          <w:vertAlign w:val="subscript"/>
        </w:rPr>
        <w:t>DO,j</w:t>
      </w:r>
      <w:r>
        <w:rPr>
          <w:rFonts w:hint="eastAsia"/>
        </w:rPr>
        <w:t>——溶解氧的标准指数，大于</w:t>
      </w:r>
      <w:r>
        <w:rPr>
          <w:rFonts w:hint="eastAsia"/>
        </w:rPr>
        <w:t xml:space="preserve">1 </w:t>
      </w:r>
      <w:r>
        <w:rPr>
          <w:rFonts w:hint="eastAsia"/>
        </w:rPr>
        <w:t>表明该水质因子超标；</w:t>
      </w:r>
    </w:p>
    <w:p w:rsidR="00674DED" w:rsidRDefault="00674DED" w:rsidP="00281269">
      <w:pPr>
        <w:ind w:left="780" w:firstLine="480"/>
      </w:pPr>
      <w:r w:rsidRPr="00674DED">
        <w:rPr>
          <w:rFonts w:hint="eastAsia"/>
        </w:rPr>
        <w:t>DO</w:t>
      </w:r>
      <w:r w:rsidRPr="00674DED">
        <w:rPr>
          <w:rFonts w:hint="eastAsia"/>
          <w:vertAlign w:val="subscript"/>
        </w:rPr>
        <w:t>j</w:t>
      </w:r>
      <w:r>
        <w:rPr>
          <w:rFonts w:hint="eastAsia"/>
        </w:rPr>
        <w:t>——溶解氧在</w:t>
      </w:r>
      <w:r>
        <w:t>j</w:t>
      </w:r>
      <w:r>
        <w:rPr>
          <w:rFonts w:hint="eastAsia"/>
        </w:rPr>
        <w:t>点的实测统计代表值，</w:t>
      </w:r>
      <w:r>
        <w:rPr>
          <w:rFonts w:hint="eastAsia"/>
        </w:rPr>
        <w:t>mg/L</w:t>
      </w:r>
      <w:r>
        <w:rPr>
          <w:rFonts w:hint="eastAsia"/>
        </w:rPr>
        <w:t>；</w:t>
      </w:r>
    </w:p>
    <w:p w:rsidR="00674DED" w:rsidRDefault="00674DED" w:rsidP="00281269">
      <w:pPr>
        <w:ind w:left="780" w:firstLine="480"/>
      </w:pPr>
      <w:r w:rsidRPr="00674DED">
        <w:rPr>
          <w:rFonts w:hint="eastAsia"/>
        </w:rPr>
        <w:t>DO</w:t>
      </w:r>
      <w:r>
        <w:rPr>
          <w:rFonts w:hint="eastAsia"/>
          <w:vertAlign w:val="subscript"/>
        </w:rPr>
        <w:t>s</w:t>
      </w:r>
      <w:r>
        <w:rPr>
          <w:rFonts w:hint="eastAsia"/>
        </w:rPr>
        <w:t>——溶解氧的水质评价标准限值，</w:t>
      </w:r>
      <w:r>
        <w:rPr>
          <w:rFonts w:hint="eastAsia"/>
        </w:rPr>
        <w:t>mg/L</w:t>
      </w:r>
      <w:r>
        <w:rPr>
          <w:rFonts w:hint="eastAsia"/>
        </w:rPr>
        <w:t>；</w:t>
      </w:r>
    </w:p>
    <w:p w:rsidR="00674DED" w:rsidRDefault="00674DED" w:rsidP="00281269">
      <w:pPr>
        <w:ind w:left="780" w:firstLine="480"/>
      </w:pPr>
      <w:r w:rsidRPr="00674DED">
        <w:rPr>
          <w:rFonts w:hint="eastAsia"/>
        </w:rPr>
        <w:t>DO</w:t>
      </w:r>
      <w:r>
        <w:rPr>
          <w:rFonts w:hint="eastAsia"/>
          <w:vertAlign w:val="subscript"/>
        </w:rPr>
        <w:t>f</w:t>
      </w:r>
      <w:r>
        <w:rPr>
          <w:rFonts w:hint="eastAsia"/>
        </w:rPr>
        <w:t>——饱和溶解氧浓度，</w:t>
      </w:r>
      <w:r>
        <w:rPr>
          <w:rFonts w:hint="eastAsia"/>
        </w:rPr>
        <w:t>mg/L</w:t>
      </w:r>
      <w:r>
        <w:rPr>
          <w:rFonts w:hint="eastAsia"/>
        </w:rPr>
        <w:t>，对于河流，</w:t>
      </w:r>
    </w:p>
    <w:p w:rsidR="00674DED" w:rsidRDefault="00674DED" w:rsidP="00281269">
      <w:pPr>
        <w:ind w:left="780" w:firstLine="480"/>
      </w:pPr>
      <w:r>
        <w:rPr>
          <w:rFonts w:hint="eastAsia"/>
        </w:rPr>
        <w:t>DO</w:t>
      </w:r>
      <w:r w:rsidRPr="00674DED">
        <w:rPr>
          <w:rFonts w:hint="eastAsia"/>
          <w:vertAlign w:val="subscript"/>
        </w:rPr>
        <w:t xml:space="preserve">f </w:t>
      </w:r>
      <w:r>
        <w:rPr>
          <w:rFonts w:hint="eastAsia"/>
        </w:rPr>
        <w:t>= 468/</w:t>
      </w:r>
      <w:r w:rsidR="00E97427">
        <w:rPr>
          <w:rFonts w:hint="eastAsia"/>
        </w:rPr>
        <w:t>（</w:t>
      </w:r>
      <w:r>
        <w:rPr>
          <w:rFonts w:hint="eastAsia"/>
        </w:rPr>
        <w:t>31.6 +T</w:t>
      </w:r>
      <w:r w:rsidR="00E97427">
        <w:rPr>
          <w:rFonts w:hint="eastAsia"/>
        </w:rPr>
        <w:t>）</w:t>
      </w:r>
      <w:r>
        <w:rPr>
          <w:rFonts w:hint="eastAsia"/>
        </w:rPr>
        <w:t>；对于盐度比较高的湖泊、水库及入海河口、近岸海域，</w:t>
      </w:r>
      <w:r>
        <w:t>DO</w:t>
      </w:r>
      <w:r w:rsidRPr="00674DED">
        <w:rPr>
          <w:vertAlign w:val="subscript"/>
        </w:rPr>
        <w:t>f</w:t>
      </w:r>
      <w:r>
        <w:t xml:space="preserve"> =</w:t>
      </w:r>
      <w:r w:rsidR="00E97427">
        <w:t>（</w:t>
      </w:r>
      <w:r>
        <w:t>491− 2.65S</w:t>
      </w:r>
      <w:r w:rsidR="00E97427">
        <w:t>）</w:t>
      </w:r>
      <w:r>
        <w:t>/</w:t>
      </w:r>
      <w:r w:rsidR="00E97427">
        <w:t>（</w:t>
      </w:r>
      <w:r>
        <w:t>33.5 +T</w:t>
      </w:r>
      <w:r w:rsidR="00E97427">
        <w:t>）</w:t>
      </w:r>
      <w:r>
        <w:rPr>
          <w:rFonts w:hint="eastAsia"/>
        </w:rPr>
        <w:t>；</w:t>
      </w:r>
    </w:p>
    <w:p w:rsidR="00674DED" w:rsidRDefault="00674DED" w:rsidP="00281269">
      <w:pPr>
        <w:ind w:left="780" w:firstLine="480"/>
      </w:pPr>
      <w:r>
        <w:lastRenderedPageBreak/>
        <w:t>S ——</w:t>
      </w:r>
      <w:r>
        <w:rPr>
          <w:rFonts w:hint="eastAsia"/>
        </w:rPr>
        <w:t>实用盐度符号，量纲为</w:t>
      </w:r>
      <w:r>
        <w:t xml:space="preserve"> 1</w:t>
      </w:r>
      <w:r>
        <w:rPr>
          <w:rFonts w:hint="eastAsia"/>
        </w:rPr>
        <w:t>；</w:t>
      </w:r>
    </w:p>
    <w:p w:rsidR="00A74294" w:rsidRPr="00674DED" w:rsidRDefault="00674DED" w:rsidP="00281269">
      <w:pPr>
        <w:ind w:left="780" w:firstLine="480"/>
      </w:pPr>
      <w:r>
        <w:rPr>
          <w:rFonts w:hint="eastAsia"/>
        </w:rPr>
        <w:t>T</w:t>
      </w:r>
      <w:r>
        <w:rPr>
          <w:rFonts w:hint="eastAsia"/>
        </w:rPr>
        <w:t>——水温，℃。</w:t>
      </w:r>
    </w:p>
    <w:p w:rsidR="00CC4576" w:rsidRDefault="00CC4576" w:rsidP="00281269">
      <w:pPr>
        <w:ind w:firstLine="480"/>
      </w:pPr>
      <w:r>
        <w:rPr>
          <w:rFonts w:hint="eastAsia"/>
        </w:rPr>
        <w:t>（</w:t>
      </w:r>
      <w:r>
        <w:rPr>
          <w:rFonts w:hint="eastAsia"/>
        </w:rPr>
        <w:t>5</w:t>
      </w:r>
      <w:r w:rsidR="00CF1EAA">
        <w:rPr>
          <w:rFonts w:hint="eastAsia"/>
        </w:rPr>
        <w:t>）监测</w:t>
      </w:r>
      <w:r>
        <w:rPr>
          <w:rFonts w:hint="eastAsia"/>
        </w:rPr>
        <w:t>结果分析</w:t>
      </w:r>
    </w:p>
    <w:p w:rsidR="00CC4576" w:rsidRDefault="00CF1EAA" w:rsidP="00CF1EAA">
      <w:pPr>
        <w:ind w:firstLine="480"/>
      </w:pPr>
      <w:r w:rsidRPr="00CF1EAA">
        <w:rPr>
          <w:rFonts w:hint="eastAsia"/>
        </w:rPr>
        <w:t>地表水环境现状监测统计及评价结果见</w:t>
      </w:r>
      <w:r w:rsidR="004A1A99">
        <w:fldChar w:fldCharType="begin"/>
      </w:r>
      <w:r w:rsidR="004A1A99">
        <w:instrText xml:space="preserve"> </w:instrText>
      </w:r>
      <w:r w:rsidR="004A1A99">
        <w:rPr>
          <w:rFonts w:hint="eastAsia"/>
        </w:rPr>
        <w:instrText>REF _Ref80089848 \h</w:instrText>
      </w:r>
      <w:r w:rsidR="004A1A99">
        <w:instrText xml:space="preserve"> </w:instrText>
      </w:r>
      <w:r w:rsidR="004A1A99">
        <w:fldChar w:fldCharType="separate"/>
      </w:r>
      <w:r w:rsidR="00E97427">
        <w:rPr>
          <w:rFonts w:hint="eastAsia"/>
        </w:rPr>
        <w:t>表</w:t>
      </w:r>
      <w:r w:rsidR="00E97427">
        <w:rPr>
          <w:rFonts w:hint="eastAsia"/>
        </w:rPr>
        <w:t xml:space="preserve"> </w:t>
      </w:r>
      <w:r w:rsidR="00E97427">
        <w:rPr>
          <w:noProof/>
        </w:rPr>
        <w:t>5.3</w:t>
      </w:r>
      <w:r w:rsidR="00E97427">
        <w:noBreakHyphen/>
      </w:r>
      <w:r w:rsidR="00E97427">
        <w:rPr>
          <w:noProof/>
        </w:rPr>
        <w:t>4</w:t>
      </w:r>
      <w:r w:rsidR="004A1A99">
        <w:fldChar w:fldCharType="end"/>
      </w:r>
      <w:r w:rsidR="004A1A99">
        <w:rPr>
          <w:rFonts w:hint="eastAsia"/>
        </w:rPr>
        <w:t>。</w:t>
      </w:r>
    </w:p>
    <w:p w:rsidR="00CF1EAA" w:rsidRDefault="004A1A99" w:rsidP="004A1A99">
      <w:pPr>
        <w:pStyle w:val="a3"/>
      </w:pPr>
      <w:bookmarkStart w:id="60" w:name="_Ref80089848"/>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bookmarkEnd w:id="60"/>
      <w:r>
        <w:rPr>
          <w:rFonts w:hint="eastAsia"/>
        </w:rPr>
        <w:t xml:space="preserve">  </w:t>
      </w:r>
      <w:r w:rsidRPr="00CF1EAA">
        <w:rPr>
          <w:rFonts w:hint="eastAsia"/>
        </w:rPr>
        <w:t>地表水环境现状监测统计及评价结果</w:t>
      </w:r>
      <w:r>
        <w:rPr>
          <w:rFonts w:hint="eastAsia"/>
        </w:rPr>
        <w:t>一览表</w:t>
      </w:r>
    </w:p>
    <w:tbl>
      <w:tblPr>
        <w:tblW w:w="5000" w:type="pct"/>
        <w:tblLayout w:type="fixed"/>
        <w:tblLook w:val="04A0" w:firstRow="1" w:lastRow="0" w:firstColumn="1" w:lastColumn="0" w:noHBand="0" w:noVBand="1"/>
      </w:tblPr>
      <w:tblGrid>
        <w:gridCol w:w="675"/>
        <w:gridCol w:w="1420"/>
        <w:gridCol w:w="1595"/>
        <w:gridCol w:w="912"/>
        <w:gridCol w:w="912"/>
        <w:gridCol w:w="1721"/>
        <w:gridCol w:w="644"/>
        <w:gridCol w:w="643"/>
      </w:tblGrid>
      <w:tr w:rsidR="00CE3263" w:rsidRPr="00CE3263" w:rsidTr="00EF37F4">
        <w:trPr>
          <w:trHeight w:val="340"/>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断面编号</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监测项目</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GB3838—2002III</w:t>
            </w:r>
            <w:r w:rsidRPr="00CE3263">
              <w:rPr>
                <w:rFonts w:ascii="宋体" w:hAnsi="宋体"/>
                <w:color w:val="000000"/>
                <w:kern w:val="0"/>
                <w:sz w:val="18"/>
                <w:szCs w:val="18"/>
              </w:rPr>
              <w:t>类标准</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低值</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高值</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监测值范围</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最大标准指数</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最大超标倍数</w:t>
            </w:r>
          </w:p>
        </w:tc>
      </w:tr>
      <w:tr w:rsidR="00CE3263" w:rsidRPr="00CE3263" w:rsidTr="00EF37F4">
        <w:trPr>
          <w:trHeight w:val="340"/>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w:t>
            </w:r>
            <w:r w:rsidR="00E97427">
              <w:rPr>
                <w:color w:val="000000"/>
                <w:kern w:val="0"/>
                <w:sz w:val="18"/>
                <w:szCs w:val="18"/>
              </w:rPr>
              <w:t>（</w:t>
            </w:r>
            <w:r w:rsidRPr="00CE3263">
              <w:rPr>
                <w:rFonts w:ascii="宋体" w:hAnsi="宋体"/>
                <w:color w:val="000000"/>
                <w:kern w:val="0"/>
                <w:sz w:val="18"/>
                <w:szCs w:val="18"/>
              </w:rPr>
              <w:t>两岔口上游</w:t>
            </w:r>
            <w:r w:rsidRPr="00CE3263">
              <w:rPr>
                <w:color w:val="000000"/>
                <w:kern w:val="0"/>
                <w:sz w:val="18"/>
                <w:szCs w:val="18"/>
              </w:rPr>
              <w:t>500m</w:t>
            </w:r>
            <w:r w:rsidRPr="00CE3263">
              <w:rPr>
                <w:rFonts w:ascii="宋体" w:hAnsi="宋体"/>
                <w:color w:val="000000"/>
                <w:kern w:val="0"/>
                <w:sz w:val="18"/>
                <w:szCs w:val="18"/>
              </w:rPr>
              <w:t>清洞口河</w:t>
            </w:r>
            <w:r w:rsidR="00E97427">
              <w:rPr>
                <w:color w:val="000000"/>
                <w:kern w:val="0"/>
                <w:sz w:val="18"/>
                <w:szCs w:val="18"/>
              </w:rPr>
              <w:t>）</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水温</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人为造成的环境水温变化应限制在</w:t>
            </w:r>
            <w:r w:rsidRPr="00CE3263">
              <w:rPr>
                <w:color w:val="000000"/>
                <w:kern w:val="0"/>
                <w:sz w:val="18"/>
                <w:szCs w:val="18"/>
              </w:rPr>
              <w:t>:</w:t>
            </w:r>
            <w:r w:rsidRPr="00CE3263">
              <w:rPr>
                <w:rFonts w:ascii="宋体" w:hAnsi="宋体"/>
                <w:color w:val="000000"/>
                <w:kern w:val="0"/>
                <w:sz w:val="18"/>
                <w:szCs w:val="18"/>
              </w:rPr>
              <w:t>周平均最大温升</w:t>
            </w:r>
            <w:r w:rsidRPr="00CE3263">
              <w:rPr>
                <w:color w:val="000000"/>
                <w:kern w:val="0"/>
                <w:sz w:val="18"/>
                <w:szCs w:val="18"/>
              </w:rPr>
              <w:t>≤1</w:t>
            </w:r>
            <w:r w:rsidRPr="00CE3263">
              <w:rPr>
                <w:rFonts w:hint="eastAsia"/>
                <w:color w:val="000000"/>
                <w:kern w:val="0"/>
                <w:sz w:val="18"/>
                <w:szCs w:val="18"/>
              </w:rPr>
              <w:t>；</w:t>
            </w:r>
            <w:r w:rsidRPr="00CE3263">
              <w:rPr>
                <w:rFonts w:ascii="宋体" w:hAnsi="宋体"/>
                <w:color w:val="000000"/>
                <w:kern w:val="0"/>
                <w:sz w:val="18"/>
                <w:szCs w:val="18"/>
              </w:rPr>
              <w:t>周平均最大温降</w:t>
            </w:r>
            <w:r w:rsidRPr="00CE3263">
              <w:rPr>
                <w:color w:val="000000"/>
                <w:kern w:val="0"/>
                <w:sz w:val="18"/>
                <w:szCs w:val="18"/>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18.7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19.3</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18.7~19.3</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pH</w:t>
            </w:r>
            <w:r w:rsidRPr="00CE3263">
              <w:rPr>
                <w:rFonts w:ascii="宋体" w:hAnsi="宋体"/>
                <w:color w:val="000000"/>
                <w:kern w:val="0"/>
                <w:sz w:val="18"/>
                <w:szCs w:val="18"/>
              </w:rPr>
              <w:t>值</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6~9</w:t>
            </w:r>
            <w:r w:rsidR="00EF37F4">
              <w:rPr>
                <w:rFonts w:hint="eastAsia"/>
                <w:color w:val="000000"/>
                <w:kern w:val="0"/>
                <w:sz w:val="18"/>
                <w:szCs w:val="18"/>
              </w:rPr>
              <w:t>（无量纲）</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7.54</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7.76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7.54~7.76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0.38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高锰酸盐指数</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6</w:t>
            </w:r>
            <w:r w:rsidR="00EF37F4">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4.2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4.8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4.2~4.8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0.80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溶解氧</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5</w:t>
            </w:r>
            <w:r w:rsidR="00EF37F4">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6.1</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6.5</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6.1~6.5</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0.82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五日生化需氧量</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4</w:t>
            </w:r>
            <w:r w:rsidR="00EF37F4">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1.6</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1.6~1.8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氨氮</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w:t>
            </w:r>
            <w:r w:rsidR="00EF37F4">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0.045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0.053</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0.045~0.053</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总磷</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0.2</w:t>
            </w:r>
            <w:r w:rsidR="00EF37F4">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0.08</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0.08~0.08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4A1A99" w:rsidRPr="004A1A99" w:rsidRDefault="004A1A99" w:rsidP="004A1A99">
            <w:pPr>
              <w:widowControl/>
              <w:spacing w:line="240" w:lineRule="auto"/>
              <w:ind w:firstLineChars="0" w:firstLine="0"/>
              <w:jc w:val="left"/>
              <w:rPr>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粪大肠菌群</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10000</w:t>
            </w:r>
            <w:r w:rsidR="00EF37F4">
              <w:rPr>
                <w:rFonts w:hint="eastAsia"/>
                <w:color w:val="000000"/>
                <w:kern w:val="0"/>
                <w:sz w:val="18"/>
                <w:szCs w:val="18"/>
              </w:rPr>
              <w:t>/</w:t>
            </w:r>
            <w:r w:rsidR="00EF37F4" w:rsidRPr="00EF37F4">
              <w:rPr>
                <w:rFonts w:hint="eastAsia"/>
                <w:color w:val="000000"/>
                <w:kern w:val="0"/>
                <w:sz w:val="18"/>
                <w:szCs w:val="18"/>
              </w:rPr>
              <w:t>个</w:t>
            </w:r>
            <w:r w:rsidR="00EF37F4" w:rsidRPr="00EF37F4">
              <w:rPr>
                <w:rFonts w:hint="eastAsia"/>
                <w:color w:val="000000"/>
                <w:kern w:val="0"/>
                <w:sz w:val="18"/>
                <w:szCs w:val="18"/>
              </w:rPr>
              <w:t>/L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1.7×10</w:t>
            </w:r>
            <w:r w:rsidRPr="004A1A99">
              <w:rPr>
                <w:color w:val="000000"/>
                <w:kern w:val="0"/>
                <w:sz w:val="18"/>
                <w:szCs w:val="18"/>
                <w:vertAlign w:val="superscript"/>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5.4×10</w:t>
            </w:r>
            <w:r w:rsidRPr="004A1A99">
              <w:rPr>
                <w:color w:val="000000"/>
                <w:kern w:val="0"/>
                <w:sz w:val="18"/>
                <w:szCs w:val="18"/>
                <w:vertAlign w:val="superscript"/>
              </w:rPr>
              <w:t>2</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1.7×10</w:t>
            </w:r>
            <w:r w:rsidRPr="004A1A99">
              <w:rPr>
                <w:color w:val="000000"/>
                <w:kern w:val="0"/>
                <w:sz w:val="18"/>
                <w:szCs w:val="18"/>
                <w:vertAlign w:val="superscript"/>
              </w:rPr>
              <w:t>2</w:t>
            </w:r>
            <w:r w:rsidRPr="004A1A99">
              <w:rPr>
                <w:color w:val="000000"/>
                <w:kern w:val="0"/>
                <w:sz w:val="18"/>
                <w:szCs w:val="18"/>
              </w:rPr>
              <w:t>~5.4×10</w:t>
            </w:r>
            <w:r w:rsidRPr="004A1A99">
              <w:rPr>
                <w:color w:val="000000"/>
                <w:kern w:val="0"/>
                <w:sz w:val="18"/>
                <w:szCs w:val="18"/>
                <w:vertAlign w:val="superscript"/>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bCs/>
                <w:color w:val="000000"/>
                <w:kern w:val="0"/>
                <w:sz w:val="18"/>
                <w:szCs w:val="18"/>
              </w:rPr>
            </w:pPr>
            <w:r w:rsidRPr="004A1A99">
              <w:rPr>
                <w:bCs/>
                <w:color w:val="000000"/>
                <w:kern w:val="0"/>
                <w:sz w:val="18"/>
                <w:szCs w:val="18"/>
              </w:rPr>
              <w:t>2#</w:t>
            </w:r>
            <w:r w:rsidR="00E97427">
              <w:rPr>
                <w:bCs/>
                <w:color w:val="000000"/>
                <w:kern w:val="0"/>
                <w:sz w:val="18"/>
                <w:szCs w:val="18"/>
              </w:rPr>
              <w:t>（</w:t>
            </w:r>
            <w:r w:rsidRPr="00CE3263">
              <w:rPr>
                <w:rFonts w:ascii="宋体" w:hAnsi="宋体"/>
                <w:bCs/>
                <w:color w:val="000000"/>
                <w:kern w:val="0"/>
                <w:sz w:val="18"/>
                <w:szCs w:val="18"/>
              </w:rPr>
              <w:t>两岔口上游</w:t>
            </w:r>
            <w:r w:rsidRPr="00CE3263">
              <w:rPr>
                <w:bCs/>
                <w:color w:val="000000"/>
                <w:kern w:val="0"/>
                <w:sz w:val="18"/>
                <w:szCs w:val="18"/>
              </w:rPr>
              <w:t>500m</w:t>
            </w:r>
            <w:r w:rsidRPr="00CE3263">
              <w:rPr>
                <w:rFonts w:ascii="宋体" w:hAnsi="宋体"/>
                <w:bCs/>
                <w:color w:val="000000"/>
                <w:kern w:val="0"/>
                <w:sz w:val="18"/>
                <w:szCs w:val="18"/>
              </w:rPr>
              <w:t>石洞子河</w:t>
            </w:r>
            <w:r w:rsidR="00E97427">
              <w:rPr>
                <w:bCs/>
                <w:color w:val="000000"/>
                <w:kern w:val="0"/>
                <w:sz w:val="18"/>
                <w:szCs w:val="18"/>
              </w:rPr>
              <w:t>）</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水温</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人为造成的环境水温变化应限制在</w:t>
            </w:r>
            <w:r w:rsidRPr="00CE3263">
              <w:rPr>
                <w:color w:val="000000"/>
                <w:kern w:val="0"/>
                <w:sz w:val="18"/>
                <w:szCs w:val="18"/>
              </w:rPr>
              <w:t>:</w:t>
            </w:r>
            <w:r w:rsidRPr="00CE3263">
              <w:rPr>
                <w:rFonts w:ascii="宋体" w:hAnsi="宋体"/>
                <w:color w:val="000000"/>
                <w:kern w:val="0"/>
                <w:sz w:val="18"/>
                <w:szCs w:val="18"/>
              </w:rPr>
              <w:t>周平均最大温升</w:t>
            </w:r>
            <w:r w:rsidRPr="00CE3263">
              <w:rPr>
                <w:color w:val="000000"/>
                <w:kern w:val="0"/>
                <w:sz w:val="18"/>
                <w:szCs w:val="18"/>
              </w:rPr>
              <w:t>≤1</w:t>
            </w:r>
            <w:r w:rsidRPr="00CE3263">
              <w:rPr>
                <w:rFonts w:hint="eastAsia"/>
                <w:color w:val="000000"/>
                <w:kern w:val="0"/>
                <w:sz w:val="18"/>
                <w:szCs w:val="18"/>
              </w:rPr>
              <w:t>；</w:t>
            </w:r>
            <w:r w:rsidRPr="00CE3263">
              <w:rPr>
                <w:rFonts w:ascii="宋体" w:hAnsi="宋体"/>
                <w:color w:val="000000"/>
                <w:kern w:val="0"/>
                <w:sz w:val="18"/>
                <w:szCs w:val="18"/>
              </w:rPr>
              <w:t>周平均最大温降</w:t>
            </w:r>
            <w:r w:rsidRPr="00CE3263">
              <w:rPr>
                <w:color w:val="000000"/>
                <w:kern w:val="0"/>
                <w:sz w:val="18"/>
                <w:szCs w:val="18"/>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19.7</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19~19.7</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pH</w:t>
            </w:r>
            <w:r w:rsidRPr="00CE3263">
              <w:rPr>
                <w:rFonts w:ascii="宋体" w:hAnsi="宋体"/>
                <w:color w:val="000000"/>
                <w:kern w:val="0"/>
                <w:sz w:val="18"/>
                <w:szCs w:val="18"/>
              </w:rPr>
              <w:t>值</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6~9</w:t>
            </w:r>
            <w:r>
              <w:rPr>
                <w:rFonts w:hint="eastAsia"/>
                <w:color w:val="000000"/>
                <w:kern w:val="0"/>
                <w:sz w:val="18"/>
                <w:szCs w:val="18"/>
              </w:rPr>
              <w:t>（无量纲）</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7.24</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7.61</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7.24~7.61</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0.31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高锰酸盐指数</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2.1</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2.4</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2.1~2.4</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溶解氧</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5</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5.5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5.9</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5.5~5.9</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0.91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五日生化需氧量</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4</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0.9</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1.1</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0.9~1.1</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0.28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氨氮</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0.038</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0.046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0.038~0.046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总磷</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0.2</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0.07~0.08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粪大肠菌群</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10000</w:t>
            </w:r>
            <w:r>
              <w:rPr>
                <w:rFonts w:hint="eastAsia"/>
                <w:color w:val="000000"/>
                <w:kern w:val="0"/>
                <w:sz w:val="18"/>
                <w:szCs w:val="18"/>
              </w:rPr>
              <w:t>/</w:t>
            </w:r>
            <w:r w:rsidRPr="00EF37F4">
              <w:rPr>
                <w:rFonts w:hint="eastAsia"/>
                <w:color w:val="000000"/>
                <w:kern w:val="0"/>
                <w:sz w:val="18"/>
                <w:szCs w:val="18"/>
              </w:rPr>
              <w:t>个</w:t>
            </w:r>
            <w:r w:rsidRPr="00EF37F4">
              <w:rPr>
                <w:rFonts w:hint="eastAsia"/>
                <w:color w:val="000000"/>
                <w:kern w:val="0"/>
                <w:sz w:val="18"/>
                <w:szCs w:val="18"/>
              </w:rPr>
              <w:t>/L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3.9×102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4.8×102</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3.9×102~4.8×102</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bCs/>
                <w:color w:val="000000"/>
                <w:kern w:val="0"/>
                <w:sz w:val="18"/>
                <w:szCs w:val="18"/>
              </w:rPr>
            </w:pPr>
            <w:r w:rsidRPr="004A1A99">
              <w:rPr>
                <w:bCs/>
                <w:color w:val="000000"/>
                <w:kern w:val="0"/>
                <w:sz w:val="18"/>
                <w:szCs w:val="18"/>
              </w:rPr>
              <w:t>3#</w:t>
            </w:r>
            <w:r w:rsidR="00E97427">
              <w:rPr>
                <w:bCs/>
                <w:color w:val="000000"/>
                <w:kern w:val="0"/>
                <w:sz w:val="18"/>
                <w:szCs w:val="18"/>
              </w:rPr>
              <w:t>（</w:t>
            </w:r>
            <w:r w:rsidRPr="00CE3263">
              <w:rPr>
                <w:rFonts w:ascii="宋体" w:hAnsi="宋体"/>
                <w:bCs/>
                <w:color w:val="000000"/>
                <w:kern w:val="0"/>
                <w:sz w:val="18"/>
                <w:szCs w:val="18"/>
              </w:rPr>
              <w:t>坝址下游</w:t>
            </w:r>
            <w:r w:rsidRPr="00CE3263">
              <w:rPr>
                <w:bCs/>
                <w:color w:val="000000"/>
                <w:kern w:val="0"/>
                <w:sz w:val="18"/>
                <w:szCs w:val="18"/>
              </w:rPr>
              <w:t>500m</w:t>
            </w:r>
            <w:r w:rsidR="00E97427">
              <w:rPr>
                <w:bCs/>
                <w:color w:val="000000"/>
                <w:kern w:val="0"/>
                <w:sz w:val="18"/>
                <w:szCs w:val="18"/>
              </w:rPr>
              <w:t>）</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水温</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人为造成的环境水温变化应限制在</w:t>
            </w:r>
            <w:r w:rsidRPr="00CE3263">
              <w:rPr>
                <w:color w:val="000000"/>
                <w:kern w:val="0"/>
                <w:sz w:val="18"/>
                <w:szCs w:val="18"/>
              </w:rPr>
              <w:t>:</w:t>
            </w:r>
            <w:r w:rsidRPr="00CE3263">
              <w:rPr>
                <w:rFonts w:ascii="宋体" w:hAnsi="宋体"/>
                <w:color w:val="000000"/>
                <w:kern w:val="0"/>
                <w:sz w:val="18"/>
                <w:szCs w:val="18"/>
              </w:rPr>
              <w:t>周平均最大温升</w:t>
            </w:r>
            <w:r w:rsidRPr="00CE3263">
              <w:rPr>
                <w:color w:val="000000"/>
                <w:kern w:val="0"/>
                <w:sz w:val="18"/>
                <w:szCs w:val="18"/>
              </w:rPr>
              <w:t>≤1</w:t>
            </w:r>
            <w:r w:rsidRPr="00CE3263">
              <w:rPr>
                <w:rFonts w:hint="eastAsia"/>
                <w:color w:val="000000"/>
                <w:kern w:val="0"/>
                <w:sz w:val="18"/>
                <w:szCs w:val="18"/>
              </w:rPr>
              <w:t>；</w:t>
            </w:r>
            <w:r w:rsidRPr="00CE3263">
              <w:rPr>
                <w:rFonts w:ascii="宋体" w:hAnsi="宋体"/>
                <w:color w:val="000000"/>
                <w:kern w:val="0"/>
                <w:sz w:val="18"/>
                <w:szCs w:val="18"/>
              </w:rPr>
              <w:t>周平均最大温降</w:t>
            </w:r>
            <w:r w:rsidRPr="00CE3263">
              <w:rPr>
                <w:color w:val="000000"/>
                <w:kern w:val="0"/>
                <w:sz w:val="18"/>
                <w:szCs w:val="18"/>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20.5</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19.5~20.5</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pH</w:t>
            </w:r>
            <w:r w:rsidRPr="00CE3263">
              <w:rPr>
                <w:rFonts w:ascii="宋体" w:hAnsi="宋体"/>
                <w:color w:val="000000"/>
                <w:kern w:val="0"/>
                <w:sz w:val="18"/>
                <w:szCs w:val="18"/>
              </w:rPr>
              <w:t>值</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6~9</w:t>
            </w:r>
            <w:r>
              <w:rPr>
                <w:rFonts w:hint="eastAsia"/>
                <w:color w:val="000000"/>
                <w:kern w:val="0"/>
                <w:sz w:val="18"/>
                <w:szCs w:val="18"/>
              </w:rPr>
              <w:t>（无量纲）</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7.93</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8.09</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7.93~8.09</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0.55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高锰酸盐指数</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3~3</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0.50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溶解氧</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5</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6.3</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6.7</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6.3~6.7</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0.79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五日生化需氧量</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4</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1.3</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1.2~1.3</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0.33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氨氮</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0.056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0.05~0.056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0.06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总磷</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0.2</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0.07~0.08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粪大肠菌群</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10000</w:t>
            </w:r>
            <w:r>
              <w:rPr>
                <w:rFonts w:hint="eastAsia"/>
                <w:color w:val="000000"/>
                <w:kern w:val="0"/>
                <w:sz w:val="18"/>
                <w:szCs w:val="18"/>
              </w:rPr>
              <w:t>/</w:t>
            </w:r>
            <w:r w:rsidRPr="00EF37F4">
              <w:rPr>
                <w:rFonts w:hint="eastAsia"/>
                <w:color w:val="000000"/>
                <w:kern w:val="0"/>
                <w:sz w:val="18"/>
                <w:szCs w:val="18"/>
              </w:rPr>
              <w:t>个</w:t>
            </w:r>
            <w:r w:rsidRPr="00EF37F4">
              <w:rPr>
                <w:rFonts w:hint="eastAsia"/>
                <w:color w:val="000000"/>
                <w:kern w:val="0"/>
                <w:sz w:val="18"/>
                <w:szCs w:val="18"/>
              </w:rPr>
              <w:t>/L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3.2×102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3.9×102</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3.2×102~3.9×102</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0.04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CE3263" w:rsidRPr="00CE3263" w:rsidTr="00EF37F4">
        <w:trPr>
          <w:trHeight w:val="340"/>
        </w:trPr>
        <w:tc>
          <w:tcPr>
            <w:tcW w:w="3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bCs/>
                <w:color w:val="000000"/>
                <w:kern w:val="0"/>
                <w:sz w:val="18"/>
                <w:szCs w:val="18"/>
              </w:rPr>
            </w:pPr>
            <w:r w:rsidRPr="004A1A99">
              <w:rPr>
                <w:bCs/>
                <w:color w:val="000000"/>
                <w:kern w:val="0"/>
                <w:sz w:val="18"/>
                <w:szCs w:val="18"/>
              </w:rPr>
              <w:t>4#</w:t>
            </w:r>
            <w:r w:rsidR="00E97427">
              <w:rPr>
                <w:bCs/>
                <w:color w:val="000000"/>
                <w:kern w:val="0"/>
                <w:sz w:val="18"/>
                <w:szCs w:val="18"/>
              </w:rPr>
              <w:t>（</w:t>
            </w:r>
            <w:r w:rsidRPr="00CE3263">
              <w:rPr>
                <w:rFonts w:ascii="宋体" w:hAnsi="宋体"/>
                <w:bCs/>
                <w:color w:val="000000"/>
                <w:kern w:val="0"/>
                <w:sz w:val="18"/>
                <w:szCs w:val="18"/>
              </w:rPr>
              <w:t>坝址下游</w:t>
            </w:r>
            <w:r w:rsidRPr="00CE3263">
              <w:rPr>
                <w:bCs/>
                <w:color w:val="000000"/>
                <w:kern w:val="0"/>
                <w:sz w:val="18"/>
                <w:szCs w:val="18"/>
              </w:rPr>
              <w:t>1000m</w:t>
            </w:r>
            <w:r w:rsidR="00E97427">
              <w:rPr>
                <w:bCs/>
                <w:color w:val="000000"/>
                <w:kern w:val="0"/>
                <w:sz w:val="18"/>
                <w:szCs w:val="18"/>
              </w:rPr>
              <w:t>）</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水温</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人为造成的环境水温变化应限制在</w:t>
            </w:r>
            <w:r w:rsidRPr="00CE3263">
              <w:rPr>
                <w:color w:val="000000"/>
                <w:kern w:val="0"/>
                <w:sz w:val="18"/>
                <w:szCs w:val="18"/>
              </w:rPr>
              <w:t>:</w:t>
            </w:r>
            <w:r w:rsidRPr="00CE3263">
              <w:rPr>
                <w:rFonts w:ascii="宋体" w:hAnsi="宋体"/>
                <w:color w:val="000000"/>
                <w:kern w:val="0"/>
                <w:sz w:val="18"/>
                <w:szCs w:val="18"/>
              </w:rPr>
              <w:t>周平均最大温升</w:t>
            </w:r>
            <w:r w:rsidRPr="00CE3263">
              <w:rPr>
                <w:color w:val="000000"/>
                <w:kern w:val="0"/>
                <w:sz w:val="18"/>
                <w:szCs w:val="18"/>
              </w:rPr>
              <w:t>≤1</w:t>
            </w:r>
            <w:r w:rsidRPr="00CE3263">
              <w:rPr>
                <w:rFonts w:hint="eastAsia"/>
                <w:color w:val="000000"/>
                <w:kern w:val="0"/>
                <w:sz w:val="18"/>
                <w:szCs w:val="18"/>
              </w:rPr>
              <w:t>；</w:t>
            </w:r>
            <w:r w:rsidRPr="00CE3263">
              <w:rPr>
                <w:rFonts w:ascii="宋体" w:hAnsi="宋体"/>
                <w:color w:val="000000"/>
                <w:kern w:val="0"/>
                <w:sz w:val="18"/>
                <w:szCs w:val="18"/>
              </w:rPr>
              <w:t>周平均最大温降</w:t>
            </w:r>
            <w:r w:rsidRPr="00CE3263">
              <w:rPr>
                <w:color w:val="000000"/>
                <w:kern w:val="0"/>
                <w:sz w:val="18"/>
                <w:szCs w:val="18"/>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20</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20.9</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20~20.9</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6.95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1A99" w:rsidRPr="004A1A99" w:rsidRDefault="004A1A99" w:rsidP="004A1A99">
            <w:pPr>
              <w:widowControl/>
              <w:spacing w:line="240" w:lineRule="auto"/>
              <w:ind w:firstLineChars="0" w:firstLine="0"/>
              <w:jc w:val="center"/>
              <w:rPr>
                <w:color w:val="000000"/>
                <w:kern w:val="0"/>
                <w:sz w:val="18"/>
                <w:szCs w:val="18"/>
              </w:rPr>
            </w:pPr>
            <w:r w:rsidRPr="004A1A99">
              <w:rPr>
                <w:color w:val="000000"/>
                <w:kern w:val="0"/>
                <w:sz w:val="18"/>
                <w:szCs w:val="18"/>
              </w:rPr>
              <w:t>/</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pH</w:t>
            </w:r>
            <w:r w:rsidRPr="00CE3263">
              <w:rPr>
                <w:rFonts w:ascii="宋体" w:hAnsi="宋体"/>
                <w:color w:val="000000"/>
                <w:kern w:val="0"/>
                <w:sz w:val="18"/>
                <w:szCs w:val="18"/>
              </w:rPr>
              <w:t>值</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6~9</w:t>
            </w:r>
            <w:r>
              <w:rPr>
                <w:rFonts w:hint="eastAsia"/>
                <w:color w:val="000000"/>
                <w:kern w:val="0"/>
                <w:sz w:val="18"/>
                <w:szCs w:val="18"/>
              </w:rPr>
              <w:t>（无量纲）</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7.46</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8.23</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7.46~8.23</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0.62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高锰酸盐指数</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6</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3.6</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3.6~3.6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0.60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溶解氧</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5</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6.7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7</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6.7~7</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0.75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五日生化需氧量</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4</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1.4</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1.4~1.6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氨氮</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0.042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0.056</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0.042~0.056</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0.06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总磷</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0.2</w:t>
            </w:r>
            <w:r>
              <w:rPr>
                <w:kern w:val="0"/>
                <w:sz w:val="21"/>
              </w:rPr>
              <w:t xml:space="preserve"> mg/L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0.08</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0.07~0.08</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0.40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r w:rsidR="00EF37F4" w:rsidRPr="00CE3263" w:rsidTr="00EF37F4">
        <w:trPr>
          <w:trHeight w:val="340"/>
        </w:trPr>
        <w:tc>
          <w:tcPr>
            <w:tcW w:w="396" w:type="pct"/>
            <w:vMerge/>
            <w:tcBorders>
              <w:top w:val="single" w:sz="4" w:space="0" w:color="000000"/>
              <w:left w:val="single" w:sz="4" w:space="0" w:color="000000"/>
              <w:bottom w:val="single" w:sz="4" w:space="0" w:color="000000"/>
              <w:right w:val="single" w:sz="4" w:space="0" w:color="000000"/>
            </w:tcBorders>
            <w:vAlign w:val="center"/>
            <w:hideMark/>
          </w:tcPr>
          <w:p w:rsidR="00EF37F4" w:rsidRPr="004A1A99" w:rsidRDefault="00EF37F4" w:rsidP="004A1A99">
            <w:pPr>
              <w:widowControl/>
              <w:spacing w:line="240" w:lineRule="auto"/>
              <w:ind w:firstLineChars="0" w:firstLine="0"/>
              <w:jc w:val="left"/>
              <w:rPr>
                <w:bCs/>
                <w:color w:val="000000"/>
                <w:kern w:val="0"/>
                <w:sz w:val="18"/>
                <w:szCs w:val="18"/>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CE3263">
              <w:rPr>
                <w:rFonts w:ascii="宋体" w:hAnsi="宋体"/>
                <w:color w:val="000000"/>
                <w:kern w:val="0"/>
                <w:sz w:val="18"/>
                <w:szCs w:val="18"/>
              </w:rPr>
              <w:t>粪大肠菌群</w:t>
            </w:r>
          </w:p>
        </w:tc>
        <w:tc>
          <w:tcPr>
            <w:tcW w:w="93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EF37F4">
            <w:pPr>
              <w:widowControl/>
              <w:spacing w:line="240" w:lineRule="auto"/>
              <w:ind w:firstLineChars="0" w:firstLine="0"/>
              <w:jc w:val="center"/>
              <w:rPr>
                <w:color w:val="000000"/>
                <w:kern w:val="0"/>
                <w:sz w:val="18"/>
                <w:szCs w:val="18"/>
              </w:rPr>
            </w:pPr>
            <w:r w:rsidRPr="004A1A99">
              <w:rPr>
                <w:color w:val="000000"/>
                <w:kern w:val="0"/>
                <w:sz w:val="18"/>
                <w:szCs w:val="18"/>
              </w:rPr>
              <w:t>10000</w:t>
            </w:r>
            <w:r>
              <w:rPr>
                <w:rFonts w:hint="eastAsia"/>
                <w:color w:val="000000"/>
                <w:kern w:val="0"/>
                <w:sz w:val="18"/>
                <w:szCs w:val="18"/>
              </w:rPr>
              <w:t>/</w:t>
            </w:r>
            <w:r w:rsidRPr="00EF37F4">
              <w:rPr>
                <w:rFonts w:hint="eastAsia"/>
                <w:color w:val="000000"/>
                <w:kern w:val="0"/>
                <w:sz w:val="18"/>
                <w:szCs w:val="18"/>
              </w:rPr>
              <w:t>个</w:t>
            </w:r>
            <w:r w:rsidRPr="00EF37F4">
              <w:rPr>
                <w:rFonts w:hint="eastAsia"/>
                <w:color w:val="000000"/>
                <w:kern w:val="0"/>
                <w:sz w:val="18"/>
                <w:szCs w:val="18"/>
              </w:rPr>
              <w:t>/L</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2.4×10</w:t>
            </w:r>
            <w:r w:rsidRPr="004A1A99">
              <w:rPr>
                <w:color w:val="000000"/>
                <w:kern w:val="0"/>
                <w:sz w:val="18"/>
                <w:szCs w:val="18"/>
                <w:vertAlign w:val="superscript"/>
              </w:rPr>
              <w:t>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4.7×10</w:t>
            </w:r>
            <w:r w:rsidRPr="004A1A99">
              <w:rPr>
                <w:color w:val="000000"/>
                <w:kern w:val="0"/>
                <w:sz w:val="18"/>
                <w:szCs w:val="18"/>
                <w:vertAlign w:val="superscript"/>
              </w:rPr>
              <w:t>2</w:t>
            </w:r>
          </w:p>
        </w:tc>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2.4×10</w:t>
            </w:r>
            <w:r w:rsidRPr="004A1A99">
              <w:rPr>
                <w:color w:val="000000"/>
                <w:kern w:val="0"/>
                <w:sz w:val="18"/>
                <w:szCs w:val="18"/>
                <w:vertAlign w:val="superscript"/>
              </w:rPr>
              <w:t>2</w:t>
            </w:r>
            <w:r w:rsidRPr="004A1A99">
              <w:rPr>
                <w:color w:val="000000"/>
                <w:kern w:val="0"/>
                <w:sz w:val="18"/>
                <w:szCs w:val="18"/>
              </w:rPr>
              <w:t>~4.7×10</w:t>
            </w:r>
            <w:r w:rsidRPr="004A1A99">
              <w:rPr>
                <w:color w:val="000000"/>
                <w:kern w:val="0"/>
                <w:sz w:val="18"/>
                <w:szCs w:val="18"/>
                <w:vertAlign w:val="superscript"/>
              </w:rPr>
              <w:t>2</w:t>
            </w:r>
          </w:p>
        </w:tc>
        <w:tc>
          <w:tcPr>
            <w:tcW w:w="37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 xml:space="preserve">0.05 </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4A1A99" w:rsidRDefault="00EF37F4" w:rsidP="004A1A99">
            <w:pPr>
              <w:widowControl/>
              <w:spacing w:line="240" w:lineRule="auto"/>
              <w:ind w:firstLineChars="0" w:firstLine="0"/>
              <w:jc w:val="center"/>
              <w:rPr>
                <w:color w:val="000000"/>
                <w:kern w:val="0"/>
                <w:sz w:val="18"/>
                <w:szCs w:val="18"/>
              </w:rPr>
            </w:pPr>
            <w:r w:rsidRPr="004A1A99">
              <w:rPr>
                <w:color w:val="000000"/>
                <w:kern w:val="0"/>
                <w:sz w:val="18"/>
                <w:szCs w:val="18"/>
              </w:rPr>
              <w:t>0</w:t>
            </w:r>
          </w:p>
        </w:tc>
      </w:tr>
    </w:tbl>
    <w:p w:rsidR="00CC4576" w:rsidRDefault="00CE3263">
      <w:pPr>
        <w:ind w:firstLine="480"/>
      </w:pPr>
      <w:r>
        <w:rPr>
          <w:rFonts w:hint="eastAsia"/>
        </w:rPr>
        <w:t>由上述监测结果可以看出，</w:t>
      </w:r>
      <w:r w:rsidR="006A223A">
        <w:rPr>
          <w:rFonts w:hint="eastAsia"/>
        </w:rPr>
        <w:t>项目所在区域地表水环境质量现状能够满足《</w:t>
      </w:r>
      <w:r w:rsidR="006A223A" w:rsidRPr="006A223A">
        <w:rPr>
          <w:rFonts w:hint="eastAsia"/>
        </w:rPr>
        <w:t>地表水环境质量标准</w:t>
      </w:r>
      <w:r w:rsidR="006A223A">
        <w:rPr>
          <w:rFonts w:hint="eastAsia"/>
        </w:rPr>
        <w:t>》（</w:t>
      </w:r>
      <w:r w:rsidR="006A223A">
        <w:rPr>
          <w:rFonts w:hint="eastAsia"/>
        </w:rPr>
        <w:t>GB3838-2002</w:t>
      </w:r>
      <w:r w:rsidR="006A223A">
        <w:rPr>
          <w:rFonts w:hint="eastAsia"/>
        </w:rPr>
        <w:t>）</w:t>
      </w:r>
      <w:r w:rsidR="006A223A" w:rsidRPr="006A223A">
        <w:rPr>
          <w:rFonts w:hint="eastAsia"/>
        </w:rPr>
        <w:t>Ⅲ类</w:t>
      </w:r>
      <w:r w:rsidR="006A223A">
        <w:rPr>
          <w:rFonts w:hint="eastAsia"/>
        </w:rPr>
        <w:t>标准要求，区域地表水环境质量现状良好</w:t>
      </w:r>
      <w:r w:rsidR="00540ECD">
        <w:rPr>
          <w:rFonts w:hint="eastAsia"/>
        </w:rPr>
        <w:t>。</w:t>
      </w:r>
    </w:p>
    <w:p w:rsidR="006175A6" w:rsidRDefault="009B4BA7">
      <w:pPr>
        <w:pStyle w:val="4"/>
      </w:pPr>
      <w:r>
        <w:rPr>
          <w:rFonts w:hint="eastAsia"/>
        </w:rPr>
        <w:t>水污染源现状调查与评价</w:t>
      </w:r>
    </w:p>
    <w:p w:rsidR="006175A6" w:rsidRDefault="009B4BA7">
      <w:pPr>
        <w:ind w:firstLine="480"/>
      </w:pPr>
      <w:r>
        <w:rPr>
          <w:rFonts w:hint="eastAsia"/>
        </w:rPr>
        <w:t>评价区河流水环境污染源包括点源和面源两类。点源主要包括工业污染源和集镇居民生活污染源；面源主要来源于水土流失、农田地表径流、无组织排放的农村居民生活污水和散养畜禽排泄物等。</w:t>
      </w:r>
    </w:p>
    <w:p w:rsidR="006175A6" w:rsidRDefault="00E97427">
      <w:pPr>
        <w:ind w:firstLine="480"/>
      </w:pPr>
      <w:r>
        <w:rPr>
          <w:rFonts w:hint="eastAsia"/>
        </w:rPr>
        <w:t>（</w:t>
      </w:r>
      <w:r w:rsidR="009B4BA7">
        <w:rPr>
          <w:rFonts w:hint="eastAsia"/>
        </w:rPr>
        <w:t>1</w:t>
      </w:r>
      <w:r>
        <w:rPr>
          <w:rFonts w:hint="eastAsia"/>
        </w:rPr>
        <w:t>）</w:t>
      </w:r>
      <w:r w:rsidR="009B4BA7">
        <w:rPr>
          <w:rFonts w:hint="eastAsia"/>
        </w:rPr>
        <w:t>点源污染源</w:t>
      </w:r>
    </w:p>
    <w:p w:rsidR="006175A6" w:rsidRDefault="009B4BA7">
      <w:pPr>
        <w:ind w:firstLine="480"/>
      </w:pPr>
      <w:r>
        <w:rPr>
          <w:rFonts w:hint="eastAsia"/>
        </w:rPr>
        <w:t>两河口库区内无工业源，仅有少量居民点，村民采用分散排水方式，生活废水经过化粪池简单处理后用于农田灌溉，因此库区内水环境不存在点源污染。</w:t>
      </w:r>
    </w:p>
    <w:p w:rsidR="006175A6" w:rsidRDefault="00E97427">
      <w:pPr>
        <w:ind w:firstLine="480"/>
      </w:pPr>
      <w:r>
        <w:rPr>
          <w:rFonts w:hint="eastAsia"/>
        </w:rPr>
        <w:t>（</w:t>
      </w:r>
      <w:r w:rsidR="009B4BA7">
        <w:rPr>
          <w:rFonts w:hint="eastAsia"/>
        </w:rPr>
        <w:t>2</w:t>
      </w:r>
      <w:r>
        <w:rPr>
          <w:rFonts w:hint="eastAsia"/>
        </w:rPr>
        <w:t>）</w:t>
      </w:r>
      <w:r w:rsidR="009B4BA7">
        <w:rPr>
          <w:rFonts w:hint="eastAsia"/>
        </w:rPr>
        <w:t>水土流失面源污染源</w:t>
      </w:r>
    </w:p>
    <w:p w:rsidR="006175A6" w:rsidRDefault="009B4BA7">
      <w:pPr>
        <w:ind w:firstLine="480"/>
      </w:pPr>
      <w:r>
        <w:rPr>
          <w:rFonts w:hint="eastAsia"/>
        </w:rPr>
        <w:t>据实地勘查，库区经济仍然以农业为主，面源污染主要来自土壤流失和农田施用化肥。因此，面源污染将是坝址以上流域的主要污染源。</w:t>
      </w:r>
    </w:p>
    <w:p w:rsidR="006175A6" w:rsidRDefault="009B4BA7">
      <w:pPr>
        <w:ind w:firstLine="480"/>
      </w:pPr>
      <w:r>
        <w:rPr>
          <w:rFonts w:hint="eastAsia"/>
        </w:rPr>
        <w:t>工程建成后，可能发生富营养化的水体主要是库区水体，富营养化物质主要为氮</w:t>
      </w:r>
      <w:r w:rsidR="00E97427">
        <w:rPr>
          <w:rFonts w:hint="eastAsia"/>
        </w:rPr>
        <w:t>（</w:t>
      </w:r>
      <w:r>
        <w:rPr>
          <w:rFonts w:hint="eastAsia"/>
        </w:rPr>
        <w:t>N</w:t>
      </w:r>
      <w:r w:rsidR="00E97427">
        <w:rPr>
          <w:rFonts w:hint="eastAsia"/>
        </w:rPr>
        <w:t>）</w:t>
      </w:r>
      <w:r>
        <w:rPr>
          <w:rFonts w:hint="eastAsia"/>
        </w:rPr>
        <w:t>、磷</w:t>
      </w:r>
      <w:r w:rsidR="00E97427">
        <w:rPr>
          <w:rFonts w:hint="eastAsia"/>
        </w:rPr>
        <w:t>（</w:t>
      </w:r>
      <w:r>
        <w:rPr>
          <w:rFonts w:hint="eastAsia"/>
        </w:rPr>
        <w:t>P</w:t>
      </w:r>
      <w:r>
        <w:rPr>
          <w:rFonts w:hint="eastAsia"/>
          <w:vertAlign w:val="subscript"/>
        </w:rPr>
        <w:t>2</w:t>
      </w:r>
      <w:r>
        <w:rPr>
          <w:rFonts w:hint="eastAsia"/>
        </w:rPr>
        <w:t>O</w:t>
      </w:r>
      <w:r>
        <w:rPr>
          <w:rFonts w:hint="eastAsia"/>
          <w:vertAlign w:val="subscript"/>
        </w:rPr>
        <w:t>5</w:t>
      </w:r>
      <w:r w:rsidR="00E97427">
        <w:rPr>
          <w:rFonts w:hint="eastAsia"/>
        </w:rPr>
        <w:t>）</w:t>
      </w:r>
      <w:r>
        <w:rPr>
          <w:rFonts w:hint="eastAsia"/>
        </w:rPr>
        <w:t>，对其流失量采用《水利水电工程环境影响评价规范</w:t>
      </w:r>
      <w:r w:rsidR="00E97427">
        <w:rPr>
          <w:rFonts w:hint="eastAsia"/>
        </w:rPr>
        <w:t>（</w:t>
      </w:r>
      <w:r>
        <w:rPr>
          <w:rFonts w:hint="eastAsia"/>
        </w:rPr>
        <w:t>试</w:t>
      </w:r>
      <w:r>
        <w:rPr>
          <w:rFonts w:hint="eastAsia"/>
        </w:rPr>
        <w:lastRenderedPageBreak/>
        <w:t>行</w:t>
      </w:r>
      <w:r w:rsidR="00E97427">
        <w:rPr>
          <w:rFonts w:hint="eastAsia"/>
        </w:rPr>
        <w:t>）</w:t>
      </w:r>
      <w:r>
        <w:rPr>
          <w:rFonts w:hint="eastAsia"/>
        </w:rPr>
        <w:t>》</w:t>
      </w:r>
      <w:r>
        <w:rPr>
          <w:rFonts w:hint="eastAsia"/>
        </w:rPr>
        <w:t xml:space="preserve"> </w:t>
      </w:r>
      <w:r w:rsidR="00E97427">
        <w:rPr>
          <w:rFonts w:hint="eastAsia"/>
        </w:rPr>
        <w:t>（</w:t>
      </w:r>
      <w:r>
        <w:rPr>
          <w:rFonts w:hint="eastAsia"/>
        </w:rPr>
        <w:t>SDJ302-88</w:t>
      </w:r>
      <w:r>
        <w:rPr>
          <w:rFonts w:hint="eastAsia"/>
        </w:rPr>
        <w:t>的土壤营养物质流失方程进行计算。土壤氮、磷流失量为：</w:t>
      </w:r>
    </w:p>
    <w:p w:rsidR="006175A6" w:rsidRDefault="009B4BA7">
      <w:pPr>
        <w:pStyle w:val="a3"/>
      </w:pPr>
      <w:r>
        <w:t>E=aS</w:t>
      </w:r>
      <w:r>
        <w:rPr>
          <w:vertAlign w:val="subscript"/>
        </w:rPr>
        <w:t>NP</w:t>
      </w:r>
      <w:r>
        <w:t xml:space="preserve"> + bcdF</w:t>
      </w:r>
      <w:r>
        <w:rPr>
          <w:vertAlign w:val="subscript"/>
        </w:rPr>
        <w:t>NP</w:t>
      </w:r>
    </w:p>
    <w:p w:rsidR="006175A6" w:rsidRDefault="009B4BA7">
      <w:pPr>
        <w:ind w:firstLine="480"/>
      </w:pPr>
      <w:r>
        <w:rPr>
          <w:rFonts w:hint="eastAsia"/>
        </w:rPr>
        <w:t>式中：</w:t>
      </w:r>
    </w:p>
    <w:p w:rsidR="006175A6" w:rsidRDefault="009B4BA7">
      <w:pPr>
        <w:ind w:firstLine="480"/>
      </w:pPr>
      <w:r>
        <w:rPr>
          <w:rFonts w:hint="eastAsia"/>
        </w:rPr>
        <w:t>E</w:t>
      </w:r>
      <w:r>
        <w:rPr>
          <w:rFonts w:hint="eastAsia"/>
        </w:rPr>
        <w:t>——土壤中氮、磷流失进入水体总量，</w:t>
      </w:r>
      <w:r>
        <w:rPr>
          <w:rFonts w:hint="eastAsia"/>
        </w:rPr>
        <w:t>t/a</w:t>
      </w:r>
      <w:r>
        <w:rPr>
          <w:rFonts w:hint="eastAsia"/>
        </w:rPr>
        <w:t>；</w:t>
      </w:r>
    </w:p>
    <w:p w:rsidR="006175A6" w:rsidRDefault="009B4BA7">
      <w:pPr>
        <w:ind w:firstLine="480"/>
      </w:pPr>
      <w:r>
        <w:rPr>
          <w:rFonts w:hint="eastAsia"/>
        </w:rPr>
        <w:t>S</w:t>
      </w:r>
      <w:r>
        <w:rPr>
          <w:rFonts w:hint="eastAsia"/>
          <w:vertAlign w:val="subscript"/>
        </w:rPr>
        <w:t>NP</w:t>
      </w:r>
      <w:r>
        <w:rPr>
          <w:rFonts w:hint="eastAsia"/>
        </w:rPr>
        <w:t>——进入水体的土壤中全氮、磷总量</w:t>
      </w:r>
      <w:r w:rsidR="00E97427">
        <w:rPr>
          <w:rFonts w:hint="eastAsia"/>
        </w:rPr>
        <w:t>（</w:t>
      </w:r>
      <w:r>
        <w:rPr>
          <w:rFonts w:hint="eastAsia"/>
        </w:rPr>
        <w:t>由入库土壤总量乘以全氮、全磷含量求得</w:t>
      </w:r>
      <w:r w:rsidR="00E97427">
        <w:rPr>
          <w:rFonts w:hint="eastAsia"/>
        </w:rPr>
        <w:t>）</w:t>
      </w:r>
      <w:r>
        <w:rPr>
          <w:rFonts w:hint="eastAsia"/>
        </w:rPr>
        <w:t>；</w:t>
      </w:r>
    </w:p>
    <w:p w:rsidR="006175A6" w:rsidRDefault="009B4BA7">
      <w:pPr>
        <w:ind w:firstLine="480"/>
      </w:pPr>
      <w:r>
        <w:rPr>
          <w:rFonts w:hint="eastAsia"/>
        </w:rPr>
        <w:t>a</w:t>
      </w:r>
      <w:r>
        <w:rPr>
          <w:rFonts w:hint="eastAsia"/>
        </w:rPr>
        <w:t>——氮、磷沿程消耗系数，氮</w:t>
      </w:r>
      <w:r>
        <w:rPr>
          <w:rFonts w:hint="eastAsia"/>
        </w:rPr>
        <w:t>70%</w:t>
      </w:r>
      <w:r>
        <w:rPr>
          <w:rFonts w:hint="eastAsia"/>
        </w:rPr>
        <w:t>，磷</w:t>
      </w:r>
      <w:r>
        <w:rPr>
          <w:rFonts w:hint="eastAsia"/>
        </w:rPr>
        <w:t>95%</w:t>
      </w:r>
      <w:r>
        <w:rPr>
          <w:rFonts w:hint="eastAsia"/>
        </w:rPr>
        <w:t>，即进入水体分别为</w:t>
      </w:r>
      <w:r>
        <w:rPr>
          <w:rFonts w:hint="eastAsia"/>
        </w:rPr>
        <w:t>30%</w:t>
      </w:r>
      <w:r>
        <w:rPr>
          <w:rFonts w:hint="eastAsia"/>
        </w:rPr>
        <w:t>、</w:t>
      </w:r>
      <w:r>
        <w:rPr>
          <w:rFonts w:hint="eastAsia"/>
        </w:rPr>
        <w:t>5%</w:t>
      </w:r>
      <w:r>
        <w:rPr>
          <w:rFonts w:hint="eastAsia"/>
        </w:rPr>
        <w:t>；</w:t>
      </w:r>
    </w:p>
    <w:p w:rsidR="006175A6" w:rsidRDefault="009B4BA7">
      <w:pPr>
        <w:ind w:firstLine="480"/>
      </w:pPr>
      <w:r>
        <w:rPr>
          <w:rFonts w:hint="eastAsia"/>
        </w:rPr>
        <w:t>F</w:t>
      </w:r>
      <w:r>
        <w:rPr>
          <w:rFonts w:hint="eastAsia"/>
          <w:vertAlign w:val="subscript"/>
        </w:rPr>
        <w:t>NP</w:t>
      </w:r>
      <w:r>
        <w:rPr>
          <w:rFonts w:hint="eastAsia"/>
        </w:rPr>
        <w:t>——使用化肥水平，</w:t>
      </w:r>
      <w:r>
        <w:rPr>
          <w:rFonts w:hint="eastAsia"/>
        </w:rPr>
        <w:t>t/a</w:t>
      </w:r>
      <w:r>
        <w:rPr>
          <w:rFonts w:hint="eastAsia"/>
        </w:rPr>
        <w:t>；</w:t>
      </w:r>
    </w:p>
    <w:p w:rsidR="006175A6" w:rsidRDefault="009B4BA7">
      <w:pPr>
        <w:ind w:firstLine="480"/>
      </w:pPr>
      <w:r>
        <w:rPr>
          <w:rFonts w:hint="eastAsia"/>
        </w:rPr>
        <w:t>b</w:t>
      </w:r>
      <w:r>
        <w:rPr>
          <w:rFonts w:hint="eastAsia"/>
        </w:rPr>
        <w:t>——化肥中氮磷平均含量，标准化肥平均含氮</w:t>
      </w:r>
      <w:r>
        <w:rPr>
          <w:rFonts w:hint="eastAsia"/>
        </w:rPr>
        <w:t>23%</w:t>
      </w:r>
      <w:r>
        <w:rPr>
          <w:rFonts w:hint="eastAsia"/>
        </w:rPr>
        <w:t>，含磷</w:t>
      </w:r>
      <w:r>
        <w:rPr>
          <w:rFonts w:hint="eastAsia"/>
        </w:rPr>
        <w:t>15%</w:t>
      </w:r>
      <w:r>
        <w:rPr>
          <w:rFonts w:hint="eastAsia"/>
        </w:rPr>
        <w:t>；</w:t>
      </w:r>
    </w:p>
    <w:p w:rsidR="006175A6" w:rsidRDefault="009B4BA7">
      <w:pPr>
        <w:ind w:firstLine="480"/>
      </w:pPr>
      <w:r>
        <w:rPr>
          <w:rFonts w:hint="eastAsia"/>
        </w:rPr>
        <w:t>c</w:t>
      </w:r>
      <w:r>
        <w:rPr>
          <w:rFonts w:hint="eastAsia"/>
        </w:rPr>
        <w:t>——作物化肥利用率，氮</w:t>
      </w:r>
      <w:r>
        <w:rPr>
          <w:rFonts w:hint="eastAsia"/>
        </w:rPr>
        <w:t>30%</w:t>
      </w:r>
      <w:r>
        <w:rPr>
          <w:rFonts w:hint="eastAsia"/>
        </w:rPr>
        <w:t>，磷</w:t>
      </w:r>
      <w:r>
        <w:rPr>
          <w:rFonts w:hint="eastAsia"/>
        </w:rPr>
        <w:t>15%</w:t>
      </w:r>
      <w:r>
        <w:rPr>
          <w:rFonts w:hint="eastAsia"/>
        </w:rPr>
        <w:t>，即进入水体分别为</w:t>
      </w:r>
      <w:r>
        <w:rPr>
          <w:rFonts w:hint="eastAsia"/>
        </w:rPr>
        <w:t>70%</w:t>
      </w:r>
      <w:r>
        <w:rPr>
          <w:rFonts w:hint="eastAsia"/>
        </w:rPr>
        <w:t>、</w:t>
      </w:r>
      <w:r>
        <w:rPr>
          <w:rFonts w:hint="eastAsia"/>
        </w:rPr>
        <w:t>85%</w:t>
      </w:r>
      <w:r>
        <w:rPr>
          <w:rFonts w:hint="eastAsia"/>
        </w:rPr>
        <w:t>；</w:t>
      </w:r>
    </w:p>
    <w:p w:rsidR="006175A6" w:rsidRDefault="009B4BA7">
      <w:pPr>
        <w:ind w:firstLine="480"/>
      </w:pPr>
      <w:r>
        <w:rPr>
          <w:rFonts w:hint="eastAsia"/>
        </w:rPr>
        <w:t>d</w:t>
      </w:r>
      <w:r>
        <w:rPr>
          <w:rFonts w:hint="eastAsia"/>
        </w:rPr>
        <w:t>——进入土壤和水体后化肥流失率，氮为</w:t>
      </w:r>
      <w:r>
        <w:rPr>
          <w:rFonts w:hint="eastAsia"/>
        </w:rPr>
        <w:t>30%</w:t>
      </w:r>
      <w:r>
        <w:rPr>
          <w:rFonts w:hint="eastAsia"/>
        </w:rPr>
        <w:t>，磷为</w:t>
      </w:r>
      <w:r>
        <w:rPr>
          <w:rFonts w:hint="eastAsia"/>
        </w:rPr>
        <w:t>5%</w:t>
      </w:r>
      <w:r>
        <w:rPr>
          <w:rFonts w:hint="eastAsia"/>
        </w:rPr>
        <w:t>。</w:t>
      </w:r>
    </w:p>
    <w:p w:rsidR="006175A6" w:rsidRDefault="009B4BA7">
      <w:pPr>
        <w:ind w:firstLine="480"/>
      </w:pPr>
      <w:r>
        <w:rPr>
          <w:rFonts w:hint="eastAsia"/>
        </w:rPr>
        <w:t>两河口水库坝址以上输沙量为</w:t>
      </w:r>
      <w:r>
        <w:rPr>
          <w:rFonts w:hint="eastAsia"/>
        </w:rPr>
        <w:t>3.03</w:t>
      </w:r>
      <w:r>
        <w:rPr>
          <w:rFonts w:hint="eastAsia"/>
        </w:rPr>
        <w:t>万吨（</w:t>
      </w:r>
      <w:r>
        <w:rPr>
          <w:rFonts w:hint="eastAsia"/>
        </w:rPr>
        <w:t>2.02</w:t>
      </w:r>
      <w:r>
        <w:rPr>
          <w:rFonts w:hint="eastAsia"/>
        </w:rPr>
        <w:t>万</w:t>
      </w:r>
      <w:r>
        <w:rPr>
          <w:rFonts w:hint="eastAsia"/>
        </w:rPr>
        <w:t>m</w:t>
      </w:r>
      <w:r>
        <w:rPr>
          <w:rFonts w:hint="eastAsia"/>
        </w:rPr>
        <w:t>³）。项目所在地土壤土壤主要为棕色石灰土和泥质黄棕壤及碳酸盐黄棕壤，其土壤氮、磷平均含量从土壤普查资料得知分别是：</w:t>
      </w:r>
      <w:r>
        <w:rPr>
          <w:rFonts w:hint="eastAsia"/>
        </w:rPr>
        <w:t>0.12%</w:t>
      </w:r>
      <w:r>
        <w:rPr>
          <w:rFonts w:hint="eastAsia"/>
        </w:rPr>
        <w:t>和</w:t>
      </w:r>
      <w:r>
        <w:rPr>
          <w:rFonts w:hint="eastAsia"/>
        </w:rPr>
        <w:t>0.078%</w:t>
      </w:r>
      <w:r>
        <w:rPr>
          <w:rFonts w:hint="eastAsia"/>
        </w:rPr>
        <w:t>。由此推算进入水体土壤中的氮、磷量分别为</w:t>
      </w:r>
      <w:r>
        <w:rPr>
          <w:rFonts w:hint="eastAsia"/>
        </w:rPr>
        <w:t>36.26t/a</w:t>
      </w:r>
      <w:r>
        <w:rPr>
          <w:rFonts w:hint="eastAsia"/>
        </w:rPr>
        <w:t>和</w:t>
      </w:r>
      <w:r>
        <w:rPr>
          <w:rFonts w:hint="eastAsia"/>
        </w:rPr>
        <w:t>23.63t/a</w:t>
      </w:r>
      <w:r>
        <w:rPr>
          <w:rFonts w:hint="eastAsia"/>
        </w:rPr>
        <w:t>。</w:t>
      </w:r>
    </w:p>
    <w:p w:rsidR="006175A6" w:rsidRDefault="009B4BA7">
      <w:pPr>
        <w:ind w:firstLine="480"/>
      </w:pPr>
      <w:r>
        <w:rPr>
          <w:rFonts w:hint="eastAsia"/>
        </w:rPr>
        <w:t>流域内化肥使用量</w:t>
      </w:r>
      <w:r w:rsidR="00E97427">
        <w:rPr>
          <w:rFonts w:hint="eastAsia"/>
        </w:rPr>
        <w:t>（</w:t>
      </w:r>
      <w:r>
        <w:rPr>
          <w:rFonts w:hint="eastAsia"/>
        </w:rPr>
        <w:t>实物量，在此只计含氮磷的化肥</w:t>
      </w:r>
      <w:r w:rsidR="00E97427">
        <w:rPr>
          <w:rFonts w:hint="eastAsia"/>
        </w:rPr>
        <w:t>）</w:t>
      </w:r>
      <w:r>
        <w:rPr>
          <w:rFonts w:hint="eastAsia"/>
        </w:rPr>
        <w:t>：现状下库区内氮肥施用量约</w:t>
      </w:r>
      <w:r>
        <w:rPr>
          <w:rFonts w:hint="eastAsia"/>
        </w:rPr>
        <w:t>40kg/</w:t>
      </w:r>
      <w:r>
        <w:rPr>
          <w:rFonts w:hint="eastAsia"/>
        </w:rPr>
        <w:t>亩，磷肥施用量约</w:t>
      </w:r>
      <w:r>
        <w:rPr>
          <w:rFonts w:hint="eastAsia"/>
        </w:rPr>
        <w:t>30kg/</w:t>
      </w:r>
      <w:r>
        <w:rPr>
          <w:rFonts w:hint="eastAsia"/>
        </w:rPr>
        <w:t>亩，流域所涉及的耕地主要为榛子乡石柱村一个村</w:t>
      </w:r>
      <w:r>
        <w:rPr>
          <w:rFonts w:hint="eastAsia"/>
        </w:rPr>
        <w:t>2</w:t>
      </w:r>
      <w:r>
        <w:rPr>
          <w:rFonts w:hint="eastAsia"/>
        </w:rPr>
        <w:t>个村民小组共计</w:t>
      </w:r>
      <w:r>
        <w:rPr>
          <w:rFonts w:hint="eastAsia"/>
        </w:rPr>
        <w:t>1175</w:t>
      </w:r>
      <w:r>
        <w:rPr>
          <w:rFonts w:hint="eastAsia"/>
        </w:rPr>
        <w:t>亩耕地。将上述参数代入上式中得到进入水体来自面源的氮、磷总含量分别是</w:t>
      </w:r>
      <w:r>
        <w:rPr>
          <w:rFonts w:hint="eastAsia"/>
        </w:rPr>
        <w:t xml:space="preserve">13.18t/a </w:t>
      </w:r>
      <w:r>
        <w:rPr>
          <w:rFonts w:hint="eastAsia"/>
        </w:rPr>
        <w:t>和</w:t>
      </w:r>
      <w:r>
        <w:rPr>
          <w:rFonts w:hint="eastAsia"/>
        </w:rPr>
        <w:t>1.41t/a</w:t>
      </w:r>
      <w:r>
        <w:rPr>
          <w:rFonts w:hint="eastAsia"/>
        </w:rPr>
        <w:t>。</w:t>
      </w:r>
    </w:p>
    <w:p w:rsidR="006175A6" w:rsidRDefault="009B4BA7">
      <w:pPr>
        <w:pStyle w:val="3"/>
      </w:pPr>
      <w:r>
        <w:rPr>
          <w:rFonts w:hint="eastAsia"/>
        </w:rPr>
        <w:t>地下水环境质量现状调查与评价</w:t>
      </w:r>
    </w:p>
    <w:p w:rsidR="002048C8" w:rsidRDefault="002048C8" w:rsidP="002048C8">
      <w:pPr>
        <w:ind w:firstLine="480"/>
        <w:rPr>
          <w:rFonts w:ascii="宋体" w:hAnsi="宋体"/>
        </w:rPr>
      </w:pPr>
      <w:r>
        <w:rPr>
          <w:rFonts w:ascii="宋体" w:hAnsi="宋体" w:hint="eastAsia"/>
        </w:rPr>
        <w:t>根据</w:t>
      </w:r>
      <w:r>
        <w:rPr>
          <w:rFonts w:ascii="宋体" w:hAnsi="宋体"/>
        </w:rPr>
        <w:t>区域环境功能区划，</w:t>
      </w:r>
      <w:r>
        <w:rPr>
          <w:rFonts w:ascii="宋体" w:hAnsi="宋体" w:hint="eastAsia"/>
        </w:rPr>
        <w:t>项目所在区域地下水应该执行《地下水质量标准》（</w:t>
      </w:r>
      <w:r>
        <w:rPr>
          <w:rFonts w:hint="eastAsia"/>
        </w:rPr>
        <w:t>GB/T14848-2017</w:t>
      </w:r>
      <w:r>
        <w:rPr>
          <w:rFonts w:ascii="宋体" w:hAnsi="宋体" w:hint="eastAsia"/>
        </w:rPr>
        <w:t>）</w:t>
      </w:r>
      <w:r>
        <w:rPr>
          <w:rFonts w:hint="eastAsia"/>
        </w:rPr>
        <w:t>III</w:t>
      </w:r>
      <w:r>
        <w:rPr>
          <w:rFonts w:ascii="宋体" w:hAnsi="宋体" w:hint="eastAsia"/>
        </w:rPr>
        <w:t>类标准要求。</w:t>
      </w:r>
    </w:p>
    <w:p w:rsidR="002048C8" w:rsidRDefault="002E08AB" w:rsidP="002E08AB">
      <w:pPr>
        <w:ind w:firstLine="480"/>
      </w:pPr>
      <w:r>
        <w:rPr>
          <w:rFonts w:hint="eastAsia"/>
        </w:rPr>
        <w:t>（</w:t>
      </w:r>
      <w:r>
        <w:rPr>
          <w:rFonts w:hint="eastAsia"/>
        </w:rPr>
        <w:t>1</w:t>
      </w:r>
      <w:r>
        <w:rPr>
          <w:rFonts w:hint="eastAsia"/>
        </w:rPr>
        <w:t>）</w:t>
      </w:r>
      <w:r w:rsidR="002048C8">
        <w:rPr>
          <w:rFonts w:hint="eastAsia"/>
        </w:rPr>
        <w:t>监测点位</w:t>
      </w:r>
    </w:p>
    <w:p w:rsidR="002048C8" w:rsidRDefault="002048C8" w:rsidP="002048C8">
      <w:pPr>
        <w:ind w:firstLine="480"/>
      </w:pPr>
      <w:r>
        <w:rPr>
          <w:rFonts w:ascii="宋体" w:hAnsi="宋体" w:hint="eastAsia"/>
        </w:rPr>
        <w:t>地下水监测点位详见下</w:t>
      </w:r>
      <w:r>
        <w:rPr>
          <w:rFonts w:ascii="宋体" w:hAnsi="宋体"/>
        </w:rPr>
        <w:fldChar w:fldCharType="begin"/>
      </w:r>
      <w:r>
        <w:rPr>
          <w:rFonts w:ascii="宋体" w:hAnsi="宋体"/>
        </w:rPr>
        <w:instrText xml:space="preserve"> </w:instrText>
      </w:r>
      <w:r>
        <w:rPr>
          <w:rFonts w:ascii="宋体" w:hAnsi="宋体" w:hint="eastAsia"/>
        </w:rPr>
        <w:instrText>REF _Ref80085608 \h</w:instrText>
      </w:r>
      <w:r>
        <w:rPr>
          <w:rFonts w:ascii="宋体" w:hAnsi="宋体"/>
        </w:rPr>
        <w:instrText xml:space="preserve"> </w:instrText>
      </w:r>
      <w:r>
        <w:rPr>
          <w:rFonts w:ascii="宋体" w:hAnsi="宋体"/>
        </w:rPr>
      </w:r>
      <w:r>
        <w:rPr>
          <w:rFonts w:ascii="宋体" w:hAnsi="宋体"/>
        </w:rPr>
        <w:fldChar w:fldCharType="separate"/>
      </w:r>
      <w:r w:rsidR="00E97427">
        <w:rPr>
          <w:rFonts w:hint="eastAsia"/>
        </w:rPr>
        <w:t>表</w:t>
      </w:r>
      <w:r w:rsidR="00E97427">
        <w:rPr>
          <w:rFonts w:hint="eastAsia"/>
        </w:rPr>
        <w:t xml:space="preserve"> </w:t>
      </w:r>
      <w:r w:rsidR="00E97427">
        <w:rPr>
          <w:noProof/>
        </w:rPr>
        <w:t>5.3</w:t>
      </w:r>
      <w:r w:rsidR="00E97427">
        <w:noBreakHyphen/>
      </w:r>
      <w:r w:rsidR="00E97427">
        <w:rPr>
          <w:noProof/>
        </w:rPr>
        <w:t>5</w:t>
      </w:r>
      <w:r>
        <w:rPr>
          <w:rFonts w:ascii="宋体" w:hAnsi="宋体"/>
        </w:rPr>
        <w:fldChar w:fldCharType="end"/>
      </w:r>
      <w:r>
        <w:rPr>
          <w:rFonts w:ascii="宋体" w:hAnsi="宋体" w:hint="eastAsia"/>
        </w:rPr>
        <w:t>。</w:t>
      </w:r>
    </w:p>
    <w:p w:rsidR="002048C8" w:rsidRDefault="002048C8" w:rsidP="002048C8">
      <w:pPr>
        <w:pStyle w:val="a3"/>
        <w:rPr>
          <w:rFonts w:ascii="宋体" w:hAnsi="宋体"/>
        </w:rPr>
      </w:pPr>
      <w:bookmarkStart w:id="61" w:name="_Ref80085608"/>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bookmarkEnd w:id="61"/>
      <w:r>
        <w:rPr>
          <w:rFonts w:hint="eastAsia"/>
        </w:rPr>
        <w:t xml:space="preserve">  </w:t>
      </w:r>
      <w:r w:rsidRPr="002048C8">
        <w:rPr>
          <w:rFonts w:hint="eastAsia"/>
        </w:rPr>
        <w:t>地下水监测点位一览表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808"/>
        <w:gridCol w:w="1432"/>
      </w:tblGrid>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bCs/>
                <w:sz w:val="21"/>
              </w:rPr>
            </w:pPr>
            <w:r w:rsidRPr="00250583">
              <w:rPr>
                <w:bCs/>
                <w:sz w:val="21"/>
              </w:rPr>
              <w:t>采样点位</w:t>
            </w:r>
          </w:p>
        </w:tc>
        <w:tc>
          <w:tcPr>
            <w:tcW w:w="2234" w:type="pct"/>
            <w:vAlign w:val="center"/>
            <w:hideMark/>
          </w:tcPr>
          <w:p w:rsidR="007D0610" w:rsidRPr="00250583" w:rsidRDefault="007D0610" w:rsidP="007D0610">
            <w:pPr>
              <w:spacing w:line="240" w:lineRule="auto"/>
              <w:ind w:firstLineChars="0" w:firstLine="0"/>
              <w:jc w:val="center"/>
              <w:rPr>
                <w:bCs/>
                <w:sz w:val="21"/>
              </w:rPr>
            </w:pPr>
            <w:r w:rsidRPr="00250583">
              <w:rPr>
                <w:bCs/>
                <w:sz w:val="21"/>
              </w:rPr>
              <w:t>坐标</w:t>
            </w:r>
          </w:p>
        </w:tc>
        <w:tc>
          <w:tcPr>
            <w:tcW w:w="840" w:type="pct"/>
            <w:vAlign w:val="center"/>
          </w:tcPr>
          <w:p w:rsidR="007D0610" w:rsidRPr="00250583" w:rsidRDefault="007D0610" w:rsidP="007D0610">
            <w:pPr>
              <w:spacing w:line="240" w:lineRule="auto"/>
              <w:ind w:firstLineChars="0" w:firstLine="0"/>
              <w:jc w:val="center"/>
              <w:rPr>
                <w:bCs/>
                <w:sz w:val="21"/>
              </w:rPr>
            </w:pPr>
            <w:r w:rsidRPr="00250583">
              <w:rPr>
                <w:rFonts w:hint="eastAsia"/>
                <w:bCs/>
                <w:sz w:val="21"/>
              </w:rPr>
              <w:t>检测类别</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1</w:t>
            </w:r>
            <w:r w:rsidRPr="00250583">
              <w:rPr>
                <w:sz w:val="21"/>
              </w:rPr>
              <w:t>#</w:t>
            </w:r>
            <w:r w:rsidR="00E97427">
              <w:rPr>
                <w:sz w:val="21"/>
              </w:rPr>
              <w:t>（</w:t>
            </w:r>
            <w:r w:rsidRPr="00250583">
              <w:rPr>
                <w:rFonts w:ascii="宋体" w:hAnsi="宋体"/>
                <w:sz w:val="21"/>
              </w:rPr>
              <w:t>青龙口</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N3</w:t>
            </w:r>
            <w:r w:rsidRPr="00250583">
              <w:rPr>
                <w:rFonts w:hint="eastAsia"/>
                <w:sz w:val="21"/>
              </w:rPr>
              <w:t>1</w:t>
            </w:r>
            <w:r w:rsidRPr="00250583">
              <w:rPr>
                <w:sz w:val="21"/>
              </w:rPr>
              <w:t>°25′</w:t>
            </w:r>
            <w:r w:rsidRPr="00250583">
              <w:rPr>
                <w:rFonts w:hint="eastAsia"/>
                <w:sz w:val="21"/>
              </w:rPr>
              <w:t>16.50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31.92</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水质、水位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2</w:t>
            </w:r>
            <w:r w:rsidRPr="00250583">
              <w:rPr>
                <w:sz w:val="21"/>
              </w:rPr>
              <w:t>#</w:t>
            </w:r>
            <w:r w:rsidR="00E97427">
              <w:rPr>
                <w:sz w:val="21"/>
              </w:rPr>
              <w:t>（</w:t>
            </w:r>
            <w:r w:rsidRPr="00250583">
              <w:rPr>
                <w:rFonts w:ascii="宋体" w:hAnsi="宋体"/>
                <w:sz w:val="21"/>
              </w:rPr>
              <w:t>刘家沟</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25</w:t>
            </w:r>
            <w:r w:rsidRPr="00250583">
              <w:rPr>
                <w:sz w:val="21"/>
              </w:rPr>
              <w:t>′</w:t>
            </w:r>
            <w:r w:rsidRPr="00250583">
              <w:rPr>
                <w:rFonts w:hint="eastAsia"/>
                <w:sz w:val="21"/>
              </w:rPr>
              <w:t>07.40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25.55</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水质、水位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3</w:t>
            </w:r>
            <w:r w:rsidRPr="00250583">
              <w:rPr>
                <w:sz w:val="21"/>
              </w:rPr>
              <w:t>#</w:t>
            </w:r>
            <w:r w:rsidR="00E97427">
              <w:rPr>
                <w:sz w:val="21"/>
              </w:rPr>
              <w:t>（</w:t>
            </w:r>
            <w:r w:rsidRPr="00250583">
              <w:rPr>
                <w:rFonts w:ascii="宋体" w:hAnsi="宋体"/>
                <w:sz w:val="21"/>
              </w:rPr>
              <w:t>石柱埫点位</w:t>
            </w:r>
            <w:r w:rsidRPr="00250583">
              <w:rPr>
                <w:sz w:val="21"/>
              </w:rPr>
              <w:t xml:space="preserve">1 </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25</w:t>
            </w:r>
            <w:r w:rsidRPr="00250583">
              <w:rPr>
                <w:sz w:val="21"/>
              </w:rPr>
              <w:t>′</w:t>
            </w:r>
            <w:r w:rsidRPr="00250583">
              <w:rPr>
                <w:rFonts w:hint="eastAsia"/>
                <w:sz w:val="21"/>
              </w:rPr>
              <w:t>06.97</w:t>
            </w:r>
            <w:r w:rsidRPr="00250583">
              <w:rPr>
                <w:sz w:val="21"/>
              </w:rPr>
              <w:t>′′E11</w:t>
            </w:r>
            <w:r w:rsidRPr="00250583">
              <w:rPr>
                <w:rFonts w:hint="eastAsia"/>
                <w:sz w:val="21"/>
              </w:rPr>
              <w:t>1</w:t>
            </w:r>
            <w:r w:rsidRPr="00250583">
              <w:rPr>
                <w:sz w:val="21"/>
              </w:rPr>
              <w:t>°</w:t>
            </w:r>
            <w:r w:rsidRPr="00250583">
              <w:rPr>
                <w:rFonts w:hint="eastAsia"/>
                <w:sz w:val="21"/>
              </w:rPr>
              <w:t>1</w:t>
            </w:r>
            <w:r w:rsidRPr="00250583">
              <w:rPr>
                <w:sz w:val="21"/>
              </w:rPr>
              <w:t>′</w:t>
            </w:r>
            <w:r w:rsidRPr="00250583">
              <w:rPr>
                <w:rFonts w:hint="eastAsia"/>
                <w:sz w:val="21"/>
              </w:rPr>
              <w:t>33.76</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水质、水位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4</w:t>
            </w:r>
            <w:r w:rsidRPr="00250583">
              <w:rPr>
                <w:sz w:val="21"/>
              </w:rPr>
              <w:t>#</w:t>
            </w:r>
            <w:r w:rsidR="00E97427">
              <w:rPr>
                <w:sz w:val="21"/>
              </w:rPr>
              <w:t>（</w:t>
            </w:r>
            <w:r w:rsidRPr="00250583">
              <w:rPr>
                <w:rFonts w:ascii="宋体" w:hAnsi="宋体"/>
                <w:sz w:val="21"/>
              </w:rPr>
              <w:t>坝址处</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48.44</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38.14</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水质、水位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lastRenderedPageBreak/>
              <w:t>5</w:t>
            </w:r>
            <w:r w:rsidRPr="00250583">
              <w:rPr>
                <w:sz w:val="21"/>
              </w:rPr>
              <w:t>#</w:t>
            </w:r>
            <w:r w:rsidR="00E97427">
              <w:rPr>
                <w:sz w:val="21"/>
              </w:rPr>
              <w:t>（</w:t>
            </w:r>
            <w:r w:rsidRPr="00250583">
              <w:rPr>
                <w:rFonts w:ascii="宋体" w:hAnsi="宋体"/>
                <w:sz w:val="21"/>
              </w:rPr>
              <w:t>古家砭点位</w:t>
            </w:r>
            <w:r w:rsidRPr="00250583">
              <w:rPr>
                <w:sz w:val="21"/>
              </w:rPr>
              <w:t xml:space="preserve">1 </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19.12</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35.03</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水质、水位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6</w:t>
            </w:r>
            <w:r w:rsidRPr="00250583">
              <w:rPr>
                <w:sz w:val="21"/>
              </w:rPr>
              <w:t>#</w:t>
            </w:r>
            <w:r w:rsidR="00E97427">
              <w:rPr>
                <w:sz w:val="21"/>
              </w:rPr>
              <w:t>（</w:t>
            </w:r>
            <w:r w:rsidRPr="00250583">
              <w:rPr>
                <w:rFonts w:ascii="宋体" w:hAnsi="宋体"/>
                <w:sz w:val="21"/>
              </w:rPr>
              <w:t>淹没区山谷</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57.78</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41.36</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7</w:t>
            </w:r>
            <w:r w:rsidRPr="00250583">
              <w:rPr>
                <w:sz w:val="21"/>
              </w:rPr>
              <w:t>#</w:t>
            </w:r>
            <w:r w:rsidR="00E97427">
              <w:rPr>
                <w:sz w:val="21"/>
              </w:rPr>
              <w:t>（</w:t>
            </w:r>
            <w:r w:rsidRPr="00250583">
              <w:rPr>
                <w:rFonts w:ascii="宋体" w:hAnsi="宋体"/>
                <w:sz w:val="21"/>
              </w:rPr>
              <w:t>石柱埫点位</w:t>
            </w:r>
            <w:r w:rsidRPr="00250583">
              <w:rPr>
                <w:sz w:val="21"/>
              </w:rPr>
              <w:t>2</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58.86</w:t>
            </w:r>
            <w:r w:rsidRPr="00250583">
              <w:rPr>
                <w:sz w:val="21"/>
              </w:rPr>
              <w:t>′′E11</w:t>
            </w:r>
            <w:r w:rsidRPr="00250583">
              <w:rPr>
                <w:rFonts w:hint="eastAsia"/>
                <w:sz w:val="21"/>
              </w:rPr>
              <w:t>1</w:t>
            </w:r>
            <w:r w:rsidRPr="00250583">
              <w:rPr>
                <w:sz w:val="21"/>
              </w:rPr>
              <w:t>°</w:t>
            </w:r>
            <w:r w:rsidRPr="00250583">
              <w:rPr>
                <w:rFonts w:hint="eastAsia"/>
                <w:sz w:val="21"/>
              </w:rPr>
              <w:t>1</w:t>
            </w:r>
            <w:r w:rsidRPr="00250583">
              <w:rPr>
                <w:sz w:val="21"/>
              </w:rPr>
              <w:t>′</w:t>
            </w:r>
            <w:r w:rsidRPr="00250583">
              <w:rPr>
                <w:rFonts w:hint="eastAsia"/>
                <w:sz w:val="21"/>
              </w:rPr>
              <w:t>21.30</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8</w:t>
            </w:r>
            <w:r w:rsidRPr="00250583">
              <w:rPr>
                <w:sz w:val="21"/>
              </w:rPr>
              <w:t>#</w:t>
            </w:r>
            <w:r w:rsidR="00E97427">
              <w:rPr>
                <w:sz w:val="21"/>
              </w:rPr>
              <w:t>（</w:t>
            </w:r>
            <w:r w:rsidRPr="00250583">
              <w:rPr>
                <w:rFonts w:ascii="宋体" w:hAnsi="宋体"/>
                <w:sz w:val="21"/>
              </w:rPr>
              <w:t>坝址下游</w:t>
            </w:r>
            <w:r w:rsidRPr="00250583">
              <w:rPr>
                <w:sz w:val="21"/>
              </w:rPr>
              <w:t>500m</w:t>
            </w:r>
            <w:r w:rsidRPr="00250583">
              <w:rPr>
                <w:rFonts w:ascii="宋体" w:hAnsi="宋体"/>
                <w:sz w:val="21"/>
              </w:rPr>
              <w:t>处</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30.90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56.66</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9</w:t>
            </w:r>
            <w:r w:rsidRPr="00250583">
              <w:rPr>
                <w:sz w:val="21"/>
              </w:rPr>
              <w:t>#</w:t>
            </w:r>
            <w:r w:rsidR="00E97427">
              <w:rPr>
                <w:sz w:val="21"/>
              </w:rPr>
              <w:t>（</w:t>
            </w:r>
            <w:r w:rsidRPr="00250583">
              <w:rPr>
                <w:rFonts w:ascii="宋体" w:hAnsi="宋体"/>
                <w:sz w:val="21"/>
              </w:rPr>
              <w:t>古家砭点位</w:t>
            </w:r>
            <w:r w:rsidRPr="00250583">
              <w:rPr>
                <w:sz w:val="21"/>
              </w:rPr>
              <w:t>2</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11.82</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33.91</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水位</w:t>
            </w:r>
          </w:p>
        </w:tc>
      </w:tr>
      <w:tr w:rsidR="007D0610" w:rsidRPr="00250583" w:rsidTr="007D0610">
        <w:trPr>
          <w:cantSplit/>
          <w:trHeight w:val="340"/>
          <w:jc w:val="center"/>
        </w:trPr>
        <w:tc>
          <w:tcPr>
            <w:tcW w:w="1926" w:type="pct"/>
            <w:vAlign w:val="center"/>
            <w:hideMark/>
          </w:tcPr>
          <w:p w:rsidR="007D0610" w:rsidRPr="00250583" w:rsidRDefault="007D0610" w:rsidP="007D0610">
            <w:pPr>
              <w:spacing w:line="240" w:lineRule="auto"/>
              <w:ind w:firstLineChars="0" w:firstLine="0"/>
              <w:jc w:val="center"/>
              <w:rPr>
                <w:sz w:val="21"/>
              </w:rPr>
            </w:pPr>
            <w:r w:rsidRPr="00250583">
              <w:rPr>
                <w:rFonts w:hint="eastAsia"/>
                <w:sz w:val="21"/>
              </w:rPr>
              <w:t>10</w:t>
            </w:r>
            <w:r w:rsidRPr="00250583">
              <w:rPr>
                <w:sz w:val="21"/>
              </w:rPr>
              <w:t>#</w:t>
            </w:r>
            <w:r w:rsidR="00E97427">
              <w:rPr>
                <w:sz w:val="21"/>
              </w:rPr>
              <w:t>（</w:t>
            </w:r>
            <w:r w:rsidRPr="00250583">
              <w:rPr>
                <w:rFonts w:ascii="宋体" w:hAnsi="宋体"/>
                <w:sz w:val="21"/>
              </w:rPr>
              <w:t>兴发矿区办公楼周边</w:t>
            </w:r>
            <w:r w:rsidR="00E97427">
              <w:rPr>
                <w:sz w:val="21"/>
              </w:rPr>
              <w:t>）</w:t>
            </w:r>
          </w:p>
        </w:tc>
        <w:tc>
          <w:tcPr>
            <w:tcW w:w="2234" w:type="pct"/>
            <w:vAlign w:val="center"/>
            <w:hideMark/>
          </w:tcPr>
          <w:p w:rsidR="007D0610" w:rsidRPr="00250583" w:rsidRDefault="007D0610" w:rsidP="007D0610">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23</w:t>
            </w:r>
            <w:r w:rsidRPr="00250583">
              <w:rPr>
                <w:sz w:val="21"/>
              </w:rPr>
              <w:t>′</w:t>
            </w:r>
            <w:r w:rsidRPr="00250583">
              <w:rPr>
                <w:rFonts w:hint="eastAsia"/>
                <w:sz w:val="21"/>
              </w:rPr>
              <w:t>59.30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47.89</w:t>
            </w:r>
            <w:r w:rsidRPr="00250583">
              <w:rPr>
                <w:sz w:val="21"/>
              </w:rPr>
              <w:t xml:space="preserve">′′ </w:t>
            </w:r>
          </w:p>
        </w:tc>
        <w:tc>
          <w:tcPr>
            <w:tcW w:w="840" w:type="pct"/>
            <w:vAlign w:val="center"/>
          </w:tcPr>
          <w:p w:rsidR="007D0610" w:rsidRPr="00250583" w:rsidRDefault="007D0610" w:rsidP="007D0610">
            <w:pPr>
              <w:spacing w:line="240" w:lineRule="auto"/>
              <w:ind w:firstLineChars="0" w:firstLine="0"/>
              <w:jc w:val="center"/>
              <w:rPr>
                <w:sz w:val="21"/>
              </w:rPr>
            </w:pPr>
            <w:r w:rsidRPr="00250583">
              <w:rPr>
                <w:rFonts w:hint="eastAsia"/>
                <w:sz w:val="21"/>
              </w:rPr>
              <w:t>水位</w:t>
            </w:r>
          </w:p>
        </w:tc>
      </w:tr>
    </w:tbl>
    <w:p w:rsidR="002048C8" w:rsidRDefault="002E08AB" w:rsidP="002E08AB">
      <w:pPr>
        <w:ind w:firstLine="480"/>
      </w:pPr>
      <w:r>
        <w:rPr>
          <w:rFonts w:hint="eastAsia"/>
        </w:rPr>
        <w:t>（</w:t>
      </w:r>
      <w:r>
        <w:rPr>
          <w:rFonts w:hint="eastAsia"/>
        </w:rPr>
        <w:t>2</w:t>
      </w:r>
      <w:r>
        <w:rPr>
          <w:rFonts w:hint="eastAsia"/>
        </w:rPr>
        <w:t>）监测因子</w:t>
      </w:r>
    </w:p>
    <w:p w:rsidR="002E08AB" w:rsidRDefault="002E08AB" w:rsidP="002E08AB">
      <w:pPr>
        <w:ind w:firstLine="480"/>
      </w:pPr>
      <w:r>
        <w:rPr>
          <w:rFonts w:hint="eastAsia"/>
        </w:rPr>
        <w:t>水位、</w:t>
      </w:r>
      <w:r>
        <w:t>K</w:t>
      </w:r>
      <w:r>
        <w:rPr>
          <w:vertAlign w:val="superscript"/>
        </w:rP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r>
        <w:rPr>
          <w:spacing w:val="-4"/>
        </w:rPr>
        <w:t>pH</w:t>
      </w:r>
      <w:r>
        <w:rPr>
          <w:spacing w:val="-4"/>
        </w:rPr>
        <w:t>、氨氮、硝酸盐、亚硝酸盐、挥发性酚类、氰化物、砷、汞、</w:t>
      </w:r>
      <w:r>
        <w:t>铬</w:t>
      </w:r>
      <w:r>
        <w:rPr>
          <w:rFonts w:hint="eastAsia"/>
        </w:rPr>
        <w:t>（</w:t>
      </w:r>
      <w:r>
        <w:t>六价</w:t>
      </w:r>
      <w:r>
        <w:rPr>
          <w:rFonts w:hint="eastAsia"/>
        </w:rPr>
        <w:t>）</w:t>
      </w:r>
      <w:r>
        <w:t>、总硬度、铅、氟、镉、铁、锰、溶解性总固体、高锰酸盐指数、硫酸</w:t>
      </w:r>
      <w:r>
        <w:rPr>
          <w:spacing w:val="-3"/>
        </w:rPr>
        <w:t>盐、氯化物、总大肠菌群、细菌总数。</w:t>
      </w:r>
    </w:p>
    <w:p w:rsidR="002048C8" w:rsidRPr="002E08AB" w:rsidRDefault="002E08AB" w:rsidP="002E08AB">
      <w:pPr>
        <w:ind w:firstLine="480"/>
        <w:rPr>
          <w:rFonts w:ascii="宋体" w:hAnsi="宋体"/>
        </w:rPr>
      </w:pPr>
      <w:r>
        <w:rPr>
          <w:rFonts w:hint="eastAsia"/>
        </w:rPr>
        <w:t>（</w:t>
      </w:r>
      <w:r>
        <w:rPr>
          <w:rFonts w:hint="eastAsia"/>
        </w:rPr>
        <w:t>3</w:t>
      </w:r>
      <w:r>
        <w:rPr>
          <w:rFonts w:hint="eastAsia"/>
        </w:rPr>
        <w:t>）监测时间及频次</w:t>
      </w:r>
    </w:p>
    <w:p w:rsidR="002E08AB" w:rsidRDefault="002E08AB" w:rsidP="002E08AB">
      <w:pPr>
        <w:ind w:firstLine="480"/>
      </w:pPr>
      <w:r>
        <w:rPr>
          <w:rFonts w:hint="eastAsia"/>
        </w:rPr>
        <w:t>于</w:t>
      </w:r>
      <w:r>
        <w:rPr>
          <w:rFonts w:hint="eastAsia"/>
        </w:rPr>
        <w:t>2021</w:t>
      </w:r>
      <w:r>
        <w:rPr>
          <w:rFonts w:hint="eastAsia"/>
        </w:rPr>
        <w:t>年</w:t>
      </w:r>
      <w:r>
        <w:rPr>
          <w:rFonts w:hint="eastAsia"/>
        </w:rPr>
        <w:t>7</w:t>
      </w:r>
      <w:r>
        <w:rPr>
          <w:rFonts w:hint="eastAsia"/>
        </w:rPr>
        <w:t>月</w:t>
      </w:r>
      <w:r>
        <w:rPr>
          <w:rFonts w:hint="eastAsia"/>
        </w:rPr>
        <w:t>21</w:t>
      </w:r>
      <w:r>
        <w:rPr>
          <w:rFonts w:hint="eastAsia"/>
        </w:rPr>
        <w:t>日检测，</w:t>
      </w:r>
      <w:r>
        <w:t>监测</w:t>
      </w:r>
      <w:r>
        <w:rPr>
          <w:rFonts w:hint="eastAsia"/>
        </w:rPr>
        <w:t>一次均值</w:t>
      </w:r>
      <w:r>
        <w:t>。</w:t>
      </w:r>
    </w:p>
    <w:p w:rsidR="002E08AB" w:rsidRDefault="002E08AB" w:rsidP="002048C8">
      <w:pPr>
        <w:ind w:firstLine="480"/>
      </w:pPr>
      <w:r>
        <w:rPr>
          <w:rFonts w:hint="eastAsia"/>
        </w:rPr>
        <w:t>（</w:t>
      </w:r>
      <w:r>
        <w:rPr>
          <w:rFonts w:hint="eastAsia"/>
        </w:rPr>
        <w:t>4</w:t>
      </w:r>
      <w:r>
        <w:rPr>
          <w:rFonts w:hint="eastAsia"/>
        </w:rPr>
        <w:t>）检测分析方法</w:t>
      </w:r>
    </w:p>
    <w:p w:rsidR="002E08AB" w:rsidRDefault="002E08AB" w:rsidP="002048C8">
      <w:pPr>
        <w:ind w:firstLine="480"/>
      </w:pPr>
      <w:r>
        <w:rPr>
          <w:rFonts w:hint="eastAsia"/>
        </w:rPr>
        <w:t>项目所在区域地下水检测、分析方法见下表：</w:t>
      </w:r>
    </w:p>
    <w:p w:rsidR="002E08AB" w:rsidRPr="002E08AB" w:rsidRDefault="002E08AB" w:rsidP="002E08AB">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6</w:t>
      </w:r>
      <w:r w:rsidR="00A524F9">
        <w:fldChar w:fldCharType="end"/>
      </w:r>
      <w:r>
        <w:rPr>
          <w:rFonts w:hint="eastAsia"/>
        </w:rPr>
        <w:t xml:space="preserve">  </w:t>
      </w:r>
      <w:r>
        <w:rPr>
          <w:rFonts w:hint="eastAsia"/>
        </w:rPr>
        <w:t>地下水检测、分析方法一览表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0"/>
        <w:gridCol w:w="3133"/>
        <w:gridCol w:w="2229"/>
        <w:gridCol w:w="1810"/>
      </w:tblGrid>
      <w:tr w:rsidR="009A455B" w:rsidRPr="009A455B" w:rsidTr="009A455B">
        <w:trPr>
          <w:trHeight w:val="340"/>
          <w:jc w:val="center"/>
        </w:trPr>
        <w:tc>
          <w:tcPr>
            <w:tcW w:w="792" w:type="pct"/>
            <w:gridSpan w:val="2"/>
            <w:vAlign w:val="center"/>
            <w:hideMark/>
          </w:tcPr>
          <w:p w:rsidR="009A455B" w:rsidRPr="009A455B" w:rsidRDefault="009A455B" w:rsidP="009A455B">
            <w:pPr>
              <w:autoSpaceDE w:val="0"/>
              <w:adjustRightInd w:val="0"/>
              <w:snapToGrid w:val="0"/>
              <w:spacing w:line="240" w:lineRule="auto"/>
              <w:ind w:firstLineChars="0" w:firstLine="0"/>
              <w:jc w:val="center"/>
              <w:rPr>
                <w:sz w:val="21"/>
              </w:rPr>
            </w:pPr>
            <w:r w:rsidRPr="009A455B">
              <w:rPr>
                <w:sz w:val="21"/>
              </w:rPr>
              <w:t>检测项目</w:t>
            </w:r>
          </w:p>
        </w:tc>
        <w:tc>
          <w:tcPr>
            <w:tcW w:w="1838" w:type="pct"/>
            <w:vAlign w:val="center"/>
            <w:hideMark/>
          </w:tcPr>
          <w:p w:rsidR="009A455B" w:rsidRPr="009A455B" w:rsidRDefault="009A455B" w:rsidP="009A455B">
            <w:pPr>
              <w:autoSpaceDE w:val="0"/>
              <w:adjustRightInd w:val="0"/>
              <w:snapToGrid w:val="0"/>
              <w:spacing w:line="240" w:lineRule="auto"/>
              <w:ind w:firstLineChars="0" w:firstLine="0"/>
              <w:jc w:val="center"/>
              <w:rPr>
                <w:sz w:val="21"/>
              </w:rPr>
            </w:pPr>
            <w:r w:rsidRPr="009A455B">
              <w:rPr>
                <w:sz w:val="21"/>
              </w:rPr>
              <w:t>标准方法名称</w:t>
            </w:r>
          </w:p>
        </w:tc>
        <w:tc>
          <w:tcPr>
            <w:tcW w:w="1308" w:type="pct"/>
            <w:vAlign w:val="center"/>
            <w:hideMark/>
          </w:tcPr>
          <w:p w:rsidR="009A455B" w:rsidRPr="009A455B" w:rsidRDefault="009A455B" w:rsidP="009A455B">
            <w:pPr>
              <w:autoSpaceDE w:val="0"/>
              <w:adjustRightInd w:val="0"/>
              <w:snapToGrid w:val="0"/>
              <w:spacing w:line="240" w:lineRule="auto"/>
              <w:ind w:firstLineChars="0" w:firstLine="0"/>
              <w:jc w:val="center"/>
              <w:rPr>
                <w:sz w:val="21"/>
              </w:rPr>
            </w:pPr>
            <w:r w:rsidRPr="009A455B">
              <w:rPr>
                <w:sz w:val="21"/>
              </w:rPr>
              <w:t>检测仪器及编号</w:t>
            </w:r>
          </w:p>
        </w:tc>
        <w:tc>
          <w:tcPr>
            <w:tcW w:w="1062" w:type="pct"/>
            <w:vAlign w:val="center"/>
            <w:hideMark/>
          </w:tcPr>
          <w:p w:rsidR="009A455B" w:rsidRPr="009A455B" w:rsidRDefault="009A455B" w:rsidP="009A455B">
            <w:pPr>
              <w:autoSpaceDE w:val="0"/>
              <w:adjustRightInd w:val="0"/>
              <w:snapToGrid w:val="0"/>
              <w:spacing w:line="240" w:lineRule="auto"/>
              <w:ind w:firstLineChars="0" w:firstLine="0"/>
              <w:jc w:val="center"/>
              <w:rPr>
                <w:sz w:val="21"/>
              </w:rPr>
            </w:pPr>
            <w:r w:rsidRPr="009A455B">
              <w:rPr>
                <w:sz w:val="21"/>
              </w:rPr>
              <w:t>检出限</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pH</w:t>
            </w:r>
            <w:r w:rsidRPr="009A455B">
              <w:rPr>
                <w:rFonts w:ascii="宋体" w:hAnsi="宋体"/>
                <w:sz w:val="21"/>
              </w:rPr>
              <w:t>值</w:t>
            </w:r>
          </w:p>
        </w:tc>
        <w:tc>
          <w:tcPr>
            <w:tcW w:w="1844" w:type="pct"/>
            <w:gridSpan w:val="2"/>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便携式</w:t>
            </w:r>
            <w:r w:rsidRPr="009A455B">
              <w:rPr>
                <w:sz w:val="21"/>
              </w:rPr>
              <w:t>pH</w:t>
            </w:r>
            <w:r w:rsidRPr="009A455B">
              <w:rPr>
                <w:rFonts w:ascii="宋体" w:hAnsi="宋体"/>
                <w:sz w:val="21"/>
              </w:rPr>
              <w:t>计法《水和废水监测分析方法》（第四版增补版）国家环境保护总局</w:t>
            </w:r>
            <w:r w:rsidRPr="009A455B">
              <w:rPr>
                <w:sz w:val="21"/>
              </w:rPr>
              <w:t>2002</w:t>
            </w:r>
            <w:r w:rsidRPr="009A455B">
              <w:rPr>
                <w:rFonts w:ascii="宋体" w:hAnsi="宋体"/>
                <w:sz w:val="21"/>
              </w:rPr>
              <w:t>年 第三篇第一章第六节（二）</w:t>
            </w:r>
          </w:p>
        </w:tc>
        <w:tc>
          <w:tcPr>
            <w:tcW w:w="1308" w:type="pct"/>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rFonts w:hint="eastAsia"/>
                <w:sz w:val="21"/>
              </w:rPr>
              <w:t>PH-100</w:t>
            </w:r>
            <w:r w:rsidRPr="009A455B">
              <w:rPr>
                <w:rFonts w:hint="eastAsia"/>
                <w:sz w:val="21"/>
              </w:rPr>
              <w:t>笔式酸度计</w:t>
            </w:r>
            <w:r w:rsidR="00E97427">
              <w:rPr>
                <w:sz w:val="21"/>
              </w:rPr>
              <w:t>（</w:t>
            </w:r>
            <w:r w:rsidRPr="009A455B">
              <w:rPr>
                <w:sz w:val="21"/>
              </w:rPr>
              <w:t>QS-XC0</w:t>
            </w:r>
            <w:r w:rsidRPr="009A455B">
              <w:rPr>
                <w:rFonts w:hint="eastAsia"/>
                <w:sz w:val="21"/>
              </w:rPr>
              <w:t>28</w:t>
            </w:r>
            <w:r w:rsidR="00E97427">
              <w:rPr>
                <w:sz w:val="21"/>
              </w:rPr>
              <w:t>）</w:t>
            </w:r>
          </w:p>
        </w:tc>
        <w:tc>
          <w:tcPr>
            <w:tcW w:w="1062" w:type="pct"/>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解析度：</w:t>
            </w:r>
            <w:r w:rsidRPr="009A455B">
              <w:rPr>
                <w:sz w:val="21"/>
              </w:rPr>
              <w:t>0.01pH</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textAlignment w:val="center"/>
              <w:rPr>
                <w:sz w:val="21"/>
              </w:rPr>
            </w:pPr>
            <w:r w:rsidRPr="009A455B">
              <w:rPr>
                <w:sz w:val="21"/>
              </w:rPr>
              <w:t>*</w:t>
            </w:r>
            <w:r w:rsidRPr="009A455B">
              <w:rPr>
                <w:rFonts w:ascii="宋体" w:hAnsi="宋体"/>
                <w:sz w:val="21"/>
              </w:rPr>
              <w:t>钾离子</w:t>
            </w:r>
          </w:p>
        </w:tc>
        <w:tc>
          <w:tcPr>
            <w:tcW w:w="1844" w:type="pct"/>
            <w:gridSpan w:val="2"/>
            <w:vMerge w:val="restar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《水质</w:t>
            </w:r>
            <w:r w:rsidRPr="009A455B">
              <w:rPr>
                <w:sz w:val="21"/>
              </w:rPr>
              <w:t xml:space="preserve"> </w:t>
            </w:r>
            <w:r w:rsidRPr="009A455B">
              <w:rPr>
                <w:sz w:val="21"/>
              </w:rPr>
              <w:t>可溶性阳离子（</w:t>
            </w:r>
            <w:r w:rsidRPr="009A455B">
              <w:rPr>
                <w:sz w:val="21"/>
              </w:rPr>
              <w:t>Li</w:t>
            </w:r>
            <w:r w:rsidRPr="009A455B">
              <w:rPr>
                <w:sz w:val="21"/>
                <w:vertAlign w:val="superscript"/>
              </w:rPr>
              <w:t>+</w:t>
            </w:r>
            <w:r w:rsidRPr="009A455B">
              <w:rPr>
                <w:sz w:val="21"/>
              </w:rPr>
              <w:t>、</w:t>
            </w:r>
            <w:r w:rsidRPr="009A455B">
              <w:rPr>
                <w:sz w:val="21"/>
              </w:rPr>
              <w:t>Na</w:t>
            </w:r>
            <w:r w:rsidRPr="009A455B">
              <w:rPr>
                <w:sz w:val="21"/>
                <w:vertAlign w:val="superscript"/>
              </w:rPr>
              <w:t>+</w:t>
            </w:r>
            <w:r w:rsidRPr="009A455B">
              <w:rPr>
                <w:sz w:val="21"/>
              </w:rPr>
              <w:t>、</w:t>
            </w:r>
            <w:r w:rsidRPr="009A455B">
              <w:rPr>
                <w:sz w:val="21"/>
              </w:rPr>
              <w:t>NH</w:t>
            </w:r>
            <w:r w:rsidRPr="009A455B">
              <w:rPr>
                <w:sz w:val="21"/>
                <w:vertAlign w:val="subscript"/>
              </w:rPr>
              <w:t>4</w:t>
            </w:r>
            <w:r w:rsidRPr="009A455B">
              <w:rPr>
                <w:sz w:val="21"/>
                <w:vertAlign w:val="superscript"/>
              </w:rPr>
              <w:t>+</w:t>
            </w:r>
            <w:r w:rsidRPr="009A455B">
              <w:rPr>
                <w:sz w:val="21"/>
              </w:rPr>
              <w:t>、</w:t>
            </w:r>
            <w:r w:rsidRPr="009A455B">
              <w:rPr>
                <w:sz w:val="21"/>
              </w:rPr>
              <w:t>K</w:t>
            </w:r>
            <w:r w:rsidRPr="009A455B">
              <w:rPr>
                <w:sz w:val="21"/>
                <w:vertAlign w:val="superscript"/>
              </w:rPr>
              <w:t>+</w:t>
            </w:r>
            <w:r w:rsidRPr="009A455B">
              <w:rPr>
                <w:sz w:val="21"/>
              </w:rPr>
              <w:t>、</w:t>
            </w:r>
            <w:r w:rsidRPr="009A455B">
              <w:rPr>
                <w:sz w:val="21"/>
              </w:rPr>
              <w:t>Ca</w:t>
            </w:r>
            <w:r w:rsidRPr="009A455B">
              <w:rPr>
                <w:sz w:val="21"/>
                <w:vertAlign w:val="superscript"/>
              </w:rPr>
              <w:t>2+</w:t>
            </w:r>
            <w:r w:rsidRPr="009A455B">
              <w:rPr>
                <w:sz w:val="21"/>
              </w:rPr>
              <w:t>、</w:t>
            </w:r>
            <w:r w:rsidRPr="009A455B">
              <w:rPr>
                <w:sz w:val="21"/>
              </w:rPr>
              <w:t>Mg</w:t>
            </w:r>
            <w:r w:rsidRPr="009A455B">
              <w:rPr>
                <w:sz w:val="21"/>
                <w:vertAlign w:val="superscript"/>
              </w:rPr>
              <w:t>2+</w:t>
            </w:r>
            <w:r w:rsidRPr="009A455B">
              <w:rPr>
                <w:sz w:val="21"/>
              </w:rPr>
              <w:t>）的测定</w:t>
            </w:r>
            <w:r w:rsidRPr="009A455B">
              <w:rPr>
                <w:sz w:val="21"/>
              </w:rPr>
              <w:t xml:space="preserve"> </w:t>
            </w:r>
            <w:r w:rsidRPr="009A455B">
              <w:rPr>
                <w:sz w:val="21"/>
              </w:rPr>
              <w:t>离子色谱法》</w:t>
            </w:r>
            <w:r>
              <w:rPr>
                <w:rFonts w:hint="eastAsia"/>
                <w:sz w:val="21"/>
              </w:rPr>
              <w:t xml:space="preserve"> </w:t>
            </w:r>
          </w:p>
          <w:p w:rsidR="002E7213" w:rsidRPr="009A455B" w:rsidRDefault="002E7213" w:rsidP="009A455B">
            <w:pPr>
              <w:autoSpaceDE w:val="0"/>
              <w:spacing w:line="240" w:lineRule="auto"/>
              <w:ind w:firstLineChars="0" w:firstLine="0"/>
              <w:jc w:val="center"/>
              <w:rPr>
                <w:sz w:val="21"/>
              </w:rPr>
            </w:pPr>
            <w:r w:rsidRPr="009A455B">
              <w:rPr>
                <w:sz w:val="21"/>
              </w:rPr>
              <w:t>HJ 812-2016</w:t>
            </w:r>
          </w:p>
        </w:tc>
        <w:tc>
          <w:tcPr>
            <w:tcW w:w="1308" w:type="pct"/>
            <w:vMerge w:val="restar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CIC-D120</w:t>
            </w:r>
            <w:r w:rsidRPr="009A455B">
              <w:rPr>
                <w:sz w:val="21"/>
              </w:rPr>
              <w:br/>
              <w:t>STT-FX0365</w:t>
            </w:r>
            <w:r w:rsidRPr="009A455B">
              <w:rPr>
                <w:sz w:val="21"/>
              </w:rPr>
              <w:br/>
            </w:r>
            <w:r w:rsidRPr="009A455B">
              <w:rPr>
                <w:sz w:val="21"/>
              </w:rPr>
              <w:t>离子色谱仪</w:t>
            </w: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0.02mg/L</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textAlignment w:val="center"/>
              <w:rPr>
                <w:sz w:val="21"/>
              </w:rPr>
            </w:pPr>
            <w:r w:rsidRPr="009A455B">
              <w:rPr>
                <w:sz w:val="21"/>
              </w:rPr>
              <w:t>*</w:t>
            </w:r>
            <w:r w:rsidRPr="009A455B">
              <w:rPr>
                <w:rFonts w:ascii="宋体" w:hAnsi="宋体"/>
                <w:sz w:val="21"/>
              </w:rPr>
              <w:t>钠离子</w:t>
            </w:r>
          </w:p>
        </w:tc>
        <w:tc>
          <w:tcPr>
            <w:tcW w:w="1844" w:type="pct"/>
            <w:gridSpan w:val="2"/>
            <w:vMerge/>
            <w:vAlign w:val="center"/>
          </w:tcPr>
          <w:p w:rsidR="002E7213" w:rsidRPr="009A455B" w:rsidRDefault="002E7213" w:rsidP="009A455B">
            <w:pPr>
              <w:autoSpaceDE w:val="0"/>
              <w:spacing w:line="240" w:lineRule="auto"/>
              <w:ind w:firstLineChars="0" w:firstLine="0"/>
              <w:jc w:val="center"/>
              <w:rPr>
                <w:sz w:val="21"/>
              </w:rPr>
            </w:pPr>
          </w:p>
        </w:tc>
        <w:tc>
          <w:tcPr>
            <w:tcW w:w="1308" w:type="pct"/>
            <w:vMerge/>
            <w:vAlign w:val="center"/>
          </w:tcPr>
          <w:p w:rsidR="002E7213" w:rsidRPr="009A455B" w:rsidRDefault="002E7213" w:rsidP="009A455B">
            <w:pPr>
              <w:autoSpaceDE w:val="0"/>
              <w:spacing w:line="240" w:lineRule="auto"/>
              <w:ind w:firstLineChars="0" w:firstLine="0"/>
              <w:jc w:val="center"/>
              <w:rPr>
                <w:sz w:val="21"/>
              </w:rPr>
            </w:pP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0.02mg/L</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textAlignment w:val="center"/>
              <w:rPr>
                <w:sz w:val="21"/>
              </w:rPr>
            </w:pPr>
            <w:r w:rsidRPr="009A455B">
              <w:rPr>
                <w:sz w:val="21"/>
              </w:rPr>
              <w:t>*</w:t>
            </w:r>
            <w:r w:rsidRPr="009A455B">
              <w:rPr>
                <w:rFonts w:ascii="宋体" w:hAnsi="宋体"/>
                <w:sz w:val="21"/>
              </w:rPr>
              <w:t>钙离子</w:t>
            </w:r>
          </w:p>
        </w:tc>
        <w:tc>
          <w:tcPr>
            <w:tcW w:w="1844" w:type="pct"/>
            <w:gridSpan w:val="2"/>
            <w:vMerge/>
            <w:vAlign w:val="center"/>
          </w:tcPr>
          <w:p w:rsidR="002E7213" w:rsidRPr="009A455B" w:rsidRDefault="002E7213" w:rsidP="009A455B">
            <w:pPr>
              <w:autoSpaceDE w:val="0"/>
              <w:spacing w:line="240" w:lineRule="auto"/>
              <w:ind w:firstLineChars="0" w:firstLine="0"/>
              <w:jc w:val="center"/>
              <w:rPr>
                <w:sz w:val="21"/>
              </w:rPr>
            </w:pPr>
          </w:p>
        </w:tc>
        <w:tc>
          <w:tcPr>
            <w:tcW w:w="1308" w:type="pct"/>
            <w:vMerge/>
            <w:vAlign w:val="center"/>
          </w:tcPr>
          <w:p w:rsidR="002E7213" w:rsidRPr="009A455B" w:rsidRDefault="002E7213" w:rsidP="009A455B">
            <w:pPr>
              <w:autoSpaceDE w:val="0"/>
              <w:spacing w:line="240" w:lineRule="auto"/>
              <w:ind w:firstLineChars="0" w:firstLine="0"/>
              <w:jc w:val="center"/>
              <w:rPr>
                <w:sz w:val="21"/>
              </w:rPr>
            </w:pP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0.03mg/L</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textAlignment w:val="center"/>
              <w:rPr>
                <w:sz w:val="21"/>
              </w:rPr>
            </w:pPr>
            <w:r w:rsidRPr="009A455B">
              <w:rPr>
                <w:sz w:val="21"/>
              </w:rPr>
              <w:t>*</w:t>
            </w:r>
            <w:r w:rsidRPr="009A455B">
              <w:rPr>
                <w:rFonts w:ascii="宋体" w:hAnsi="宋体"/>
                <w:sz w:val="21"/>
              </w:rPr>
              <w:t>镁离子</w:t>
            </w:r>
          </w:p>
        </w:tc>
        <w:tc>
          <w:tcPr>
            <w:tcW w:w="1844" w:type="pct"/>
            <w:gridSpan w:val="2"/>
            <w:vMerge/>
            <w:vAlign w:val="center"/>
          </w:tcPr>
          <w:p w:rsidR="002E7213" w:rsidRPr="009A455B" w:rsidRDefault="002E7213" w:rsidP="009A455B">
            <w:pPr>
              <w:autoSpaceDE w:val="0"/>
              <w:spacing w:line="240" w:lineRule="auto"/>
              <w:ind w:firstLineChars="0" w:firstLine="0"/>
              <w:jc w:val="center"/>
              <w:rPr>
                <w:sz w:val="21"/>
              </w:rPr>
            </w:pPr>
          </w:p>
        </w:tc>
        <w:tc>
          <w:tcPr>
            <w:tcW w:w="1308" w:type="pct"/>
            <w:vMerge/>
            <w:vAlign w:val="center"/>
          </w:tcPr>
          <w:p w:rsidR="002E7213" w:rsidRPr="009A455B" w:rsidRDefault="002E7213" w:rsidP="009A455B">
            <w:pPr>
              <w:autoSpaceDE w:val="0"/>
              <w:spacing w:line="240" w:lineRule="auto"/>
              <w:ind w:firstLineChars="0" w:firstLine="0"/>
              <w:jc w:val="center"/>
              <w:rPr>
                <w:sz w:val="21"/>
              </w:rPr>
            </w:pP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0.02mg/L</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碳酸根</w:t>
            </w:r>
          </w:p>
        </w:tc>
        <w:tc>
          <w:tcPr>
            <w:tcW w:w="1844" w:type="pct"/>
            <w:gridSpan w:val="2"/>
            <w:vMerge w:val="restart"/>
            <w:vAlign w:val="center"/>
            <w:hideMark/>
          </w:tcPr>
          <w:p w:rsidR="002E7213" w:rsidRPr="009A455B" w:rsidRDefault="002E7213" w:rsidP="009A455B">
            <w:pPr>
              <w:autoSpaceDE w:val="0"/>
              <w:spacing w:line="240" w:lineRule="auto"/>
              <w:ind w:firstLineChars="0" w:firstLine="0"/>
              <w:jc w:val="center"/>
              <w:textAlignment w:val="center"/>
              <w:rPr>
                <w:sz w:val="21"/>
              </w:rPr>
            </w:pPr>
            <w:r w:rsidRPr="009A455B">
              <w:rPr>
                <w:sz w:val="21"/>
              </w:rPr>
              <w:t>地下水质检验方法</w:t>
            </w:r>
            <w:r w:rsidRPr="009A455B">
              <w:rPr>
                <w:sz w:val="21"/>
              </w:rPr>
              <w:t xml:space="preserve"> </w:t>
            </w:r>
            <w:r w:rsidRPr="009A455B">
              <w:rPr>
                <w:sz w:val="21"/>
              </w:rPr>
              <w:t>滴定法测定碳酸根、重碳酸根和氢氧根</w:t>
            </w:r>
            <w:r w:rsidRPr="009A455B">
              <w:rPr>
                <w:sz w:val="21"/>
              </w:rPr>
              <w:t xml:space="preserve"> DZ/T 0064.49-1993</w:t>
            </w:r>
          </w:p>
        </w:tc>
        <w:tc>
          <w:tcPr>
            <w:tcW w:w="1308" w:type="pct"/>
            <w:vMerge w:val="restar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滴定管</w:t>
            </w: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5mg/L</w:t>
            </w:r>
          </w:p>
        </w:tc>
      </w:tr>
      <w:tr w:rsidR="002E7213" w:rsidRPr="009A455B" w:rsidTr="009A455B">
        <w:trPr>
          <w:trHeight w:val="340"/>
          <w:jc w:val="center"/>
        </w:trPr>
        <w:tc>
          <w:tcPr>
            <w:tcW w:w="786"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重碳酸根</w:t>
            </w:r>
          </w:p>
        </w:tc>
        <w:tc>
          <w:tcPr>
            <w:tcW w:w="1844" w:type="pct"/>
            <w:gridSpan w:val="2"/>
            <w:vMerge/>
            <w:vAlign w:val="center"/>
          </w:tcPr>
          <w:p w:rsidR="002E7213" w:rsidRPr="009A455B" w:rsidRDefault="002E7213" w:rsidP="009A455B">
            <w:pPr>
              <w:autoSpaceDE w:val="0"/>
              <w:spacing w:line="240" w:lineRule="auto"/>
              <w:ind w:firstLineChars="0" w:firstLine="0"/>
              <w:jc w:val="center"/>
              <w:rPr>
                <w:sz w:val="21"/>
              </w:rPr>
            </w:pPr>
          </w:p>
        </w:tc>
        <w:tc>
          <w:tcPr>
            <w:tcW w:w="1308" w:type="pct"/>
            <w:vMerge/>
            <w:vAlign w:val="center"/>
          </w:tcPr>
          <w:p w:rsidR="002E7213" w:rsidRPr="009A455B" w:rsidRDefault="002E7213" w:rsidP="009A455B">
            <w:pPr>
              <w:autoSpaceDE w:val="0"/>
              <w:spacing w:line="240" w:lineRule="auto"/>
              <w:ind w:firstLineChars="0" w:firstLine="0"/>
              <w:jc w:val="center"/>
              <w:rPr>
                <w:sz w:val="21"/>
              </w:rPr>
            </w:pPr>
          </w:p>
        </w:tc>
        <w:tc>
          <w:tcPr>
            <w:tcW w:w="1062" w:type="pct"/>
            <w:vAlign w:val="center"/>
            <w:hideMark/>
          </w:tcPr>
          <w:p w:rsidR="002E7213" w:rsidRPr="009A455B" w:rsidRDefault="002E7213" w:rsidP="009A455B">
            <w:pPr>
              <w:autoSpaceDE w:val="0"/>
              <w:spacing w:line="240" w:lineRule="auto"/>
              <w:ind w:firstLineChars="0" w:firstLine="0"/>
              <w:jc w:val="center"/>
              <w:rPr>
                <w:sz w:val="21"/>
              </w:rPr>
            </w:pPr>
            <w:r w:rsidRPr="009A455B">
              <w:rPr>
                <w:sz w:val="21"/>
              </w:rPr>
              <w:t>5mg/L</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总硬度</w:t>
            </w:r>
          </w:p>
        </w:tc>
        <w:tc>
          <w:tcPr>
            <w:tcW w:w="1844" w:type="pct"/>
            <w:gridSpan w:val="2"/>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感官性状和物理指标</w:t>
            </w:r>
            <w:r w:rsidRPr="009A455B">
              <w:rPr>
                <w:sz w:val="21"/>
              </w:rPr>
              <w:t xml:space="preserve"> GB/T 5750.4-2006 </w:t>
            </w:r>
            <w:r w:rsidR="00E97427">
              <w:rPr>
                <w:sz w:val="21"/>
              </w:rPr>
              <w:t>（</w:t>
            </w:r>
            <w:r w:rsidRPr="009A455B">
              <w:rPr>
                <w:sz w:val="21"/>
              </w:rPr>
              <w:t>7.1</w:t>
            </w:r>
            <w:r w:rsidR="00E97427">
              <w:rPr>
                <w:sz w:val="21"/>
              </w:rPr>
              <w:t>）</w:t>
            </w:r>
            <w:r w:rsidRPr="009A455B">
              <w:rPr>
                <w:sz w:val="21"/>
              </w:rPr>
              <w:t xml:space="preserve"> </w:t>
            </w:r>
            <w:r w:rsidRPr="009A455B">
              <w:rPr>
                <w:rFonts w:ascii="宋体" w:hAnsi="宋体"/>
                <w:sz w:val="21"/>
              </w:rPr>
              <w:t>乙二胺四乙酸二钠滴定法</w:t>
            </w:r>
          </w:p>
        </w:tc>
        <w:tc>
          <w:tcPr>
            <w:tcW w:w="1308"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滴定管</w:t>
            </w:r>
          </w:p>
        </w:tc>
        <w:tc>
          <w:tcPr>
            <w:tcW w:w="1062"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1.0mg/L</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硫酸盐</w:t>
            </w:r>
          </w:p>
        </w:tc>
        <w:tc>
          <w:tcPr>
            <w:tcW w:w="1844" w:type="pct"/>
            <w:gridSpan w:val="2"/>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无机非金属指标</w:t>
            </w:r>
            <w:r w:rsidRPr="009A455B">
              <w:rPr>
                <w:sz w:val="21"/>
              </w:rPr>
              <w:t xml:space="preserve"> GB/T5750.5-2006 </w:t>
            </w:r>
            <w:r w:rsidR="00E97427">
              <w:rPr>
                <w:sz w:val="21"/>
              </w:rPr>
              <w:t>（</w:t>
            </w:r>
            <w:r w:rsidRPr="009A455B">
              <w:rPr>
                <w:sz w:val="21"/>
              </w:rPr>
              <w:t>1.1</w:t>
            </w:r>
            <w:r w:rsidR="00E97427">
              <w:rPr>
                <w:sz w:val="21"/>
              </w:rPr>
              <w:t>）</w:t>
            </w:r>
            <w:r w:rsidRPr="009A455B">
              <w:rPr>
                <w:sz w:val="21"/>
              </w:rPr>
              <w:t xml:space="preserve"> </w:t>
            </w:r>
            <w:r w:rsidRPr="009A455B">
              <w:rPr>
                <w:rFonts w:ascii="宋体" w:hAnsi="宋体"/>
                <w:sz w:val="21"/>
              </w:rPr>
              <w:t>硫酸钡比浊法</w:t>
            </w:r>
          </w:p>
        </w:tc>
        <w:tc>
          <w:tcPr>
            <w:tcW w:w="1308" w:type="pct"/>
            <w:vAlign w:val="center"/>
            <w:hideMark/>
          </w:tcPr>
          <w:p w:rsidR="009A455B" w:rsidRPr="009A455B" w:rsidRDefault="009A455B" w:rsidP="009A455B">
            <w:pPr>
              <w:autoSpaceDE w:val="0"/>
              <w:spacing w:line="240" w:lineRule="auto"/>
              <w:ind w:firstLineChars="0" w:firstLine="0"/>
              <w:jc w:val="center"/>
              <w:rPr>
                <w:sz w:val="21"/>
              </w:rPr>
            </w:pPr>
            <w:r w:rsidRPr="009A455B">
              <w:rPr>
                <w:rFonts w:hint="eastAsia"/>
                <w:sz w:val="21"/>
              </w:rPr>
              <w:t>T6</w:t>
            </w:r>
            <w:r w:rsidRPr="009A455B">
              <w:rPr>
                <w:rFonts w:ascii="宋体" w:hAnsi="宋体" w:hint="eastAsia"/>
                <w:sz w:val="21"/>
              </w:rPr>
              <w:t>新世纪</w:t>
            </w:r>
          </w:p>
          <w:p w:rsidR="009A455B" w:rsidRPr="009A455B" w:rsidRDefault="009A455B" w:rsidP="009A455B">
            <w:pPr>
              <w:autoSpaceDE w:val="0"/>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w:t>
            </w:r>
            <w:r w:rsidRPr="009A455B">
              <w:rPr>
                <w:rFonts w:hint="eastAsia"/>
                <w:sz w:val="21"/>
              </w:rPr>
              <w:t>059</w:t>
            </w:r>
            <w:r w:rsidR="00E97427">
              <w:rPr>
                <w:sz w:val="21"/>
              </w:rPr>
              <w:t>）</w:t>
            </w:r>
          </w:p>
        </w:tc>
        <w:tc>
          <w:tcPr>
            <w:tcW w:w="1062"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5.0mg/L</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氯化物</w:t>
            </w:r>
          </w:p>
        </w:tc>
        <w:tc>
          <w:tcPr>
            <w:tcW w:w="1844" w:type="pct"/>
            <w:gridSpan w:val="2"/>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无机非金属指标</w:t>
            </w:r>
            <w:r w:rsidRPr="009A455B">
              <w:rPr>
                <w:sz w:val="21"/>
              </w:rPr>
              <w:t xml:space="preserve"> GB/T5750.5-2006 </w:t>
            </w:r>
            <w:r w:rsidR="00E97427">
              <w:rPr>
                <w:sz w:val="21"/>
              </w:rPr>
              <w:t>（</w:t>
            </w:r>
            <w:r w:rsidRPr="009A455B">
              <w:rPr>
                <w:sz w:val="21"/>
              </w:rPr>
              <w:t>2.1</w:t>
            </w:r>
            <w:r w:rsidR="00E97427">
              <w:rPr>
                <w:sz w:val="21"/>
              </w:rPr>
              <w:t>）</w:t>
            </w:r>
            <w:r w:rsidRPr="009A455B">
              <w:rPr>
                <w:sz w:val="21"/>
              </w:rPr>
              <w:t xml:space="preserve"> </w:t>
            </w:r>
            <w:r w:rsidRPr="009A455B">
              <w:rPr>
                <w:rFonts w:ascii="宋体" w:hAnsi="宋体"/>
                <w:sz w:val="21"/>
              </w:rPr>
              <w:t>硝酸银容量法</w:t>
            </w:r>
          </w:p>
        </w:tc>
        <w:tc>
          <w:tcPr>
            <w:tcW w:w="1308"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滴定管</w:t>
            </w:r>
          </w:p>
        </w:tc>
        <w:tc>
          <w:tcPr>
            <w:tcW w:w="1062"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1.0mg/L</w:t>
            </w:r>
          </w:p>
        </w:tc>
      </w:tr>
      <w:tr w:rsidR="009A455B" w:rsidRPr="009A455B" w:rsidTr="009A455B">
        <w:trPr>
          <w:trHeight w:val="340"/>
          <w:jc w:val="center"/>
        </w:trPr>
        <w:tc>
          <w:tcPr>
            <w:tcW w:w="786" w:type="pct"/>
            <w:vAlign w:val="center"/>
            <w:hideMark/>
          </w:tcPr>
          <w:p w:rsidR="009A455B" w:rsidRPr="009A455B" w:rsidRDefault="009A455B" w:rsidP="009A455B">
            <w:pPr>
              <w:spacing w:line="240" w:lineRule="auto"/>
              <w:ind w:firstLineChars="0" w:firstLine="0"/>
              <w:jc w:val="center"/>
              <w:rPr>
                <w:sz w:val="21"/>
              </w:rPr>
            </w:pPr>
            <w:r w:rsidRPr="009A455B">
              <w:rPr>
                <w:sz w:val="21"/>
              </w:rPr>
              <w:lastRenderedPageBreak/>
              <w:t>溶解性总固体</w:t>
            </w:r>
          </w:p>
        </w:tc>
        <w:tc>
          <w:tcPr>
            <w:tcW w:w="1844" w:type="pct"/>
            <w:gridSpan w:val="2"/>
            <w:vAlign w:val="center"/>
            <w:hideMark/>
          </w:tcPr>
          <w:p w:rsidR="009A455B" w:rsidRPr="009A455B" w:rsidRDefault="009A455B" w:rsidP="009A455B">
            <w:pPr>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感官性状和物理指标</w:t>
            </w:r>
            <w:r w:rsidRPr="009A455B">
              <w:rPr>
                <w:sz w:val="21"/>
              </w:rPr>
              <w:t xml:space="preserve"> </w:t>
            </w:r>
          </w:p>
          <w:p w:rsidR="009A455B" w:rsidRPr="009A455B" w:rsidRDefault="009A455B" w:rsidP="009A455B">
            <w:pPr>
              <w:spacing w:line="240" w:lineRule="auto"/>
              <w:ind w:firstLineChars="0" w:firstLine="0"/>
              <w:jc w:val="center"/>
              <w:textAlignment w:val="center"/>
              <w:rPr>
                <w:sz w:val="21"/>
              </w:rPr>
            </w:pPr>
            <w:r w:rsidRPr="009A455B">
              <w:rPr>
                <w:sz w:val="21"/>
              </w:rPr>
              <w:t>GB/T 5750.4-2006</w:t>
            </w:r>
            <w:r w:rsidR="00E97427">
              <w:rPr>
                <w:sz w:val="21"/>
              </w:rPr>
              <w:t>（</w:t>
            </w:r>
            <w:r w:rsidRPr="009A455B">
              <w:rPr>
                <w:sz w:val="21"/>
              </w:rPr>
              <w:t xml:space="preserve"> 8.1</w:t>
            </w:r>
            <w:r w:rsidR="00E97427">
              <w:rPr>
                <w:sz w:val="21"/>
              </w:rPr>
              <w:t>）</w:t>
            </w:r>
            <w:r w:rsidRPr="009A455B">
              <w:rPr>
                <w:sz w:val="21"/>
              </w:rPr>
              <w:t xml:space="preserve"> </w:t>
            </w:r>
            <w:r w:rsidRPr="009A455B">
              <w:rPr>
                <w:rFonts w:ascii="宋体" w:hAnsi="宋体"/>
                <w:sz w:val="21"/>
              </w:rPr>
              <w:t>称量法</w:t>
            </w:r>
          </w:p>
        </w:tc>
        <w:tc>
          <w:tcPr>
            <w:tcW w:w="1308" w:type="pct"/>
            <w:vAlign w:val="center"/>
            <w:hideMark/>
          </w:tcPr>
          <w:p w:rsidR="009A455B" w:rsidRPr="009A455B" w:rsidRDefault="009A455B" w:rsidP="009A455B">
            <w:pPr>
              <w:spacing w:line="240" w:lineRule="auto"/>
              <w:ind w:firstLineChars="0" w:firstLine="0"/>
              <w:jc w:val="center"/>
              <w:rPr>
                <w:sz w:val="21"/>
              </w:rPr>
            </w:pPr>
            <w:r w:rsidRPr="009A455B">
              <w:rPr>
                <w:sz w:val="21"/>
              </w:rPr>
              <w:t>JF1004</w:t>
            </w:r>
          </w:p>
          <w:p w:rsidR="009A455B" w:rsidRPr="009A455B" w:rsidRDefault="009A455B" w:rsidP="009A455B">
            <w:pPr>
              <w:spacing w:line="240" w:lineRule="auto"/>
              <w:ind w:firstLineChars="0" w:firstLine="0"/>
              <w:jc w:val="center"/>
              <w:rPr>
                <w:sz w:val="21"/>
              </w:rPr>
            </w:pPr>
            <w:r w:rsidRPr="009A455B">
              <w:rPr>
                <w:sz w:val="21"/>
              </w:rPr>
              <w:t>电子天平</w:t>
            </w:r>
          </w:p>
          <w:p w:rsidR="009A455B" w:rsidRPr="009A455B" w:rsidRDefault="00E97427" w:rsidP="009A455B">
            <w:pPr>
              <w:spacing w:line="240" w:lineRule="auto"/>
              <w:ind w:firstLineChars="0" w:firstLine="0"/>
              <w:jc w:val="center"/>
              <w:rPr>
                <w:sz w:val="21"/>
              </w:rPr>
            </w:pPr>
            <w:r>
              <w:rPr>
                <w:sz w:val="21"/>
              </w:rPr>
              <w:t>（</w:t>
            </w:r>
            <w:r w:rsidR="009A455B" w:rsidRPr="009A455B">
              <w:rPr>
                <w:sz w:val="21"/>
              </w:rPr>
              <w:t>QS-FX021</w:t>
            </w:r>
            <w:r>
              <w:rPr>
                <w:sz w:val="21"/>
              </w:rPr>
              <w:t>）</w:t>
            </w:r>
          </w:p>
        </w:tc>
        <w:tc>
          <w:tcPr>
            <w:tcW w:w="1062" w:type="pct"/>
            <w:vAlign w:val="center"/>
            <w:hideMark/>
          </w:tcPr>
          <w:p w:rsidR="009A455B" w:rsidRPr="009A455B" w:rsidRDefault="009A455B" w:rsidP="009A455B">
            <w:pPr>
              <w:spacing w:line="240" w:lineRule="auto"/>
              <w:ind w:firstLineChars="0" w:firstLine="0"/>
              <w:jc w:val="center"/>
              <w:rPr>
                <w:sz w:val="21"/>
              </w:rPr>
            </w:pPr>
            <w:r w:rsidRPr="009A455B">
              <w:rPr>
                <w:sz w:val="21"/>
              </w:rPr>
              <w:t>--</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耗氧量</w:t>
            </w:r>
          </w:p>
        </w:tc>
        <w:tc>
          <w:tcPr>
            <w:tcW w:w="1844" w:type="pct"/>
            <w:gridSpan w:val="2"/>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有机物综合指标</w:t>
            </w:r>
            <w:r w:rsidRPr="009A455B">
              <w:rPr>
                <w:sz w:val="21"/>
              </w:rPr>
              <w:t xml:space="preserve"> GB/T 5750.7-2006 </w:t>
            </w:r>
            <w:r w:rsidR="00E97427">
              <w:rPr>
                <w:sz w:val="21"/>
              </w:rPr>
              <w:t>（</w:t>
            </w:r>
            <w:r w:rsidRPr="009A455B">
              <w:rPr>
                <w:sz w:val="21"/>
              </w:rPr>
              <w:t>1.1</w:t>
            </w:r>
            <w:r w:rsidR="00E97427">
              <w:rPr>
                <w:sz w:val="21"/>
              </w:rPr>
              <w:t>）</w:t>
            </w:r>
            <w:r w:rsidRPr="009A455B">
              <w:rPr>
                <w:sz w:val="21"/>
              </w:rPr>
              <w:t>酸性高锰酸钾滴定法</w:t>
            </w:r>
          </w:p>
        </w:tc>
        <w:tc>
          <w:tcPr>
            <w:tcW w:w="1308"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滴定管</w:t>
            </w:r>
          </w:p>
        </w:tc>
        <w:tc>
          <w:tcPr>
            <w:tcW w:w="1062"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0.05mg/L</w:t>
            </w:r>
          </w:p>
        </w:tc>
      </w:tr>
      <w:tr w:rsidR="009A455B" w:rsidRPr="009A455B" w:rsidTr="009A455B">
        <w:trPr>
          <w:trHeight w:val="340"/>
          <w:jc w:val="center"/>
        </w:trPr>
        <w:tc>
          <w:tcPr>
            <w:tcW w:w="786"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氨氮</w:t>
            </w:r>
          </w:p>
        </w:tc>
        <w:tc>
          <w:tcPr>
            <w:tcW w:w="1844" w:type="pct"/>
            <w:gridSpan w:val="2"/>
            <w:vAlign w:val="center"/>
            <w:hideMark/>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无机非金属指标</w:t>
            </w:r>
            <w:r w:rsidRPr="009A455B">
              <w:rPr>
                <w:sz w:val="21"/>
              </w:rPr>
              <w:t xml:space="preserve"> GB/T 5750.5-2006 </w:t>
            </w:r>
            <w:r w:rsidR="00E97427">
              <w:rPr>
                <w:sz w:val="21"/>
              </w:rPr>
              <w:t>（</w:t>
            </w:r>
            <w:r w:rsidRPr="009A455B">
              <w:rPr>
                <w:sz w:val="21"/>
              </w:rPr>
              <w:t>9.1</w:t>
            </w:r>
            <w:r w:rsidR="00E97427">
              <w:rPr>
                <w:sz w:val="21"/>
              </w:rPr>
              <w:t>）</w:t>
            </w:r>
            <w:r w:rsidRPr="009A455B">
              <w:rPr>
                <w:sz w:val="21"/>
              </w:rPr>
              <w:t>纳氏试剂分光光度法</w:t>
            </w:r>
          </w:p>
        </w:tc>
        <w:tc>
          <w:tcPr>
            <w:tcW w:w="1308" w:type="pct"/>
            <w:vAlign w:val="center"/>
            <w:hideMark/>
          </w:tcPr>
          <w:p w:rsidR="009A455B" w:rsidRPr="009A455B" w:rsidRDefault="009A455B" w:rsidP="009A455B">
            <w:pPr>
              <w:autoSpaceDE w:val="0"/>
              <w:spacing w:line="240" w:lineRule="auto"/>
              <w:ind w:firstLineChars="0" w:firstLine="0"/>
              <w:jc w:val="center"/>
              <w:rPr>
                <w:sz w:val="21"/>
              </w:rPr>
            </w:pPr>
            <w:r w:rsidRPr="009A455B">
              <w:rPr>
                <w:rFonts w:hint="eastAsia"/>
                <w:sz w:val="21"/>
              </w:rPr>
              <w:t>T6</w:t>
            </w:r>
            <w:r w:rsidRPr="009A455B">
              <w:rPr>
                <w:rFonts w:ascii="宋体" w:hAnsi="宋体" w:hint="eastAsia"/>
                <w:sz w:val="21"/>
              </w:rPr>
              <w:t>新世纪</w:t>
            </w:r>
          </w:p>
          <w:p w:rsidR="009A455B" w:rsidRPr="009A455B" w:rsidRDefault="009A455B" w:rsidP="009A455B">
            <w:pPr>
              <w:autoSpaceDE w:val="0"/>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w:t>
            </w:r>
            <w:r w:rsidRPr="009A455B">
              <w:rPr>
                <w:rFonts w:hint="eastAsia"/>
                <w:sz w:val="21"/>
              </w:rPr>
              <w:t>059</w:t>
            </w:r>
            <w:r w:rsidR="00E97427">
              <w:rPr>
                <w:sz w:val="21"/>
              </w:rPr>
              <w:t>）</w:t>
            </w:r>
          </w:p>
        </w:tc>
        <w:tc>
          <w:tcPr>
            <w:tcW w:w="1062" w:type="pct"/>
            <w:vAlign w:val="center"/>
            <w:hideMark/>
          </w:tcPr>
          <w:p w:rsidR="009A455B" w:rsidRPr="009A455B" w:rsidRDefault="009A455B" w:rsidP="009A455B">
            <w:pPr>
              <w:autoSpaceDE w:val="0"/>
              <w:spacing w:line="240" w:lineRule="auto"/>
              <w:ind w:firstLineChars="0" w:firstLine="0"/>
              <w:jc w:val="center"/>
              <w:rPr>
                <w:sz w:val="21"/>
              </w:rPr>
            </w:pPr>
            <w:r w:rsidRPr="009A455B">
              <w:rPr>
                <w:sz w:val="21"/>
              </w:rPr>
              <w:t>0.02mg/L</w:t>
            </w:r>
          </w:p>
        </w:tc>
      </w:tr>
      <w:tr w:rsidR="009A455B" w:rsidRPr="009A455B" w:rsidTr="009A455B">
        <w:trPr>
          <w:trHeight w:val="340"/>
          <w:jc w:val="center"/>
        </w:trPr>
        <w:tc>
          <w:tcPr>
            <w:tcW w:w="786" w:type="pct"/>
            <w:vAlign w:val="center"/>
          </w:tcPr>
          <w:p w:rsidR="009A455B" w:rsidRPr="009A455B" w:rsidRDefault="009A455B" w:rsidP="009A455B">
            <w:pPr>
              <w:spacing w:line="240" w:lineRule="auto"/>
              <w:ind w:firstLineChars="0" w:firstLine="0"/>
              <w:jc w:val="center"/>
              <w:textAlignment w:val="center"/>
              <w:rPr>
                <w:sz w:val="21"/>
              </w:rPr>
            </w:pPr>
            <w:r w:rsidRPr="009A455B">
              <w:rPr>
                <w:rFonts w:hint="eastAsia"/>
                <w:sz w:val="21"/>
              </w:rPr>
              <w:t>硝酸盐氮</w:t>
            </w:r>
          </w:p>
        </w:tc>
        <w:tc>
          <w:tcPr>
            <w:tcW w:w="1844" w:type="pct"/>
            <w:gridSpan w:val="2"/>
            <w:vAlign w:val="center"/>
          </w:tcPr>
          <w:p w:rsidR="009A455B" w:rsidRPr="009A455B" w:rsidRDefault="009A455B" w:rsidP="009A455B">
            <w:pPr>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无机非金属指标</w:t>
            </w:r>
            <w:r w:rsidRPr="009A455B">
              <w:rPr>
                <w:sz w:val="21"/>
              </w:rPr>
              <w:t xml:space="preserve"> GB/T 5750.5-2006 </w:t>
            </w:r>
            <w:r w:rsidR="00E97427">
              <w:rPr>
                <w:sz w:val="21"/>
              </w:rPr>
              <w:t>（</w:t>
            </w:r>
            <w:r w:rsidRPr="009A455B">
              <w:rPr>
                <w:sz w:val="21"/>
              </w:rPr>
              <w:t>5.2</w:t>
            </w:r>
            <w:r w:rsidR="00E97427">
              <w:rPr>
                <w:sz w:val="21"/>
              </w:rPr>
              <w:t>）</w:t>
            </w:r>
            <w:r w:rsidRPr="009A455B">
              <w:rPr>
                <w:sz w:val="21"/>
              </w:rPr>
              <w:t xml:space="preserve"> </w:t>
            </w:r>
            <w:r w:rsidRPr="009A455B">
              <w:rPr>
                <w:rFonts w:ascii="宋体" w:hAnsi="宋体"/>
                <w:sz w:val="21"/>
              </w:rPr>
              <w:t>紫外分光光度法</w:t>
            </w:r>
          </w:p>
        </w:tc>
        <w:tc>
          <w:tcPr>
            <w:tcW w:w="1308" w:type="pct"/>
            <w:vAlign w:val="center"/>
          </w:tcPr>
          <w:p w:rsidR="009A455B" w:rsidRPr="009A455B" w:rsidRDefault="009A455B" w:rsidP="009A455B">
            <w:pPr>
              <w:autoSpaceDE w:val="0"/>
              <w:spacing w:line="240" w:lineRule="auto"/>
              <w:ind w:firstLineChars="0" w:firstLine="0"/>
              <w:jc w:val="center"/>
              <w:rPr>
                <w:sz w:val="21"/>
              </w:rPr>
            </w:pPr>
            <w:r w:rsidRPr="009A455B">
              <w:rPr>
                <w:rFonts w:hint="eastAsia"/>
                <w:sz w:val="21"/>
              </w:rPr>
              <w:t>T6</w:t>
            </w:r>
            <w:r w:rsidRPr="009A455B">
              <w:rPr>
                <w:rFonts w:ascii="宋体" w:hAnsi="宋体" w:hint="eastAsia"/>
                <w:sz w:val="21"/>
              </w:rPr>
              <w:t>新世纪</w:t>
            </w:r>
          </w:p>
          <w:p w:rsidR="009A455B" w:rsidRPr="009A455B" w:rsidRDefault="009A455B" w:rsidP="009A455B">
            <w:pPr>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w:t>
            </w:r>
            <w:r w:rsidRPr="009A455B">
              <w:rPr>
                <w:rFonts w:hint="eastAsia"/>
                <w:sz w:val="21"/>
              </w:rPr>
              <w:t>059</w:t>
            </w:r>
            <w:r w:rsidR="00E97427">
              <w:rPr>
                <w:sz w:val="21"/>
              </w:rPr>
              <w:t>）</w:t>
            </w:r>
          </w:p>
        </w:tc>
        <w:tc>
          <w:tcPr>
            <w:tcW w:w="1062" w:type="pct"/>
            <w:vAlign w:val="center"/>
          </w:tcPr>
          <w:p w:rsidR="009A455B" w:rsidRPr="009A455B" w:rsidRDefault="009A455B" w:rsidP="009A455B">
            <w:pPr>
              <w:spacing w:line="240" w:lineRule="auto"/>
              <w:ind w:firstLineChars="0" w:firstLine="0"/>
              <w:jc w:val="center"/>
              <w:rPr>
                <w:sz w:val="21"/>
              </w:rPr>
            </w:pPr>
            <w:r w:rsidRPr="009A455B">
              <w:rPr>
                <w:sz w:val="21"/>
              </w:rPr>
              <w:t>0.2mg/L</w:t>
            </w:r>
          </w:p>
        </w:tc>
      </w:tr>
      <w:tr w:rsidR="009A455B" w:rsidRPr="009A455B" w:rsidTr="009A455B">
        <w:trPr>
          <w:trHeight w:val="340"/>
          <w:jc w:val="center"/>
        </w:trPr>
        <w:tc>
          <w:tcPr>
            <w:tcW w:w="786" w:type="pct"/>
            <w:vAlign w:val="center"/>
          </w:tcPr>
          <w:p w:rsidR="009A455B" w:rsidRPr="009A455B" w:rsidRDefault="009A455B" w:rsidP="009A455B">
            <w:pPr>
              <w:spacing w:line="240" w:lineRule="auto"/>
              <w:ind w:firstLineChars="0" w:firstLine="0"/>
              <w:jc w:val="center"/>
              <w:textAlignment w:val="center"/>
              <w:rPr>
                <w:sz w:val="21"/>
              </w:rPr>
            </w:pPr>
            <w:r w:rsidRPr="009A455B">
              <w:rPr>
                <w:rFonts w:hint="eastAsia"/>
                <w:sz w:val="21"/>
              </w:rPr>
              <w:t>亚硝酸盐氮</w:t>
            </w:r>
          </w:p>
        </w:tc>
        <w:tc>
          <w:tcPr>
            <w:tcW w:w="1844" w:type="pct"/>
            <w:gridSpan w:val="2"/>
            <w:vAlign w:val="center"/>
          </w:tcPr>
          <w:p w:rsidR="009A455B" w:rsidRPr="009A455B" w:rsidRDefault="009A455B" w:rsidP="009A455B">
            <w:pPr>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无机非金属指标</w:t>
            </w:r>
            <w:r w:rsidRPr="009A455B">
              <w:rPr>
                <w:sz w:val="21"/>
              </w:rPr>
              <w:t xml:space="preserve"> GB/T5750.5-2006 </w:t>
            </w:r>
            <w:r w:rsidR="00E97427">
              <w:rPr>
                <w:sz w:val="21"/>
              </w:rPr>
              <w:t>（</w:t>
            </w:r>
            <w:r w:rsidRPr="009A455B">
              <w:rPr>
                <w:sz w:val="21"/>
              </w:rPr>
              <w:t>10.1</w:t>
            </w:r>
            <w:r w:rsidR="00E97427">
              <w:rPr>
                <w:sz w:val="21"/>
              </w:rPr>
              <w:t>）</w:t>
            </w:r>
            <w:r w:rsidRPr="009A455B">
              <w:rPr>
                <w:sz w:val="21"/>
              </w:rPr>
              <w:t xml:space="preserve"> </w:t>
            </w:r>
            <w:r w:rsidRPr="009A455B">
              <w:rPr>
                <w:rFonts w:ascii="宋体" w:hAnsi="宋体"/>
                <w:sz w:val="21"/>
              </w:rPr>
              <w:t>重氮偶合分光光度法</w:t>
            </w:r>
          </w:p>
        </w:tc>
        <w:tc>
          <w:tcPr>
            <w:tcW w:w="1308" w:type="pct"/>
            <w:vAlign w:val="center"/>
          </w:tcPr>
          <w:p w:rsidR="009A455B" w:rsidRPr="009A455B" w:rsidRDefault="009A455B" w:rsidP="009A455B">
            <w:pPr>
              <w:spacing w:line="240" w:lineRule="auto"/>
              <w:ind w:firstLineChars="0" w:firstLine="0"/>
              <w:jc w:val="center"/>
              <w:rPr>
                <w:sz w:val="21"/>
              </w:rPr>
            </w:pPr>
            <w:r w:rsidRPr="009A455B">
              <w:rPr>
                <w:sz w:val="21"/>
              </w:rPr>
              <w:t>SP-752</w:t>
            </w:r>
          </w:p>
          <w:p w:rsidR="009A455B" w:rsidRPr="009A455B" w:rsidRDefault="009A455B" w:rsidP="009A455B">
            <w:pPr>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QS-FX110</w:t>
            </w:r>
            <w:r w:rsidR="00E97427">
              <w:rPr>
                <w:sz w:val="21"/>
              </w:rPr>
              <w:t>）</w:t>
            </w:r>
          </w:p>
        </w:tc>
        <w:tc>
          <w:tcPr>
            <w:tcW w:w="1062" w:type="pct"/>
            <w:vAlign w:val="center"/>
          </w:tcPr>
          <w:p w:rsidR="009A455B" w:rsidRPr="009A455B" w:rsidRDefault="009A455B" w:rsidP="009A455B">
            <w:pPr>
              <w:spacing w:line="240" w:lineRule="auto"/>
              <w:ind w:firstLineChars="0" w:firstLine="0"/>
              <w:jc w:val="center"/>
              <w:rPr>
                <w:sz w:val="21"/>
              </w:rPr>
            </w:pPr>
            <w:r w:rsidRPr="009A455B">
              <w:rPr>
                <w:sz w:val="21"/>
              </w:rPr>
              <w:t>1×10</w:t>
            </w:r>
            <w:r w:rsidRPr="009A455B">
              <w:rPr>
                <w:sz w:val="21"/>
                <w:vertAlign w:val="superscript"/>
              </w:rPr>
              <w:t>-3</w:t>
            </w:r>
            <w:r w:rsidRPr="009A455B">
              <w:rPr>
                <w:sz w:val="21"/>
              </w:rPr>
              <w:t>mg/L</w:t>
            </w:r>
          </w:p>
        </w:tc>
      </w:tr>
      <w:tr w:rsidR="009A455B" w:rsidRPr="009A455B" w:rsidTr="009A455B">
        <w:trPr>
          <w:trHeight w:val="340"/>
          <w:jc w:val="center"/>
        </w:trPr>
        <w:tc>
          <w:tcPr>
            <w:tcW w:w="786" w:type="pct"/>
            <w:vAlign w:val="center"/>
          </w:tcPr>
          <w:p w:rsidR="009A455B" w:rsidRPr="009A455B" w:rsidRDefault="009A455B" w:rsidP="009A455B">
            <w:pPr>
              <w:spacing w:line="240" w:lineRule="auto"/>
              <w:ind w:firstLineChars="0" w:firstLine="0"/>
              <w:jc w:val="center"/>
              <w:rPr>
                <w:sz w:val="21"/>
              </w:rPr>
            </w:pPr>
            <w:r w:rsidRPr="009A455B">
              <w:rPr>
                <w:sz w:val="21"/>
              </w:rPr>
              <w:t>氟化物</w:t>
            </w:r>
          </w:p>
        </w:tc>
        <w:tc>
          <w:tcPr>
            <w:tcW w:w="1844" w:type="pct"/>
            <w:gridSpan w:val="2"/>
            <w:vAlign w:val="center"/>
          </w:tcPr>
          <w:p w:rsidR="009A455B" w:rsidRPr="009A455B" w:rsidRDefault="009A455B" w:rsidP="009A455B">
            <w:pPr>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氟化物的测定</w:t>
            </w:r>
            <w:r w:rsidRPr="009A455B">
              <w:rPr>
                <w:sz w:val="21"/>
              </w:rPr>
              <w:t xml:space="preserve"> </w:t>
            </w:r>
            <w:r w:rsidRPr="009A455B">
              <w:rPr>
                <w:sz w:val="21"/>
              </w:rPr>
              <w:t>离子选择电极法</w:t>
            </w:r>
            <w:r w:rsidRPr="009A455B">
              <w:rPr>
                <w:sz w:val="21"/>
              </w:rPr>
              <w:t xml:space="preserve"> GB 7484-1987</w:t>
            </w:r>
          </w:p>
        </w:tc>
        <w:tc>
          <w:tcPr>
            <w:tcW w:w="1308" w:type="pct"/>
            <w:vAlign w:val="center"/>
          </w:tcPr>
          <w:p w:rsidR="009A455B" w:rsidRPr="009A455B" w:rsidRDefault="009A455B" w:rsidP="009A455B">
            <w:pPr>
              <w:spacing w:line="240" w:lineRule="auto"/>
              <w:ind w:firstLineChars="0" w:firstLine="0"/>
              <w:jc w:val="center"/>
              <w:textAlignment w:val="center"/>
              <w:rPr>
                <w:sz w:val="21"/>
              </w:rPr>
            </w:pPr>
            <w:r w:rsidRPr="009A455B">
              <w:rPr>
                <w:sz w:val="21"/>
              </w:rPr>
              <w:t>PXS-270</w:t>
            </w:r>
            <w:r w:rsidRPr="009A455B">
              <w:rPr>
                <w:rFonts w:ascii="宋体" w:hAnsi="宋体"/>
                <w:sz w:val="21"/>
              </w:rPr>
              <w:t>离子计</w:t>
            </w:r>
          </w:p>
          <w:p w:rsidR="009A455B" w:rsidRPr="009A455B" w:rsidRDefault="009A455B" w:rsidP="009A455B">
            <w:pPr>
              <w:spacing w:line="240" w:lineRule="auto"/>
              <w:ind w:firstLineChars="0" w:firstLine="0"/>
              <w:jc w:val="center"/>
              <w:rPr>
                <w:sz w:val="21"/>
              </w:rPr>
            </w:pPr>
            <w:r w:rsidRPr="009A455B">
              <w:rPr>
                <w:sz w:val="21"/>
              </w:rPr>
              <w:t xml:space="preserve"> </w:t>
            </w:r>
            <w:r w:rsidR="00E97427">
              <w:rPr>
                <w:sz w:val="21"/>
              </w:rPr>
              <w:t>（</w:t>
            </w:r>
            <w:r w:rsidRPr="009A455B">
              <w:rPr>
                <w:sz w:val="21"/>
              </w:rPr>
              <w:t>QS-FX063</w:t>
            </w:r>
            <w:r w:rsidR="00E97427">
              <w:rPr>
                <w:sz w:val="21"/>
              </w:rPr>
              <w:t>）</w:t>
            </w:r>
          </w:p>
        </w:tc>
        <w:tc>
          <w:tcPr>
            <w:tcW w:w="1062" w:type="pct"/>
            <w:vAlign w:val="center"/>
          </w:tcPr>
          <w:p w:rsidR="009A455B" w:rsidRPr="009A455B" w:rsidRDefault="009A455B" w:rsidP="009A455B">
            <w:pPr>
              <w:spacing w:line="240" w:lineRule="auto"/>
              <w:ind w:firstLineChars="0" w:firstLine="0"/>
              <w:jc w:val="center"/>
              <w:rPr>
                <w:sz w:val="21"/>
              </w:rPr>
            </w:pPr>
            <w:r w:rsidRPr="009A455B">
              <w:rPr>
                <w:sz w:val="21"/>
              </w:rPr>
              <w:t>0.05mg/L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挥发性酚类</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挥发酚的测定</w:t>
            </w:r>
            <w:r w:rsidRPr="009A455B">
              <w:rPr>
                <w:sz w:val="21"/>
              </w:rPr>
              <w:t xml:space="preserve"> 4-</w:t>
            </w:r>
            <w:r w:rsidRPr="009A455B">
              <w:rPr>
                <w:rFonts w:ascii="宋体" w:hAnsi="宋体"/>
                <w:sz w:val="21"/>
              </w:rPr>
              <w:t xml:space="preserve">氨基安替比林分光光度法 </w:t>
            </w:r>
            <w:r w:rsidRPr="009A455B">
              <w:rPr>
                <w:sz w:val="21"/>
              </w:rPr>
              <w:t>HJ 503-2009</w:t>
            </w:r>
          </w:p>
        </w:tc>
        <w:tc>
          <w:tcPr>
            <w:tcW w:w="1308" w:type="pct"/>
            <w:vMerge w:val="restart"/>
            <w:vAlign w:val="center"/>
          </w:tcPr>
          <w:p w:rsidR="002E7213" w:rsidRPr="009A455B" w:rsidRDefault="002E7213" w:rsidP="009A455B">
            <w:pPr>
              <w:autoSpaceDE w:val="0"/>
              <w:spacing w:line="240" w:lineRule="auto"/>
              <w:ind w:firstLineChars="0" w:firstLine="0"/>
              <w:jc w:val="center"/>
              <w:rPr>
                <w:sz w:val="21"/>
              </w:rPr>
            </w:pPr>
            <w:r w:rsidRPr="009A455B">
              <w:rPr>
                <w:rFonts w:hint="eastAsia"/>
                <w:sz w:val="21"/>
              </w:rPr>
              <w:t>T6</w:t>
            </w:r>
            <w:r w:rsidRPr="009A455B">
              <w:rPr>
                <w:rFonts w:ascii="宋体" w:hAnsi="宋体" w:hint="eastAsia"/>
                <w:sz w:val="21"/>
              </w:rPr>
              <w:t>新世纪</w:t>
            </w:r>
          </w:p>
          <w:p w:rsidR="002E7213" w:rsidRPr="009A455B" w:rsidRDefault="002E7213" w:rsidP="009A455B">
            <w:pPr>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w:t>
            </w:r>
            <w:r w:rsidRPr="009A455B">
              <w:rPr>
                <w:rFonts w:hint="eastAsia"/>
                <w:sz w:val="21"/>
              </w:rPr>
              <w:t>059</w:t>
            </w:r>
            <w:r w:rsidR="00E97427">
              <w:rPr>
                <w:sz w:val="21"/>
              </w:rPr>
              <w:t>）</w:t>
            </w:r>
          </w:p>
        </w:tc>
        <w:tc>
          <w:tcPr>
            <w:tcW w:w="1062" w:type="pct"/>
            <w:vAlign w:val="center"/>
          </w:tcPr>
          <w:p w:rsidR="002E7213" w:rsidRPr="009A455B" w:rsidRDefault="002E7213" w:rsidP="009A455B">
            <w:pPr>
              <w:spacing w:line="240" w:lineRule="auto"/>
              <w:ind w:firstLineChars="0" w:firstLine="0"/>
              <w:jc w:val="center"/>
              <w:rPr>
                <w:sz w:val="21"/>
              </w:rPr>
            </w:pPr>
            <w:r w:rsidRPr="009A455B">
              <w:rPr>
                <w:sz w:val="21"/>
              </w:rPr>
              <w:t>3×10</w:t>
            </w:r>
            <w:r w:rsidRPr="009A455B">
              <w:rPr>
                <w:sz w:val="21"/>
                <w:vertAlign w:val="superscript"/>
              </w:rPr>
              <w:t>-4</w:t>
            </w: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氰化物</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氰化物的测定</w:t>
            </w:r>
            <w:r w:rsidRPr="009A455B">
              <w:rPr>
                <w:sz w:val="21"/>
              </w:rPr>
              <w:t xml:space="preserve"> </w:t>
            </w:r>
            <w:r w:rsidRPr="009A455B">
              <w:rPr>
                <w:sz w:val="21"/>
              </w:rPr>
              <w:t>容量法和分光光度法</w:t>
            </w:r>
            <w:r w:rsidRPr="009A455B">
              <w:rPr>
                <w:sz w:val="21"/>
              </w:rPr>
              <w:t xml:space="preserve"> HJ 484-2009</w:t>
            </w:r>
          </w:p>
        </w:tc>
        <w:tc>
          <w:tcPr>
            <w:tcW w:w="1308" w:type="pct"/>
            <w:vMerge/>
            <w:vAlign w:val="center"/>
          </w:tcPr>
          <w:p w:rsidR="002E7213" w:rsidRPr="009A455B" w:rsidRDefault="002E7213" w:rsidP="009A455B">
            <w:pPr>
              <w:spacing w:line="240" w:lineRule="auto"/>
              <w:ind w:firstLineChars="0" w:firstLine="0"/>
              <w:jc w:val="center"/>
              <w:rPr>
                <w:sz w:val="21"/>
              </w:rPr>
            </w:pPr>
          </w:p>
        </w:tc>
        <w:tc>
          <w:tcPr>
            <w:tcW w:w="1062" w:type="pct"/>
            <w:vAlign w:val="center"/>
          </w:tcPr>
          <w:p w:rsidR="002E7213" w:rsidRPr="009A455B" w:rsidRDefault="002E7213" w:rsidP="009A455B">
            <w:pPr>
              <w:spacing w:line="240" w:lineRule="auto"/>
              <w:ind w:firstLineChars="0" w:firstLine="0"/>
              <w:jc w:val="center"/>
              <w:rPr>
                <w:sz w:val="21"/>
              </w:rPr>
            </w:pPr>
            <w:r w:rsidRPr="009A455B">
              <w:rPr>
                <w:sz w:val="21"/>
              </w:rPr>
              <w:t>4×10</w:t>
            </w:r>
            <w:r w:rsidRPr="009A455B">
              <w:rPr>
                <w:sz w:val="21"/>
                <w:vertAlign w:val="superscript"/>
              </w:rPr>
              <w:t>-3</w:t>
            </w: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autoSpaceDE w:val="0"/>
              <w:spacing w:line="240" w:lineRule="auto"/>
              <w:ind w:firstLineChars="0" w:firstLine="0"/>
              <w:jc w:val="center"/>
              <w:rPr>
                <w:sz w:val="21"/>
              </w:rPr>
            </w:pPr>
            <w:r w:rsidRPr="009A455B">
              <w:rPr>
                <w:sz w:val="21"/>
              </w:rPr>
              <w:t>汞</w:t>
            </w:r>
          </w:p>
        </w:tc>
        <w:tc>
          <w:tcPr>
            <w:tcW w:w="1844" w:type="pct"/>
            <w:gridSpan w:val="2"/>
            <w:vMerge w:val="restart"/>
            <w:vAlign w:val="center"/>
          </w:tcPr>
          <w:p w:rsidR="002E7213" w:rsidRPr="009A455B" w:rsidRDefault="002E7213" w:rsidP="009A455B">
            <w:pPr>
              <w:autoSpaceDE w:val="0"/>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汞、砷、硒、铋和锑的测定</w:t>
            </w:r>
            <w:r w:rsidRPr="009A455B">
              <w:rPr>
                <w:sz w:val="21"/>
              </w:rPr>
              <w:t xml:space="preserve"> </w:t>
            </w:r>
            <w:r w:rsidRPr="009A455B">
              <w:rPr>
                <w:sz w:val="21"/>
              </w:rPr>
              <w:t>原子荧光法</w:t>
            </w:r>
          </w:p>
          <w:p w:rsidR="002E7213" w:rsidRPr="009A455B" w:rsidRDefault="002E7213" w:rsidP="009A455B">
            <w:pPr>
              <w:autoSpaceDE w:val="0"/>
              <w:spacing w:line="240" w:lineRule="auto"/>
              <w:ind w:firstLineChars="0" w:firstLine="0"/>
              <w:jc w:val="center"/>
              <w:textAlignment w:val="center"/>
              <w:rPr>
                <w:sz w:val="21"/>
              </w:rPr>
            </w:pPr>
            <w:r w:rsidRPr="009A455B">
              <w:rPr>
                <w:sz w:val="21"/>
              </w:rPr>
              <w:t>HJ 694-2014</w:t>
            </w:r>
          </w:p>
        </w:tc>
        <w:tc>
          <w:tcPr>
            <w:tcW w:w="1308" w:type="pct"/>
            <w:vMerge w:val="restart"/>
            <w:vAlign w:val="center"/>
          </w:tcPr>
          <w:p w:rsidR="002E7213" w:rsidRPr="009A455B" w:rsidRDefault="002E7213" w:rsidP="009A455B">
            <w:pPr>
              <w:autoSpaceDE w:val="0"/>
              <w:spacing w:line="240" w:lineRule="auto"/>
              <w:ind w:firstLineChars="0" w:firstLine="0"/>
              <w:jc w:val="center"/>
              <w:textAlignment w:val="center"/>
              <w:rPr>
                <w:sz w:val="21"/>
              </w:rPr>
            </w:pPr>
            <w:r w:rsidRPr="009A455B">
              <w:rPr>
                <w:sz w:val="21"/>
              </w:rPr>
              <w:t>AFS-2202E</w:t>
            </w:r>
          </w:p>
          <w:p w:rsidR="002E7213" w:rsidRPr="009A455B" w:rsidRDefault="002E7213" w:rsidP="009A455B">
            <w:pPr>
              <w:autoSpaceDE w:val="0"/>
              <w:spacing w:line="240" w:lineRule="auto"/>
              <w:ind w:firstLineChars="0" w:firstLine="0"/>
              <w:jc w:val="center"/>
              <w:textAlignment w:val="center"/>
              <w:rPr>
                <w:sz w:val="21"/>
              </w:rPr>
            </w:pPr>
            <w:r w:rsidRPr="009A455B">
              <w:rPr>
                <w:sz w:val="21"/>
              </w:rPr>
              <w:t>双道原子荧光分光光度计</w:t>
            </w:r>
            <w:r w:rsidR="00E97427">
              <w:rPr>
                <w:sz w:val="21"/>
              </w:rPr>
              <w:t>（</w:t>
            </w:r>
            <w:r w:rsidRPr="009A455B">
              <w:rPr>
                <w:sz w:val="21"/>
              </w:rPr>
              <w:t>QS-FX080</w:t>
            </w:r>
            <w:r w:rsidR="00E97427">
              <w:rPr>
                <w:sz w:val="21"/>
              </w:rPr>
              <w:t>）</w:t>
            </w:r>
          </w:p>
        </w:tc>
        <w:tc>
          <w:tcPr>
            <w:tcW w:w="1062" w:type="pct"/>
            <w:vAlign w:val="center"/>
          </w:tcPr>
          <w:p w:rsidR="002E7213" w:rsidRPr="009A455B" w:rsidRDefault="002E7213" w:rsidP="009A455B">
            <w:pPr>
              <w:autoSpaceDE w:val="0"/>
              <w:spacing w:line="240" w:lineRule="auto"/>
              <w:ind w:firstLineChars="0" w:firstLine="0"/>
              <w:jc w:val="center"/>
              <w:rPr>
                <w:sz w:val="21"/>
              </w:rPr>
            </w:pPr>
            <w:r w:rsidRPr="009A455B">
              <w:rPr>
                <w:sz w:val="21"/>
              </w:rPr>
              <w:t>4×10</w:t>
            </w:r>
            <w:r w:rsidRPr="009A455B">
              <w:rPr>
                <w:sz w:val="21"/>
                <w:vertAlign w:val="superscript"/>
              </w:rPr>
              <w:t>-5</w:t>
            </w: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autoSpaceDE w:val="0"/>
              <w:spacing w:line="240" w:lineRule="auto"/>
              <w:ind w:firstLineChars="0" w:firstLine="0"/>
              <w:jc w:val="center"/>
              <w:rPr>
                <w:sz w:val="21"/>
              </w:rPr>
            </w:pPr>
            <w:r w:rsidRPr="009A455B">
              <w:rPr>
                <w:sz w:val="21"/>
              </w:rPr>
              <w:t>砷</w:t>
            </w:r>
          </w:p>
        </w:tc>
        <w:tc>
          <w:tcPr>
            <w:tcW w:w="1844" w:type="pct"/>
            <w:gridSpan w:val="2"/>
            <w:vMerge/>
            <w:vAlign w:val="center"/>
          </w:tcPr>
          <w:p w:rsidR="002E7213" w:rsidRPr="009A455B" w:rsidRDefault="002E7213" w:rsidP="009A455B">
            <w:pPr>
              <w:autoSpaceDE w:val="0"/>
              <w:spacing w:line="240" w:lineRule="auto"/>
              <w:ind w:firstLineChars="0" w:firstLine="0"/>
              <w:jc w:val="center"/>
              <w:textAlignment w:val="center"/>
              <w:rPr>
                <w:sz w:val="21"/>
              </w:rPr>
            </w:pPr>
          </w:p>
        </w:tc>
        <w:tc>
          <w:tcPr>
            <w:tcW w:w="1308" w:type="pct"/>
            <w:vMerge/>
            <w:vAlign w:val="center"/>
          </w:tcPr>
          <w:p w:rsidR="002E7213" w:rsidRPr="009A455B" w:rsidRDefault="002E7213" w:rsidP="009A455B">
            <w:pPr>
              <w:autoSpaceDE w:val="0"/>
              <w:spacing w:line="240" w:lineRule="auto"/>
              <w:ind w:firstLineChars="0" w:firstLine="0"/>
              <w:jc w:val="center"/>
              <w:textAlignment w:val="center"/>
              <w:rPr>
                <w:sz w:val="21"/>
              </w:rPr>
            </w:pPr>
          </w:p>
        </w:tc>
        <w:tc>
          <w:tcPr>
            <w:tcW w:w="1062" w:type="pct"/>
            <w:vAlign w:val="center"/>
          </w:tcPr>
          <w:p w:rsidR="002E7213" w:rsidRPr="009A455B" w:rsidRDefault="002E7213" w:rsidP="009A455B">
            <w:pPr>
              <w:autoSpaceDE w:val="0"/>
              <w:spacing w:line="240" w:lineRule="auto"/>
              <w:ind w:firstLineChars="0" w:firstLine="0"/>
              <w:jc w:val="center"/>
              <w:rPr>
                <w:sz w:val="21"/>
              </w:rPr>
            </w:pPr>
            <w:r w:rsidRPr="009A455B">
              <w:rPr>
                <w:sz w:val="21"/>
              </w:rPr>
              <w:t>3×10</w:t>
            </w:r>
            <w:r w:rsidRPr="009A455B">
              <w:rPr>
                <w:sz w:val="21"/>
                <w:vertAlign w:val="superscript"/>
              </w:rPr>
              <w:t>-4</w:t>
            </w:r>
            <w:r w:rsidRPr="009A455B">
              <w:rPr>
                <w:sz w:val="21"/>
              </w:rPr>
              <w:t>mg/L</w:t>
            </w:r>
          </w:p>
        </w:tc>
      </w:tr>
      <w:tr w:rsidR="009A455B" w:rsidRPr="009A455B" w:rsidTr="009A455B">
        <w:trPr>
          <w:trHeight w:val="340"/>
          <w:jc w:val="center"/>
        </w:trPr>
        <w:tc>
          <w:tcPr>
            <w:tcW w:w="786" w:type="pct"/>
            <w:vAlign w:val="center"/>
          </w:tcPr>
          <w:p w:rsidR="009A455B" w:rsidRPr="009A455B" w:rsidRDefault="009A455B" w:rsidP="009A455B">
            <w:pPr>
              <w:autoSpaceDE w:val="0"/>
              <w:spacing w:line="240" w:lineRule="auto"/>
              <w:ind w:firstLineChars="0" w:firstLine="0"/>
              <w:jc w:val="center"/>
              <w:rPr>
                <w:sz w:val="21"/>
              </w:rPr>
            </w:pPr>
            <w:r w:rsidRPr="009A455B">
              <w:rPr>
                <w:sz w:val="21"/>
              </w:rPr>
              <w:t>六价铬</w:t>
            </w:r>
          </w:p>
        </w:tc>
        <w:tc>
          <w:tcPr>
            <w:tcW w:w="1844" w:type="pct"/>
            <w:gridSpan w:val="2"/>
            <w:vAlign w:val="center"/>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金属指标</w:t>
            </w:r>
            <w:r w:rsidRPr="009A455B">
              <w:rPr>
                <w:sz w:val="21"/>
              </w:rPr>
              <w:t xml:space="preserve">GB/T 5750.6-2006 </w:t>
            </w:r>
            <w:r w:rsidR="00E97427">
              <w:rPr>
                <w:sz w:val="21"/>
              </w:rPr>
              <w:t>（</w:t>
            </w:r>
            <w:r w:rsidRPr="009A455B">
              <w:rPr>
                <w:sz w:val="21"/>
              </w:rPr>
              <w:t>10.1</w:t>
            </w:r>
            <w:r w:rsidR="00E97427">
              <w:rPr>
                <w:sz w:val="21"/>
              </w:rPr>
              <w:t>）</w:t>
            </w:r>
            <w:r w:rsidRPr="009A455B">
              <w:rPr>
                <w:sz w:val="21"/>
              </w:rPr>
              <w:t xml:space="preserve"> </w:t>
            </w:r>
            <w:r w:rsidRPr="009A455B">
              <w:rPr>
                <w:rFonts w:ascii="宋体" w:hAnsi="宋体"/>
                <w:sz w:val="21"/>
              </w:rPr>
              <w:t>二苯碳酰二肼分光光度法</w:t>
            </w:r>
          </w:p>
        </w:tc>
        <w:tc>
          <w:tcPr>
            <w:tcW w:w="1308" w:type="pct"/>
            <w:vAlign w:val="center"/>
          </w:tcPr>
          <w:p w:rsidR="009A455B" w:rsidRPr="009A455B" w:rsidRDefault="009A455B" w:rsidP="009A455B">
            <w:pPr>
              <w:autoSpaceDE w:val="0"/>
              <w:spacing w:line="240" w:lineRule="auto"/>
              <w:ind w:firstLineChars="0" w:firstLine="0"/>
              <w:jc w:val="center"/>
              <w:rPr>
                <w:sz w:val="21"/>
              </w:rPr>
            </w:pPr>
            <w:r w:rsidRPr="009A455B">
              <w:rPr>
                <w:rFonts w:hint="eastAsia"/>
                <w:sz w:val="21"/>
              </w:rPr>
              <w:t>T6</w:t>
            </w:r>
            <w:r w:rsidRPr="009A455B">
              <w:rPr>
                <w:rFonts w:ascii="宋体" w:hAnsi="宋体" w:hint="eastAsia"/>
                <w:sz w:val="21"/>
              </w:rPr>
              <w:t>新世纪</w:t>
            </w:r>
          </w:p>
          <w:p w:rsidR="009A455B" w:rsidRPr="009A455B" w:rsidRDefault="009A455B" w:rsidP="009A455B">
            <w:pPr>
              <w:autoSpaceDE w:val="0"/>
              <w:spacing w:line="240" w:lineRule="auto"/>
              <w:ind w:firstLineChars="0" w:firstLine="0"/>
              <w:jc w:val="center"/>
              <w:rPr>
                <w:sz w:val="21"/>
              </w:rPr>
            </w:pPr>
            <w:r w:rsidRPr="009A455B">
              <w:rPr>
                <w:sz w:val="21"/>
              </w:rPr>
              <w:t>紫外可见分光光度计</w:t>
            </w:r>
            <w:r w:rsidRPr="009A455B">
              <w:rPr>
                <w:sz w:val="21"/>
              </w:rPr>
              <w:t xml:space="preserve"> </w:t>
            </w:r>
            <w:r w:rsidR="00E97427">
              <w:rPr>
                <w:sz w:val="21"/>
              </w:rPr>
              <w:t>（</w:t>
            </w:r>
            <w:r w:rsidRPr="009A455B">
              <w:rPr>
                <w:sz w:val="21"/>
              </w:rPr>
              <w:t>QS-FX</w:t>
            </w:r>
            <w:r w:rsidRPr="009A455B">
              <w:rPr>
                <w:rFonts w:hint="eastAsia"/>
                <w:sz w:val="21"/>
              </w:rPr>
              <w:t>059</w:t>
            </w:r>
            <w:r w:rsidR="00E97427">
              <w:rPr>
                <w:sz w:val="21"/>
              </w:rPr>
              <w:t>）</w:t>
            </w:r>
          </w:p>
        </w:tc>
        <w:tc>
          <w:tcPr>
            <w:tcW w:w="1062" w:type="pct"/>
            <w:vAlign w:val="center"/>
          </w:tcPr>
          <w:p w:rsidR="009A455B" w:rsidRPr="009A455B" w:rsidRDefault="009A455B" w:rsidP="009A455B">
            <w:pPr>
              <w:autoSpaceDE w:val="0"/>
              <w:spacing w:line="240" w:lineRule="auto"/>
              <w:ind w:firstLineChars="0" w:firstLine="0"/>
              <w:jc w:val="center"/>
              <w:rPr>
                <w:sz w:val="21"/>
              </w:rPr>
            </w:pPr>
            <w:r w:rsidRPr="009A455B">
              <w:rPr>
                <w:sz w:val="21"/>
              </w:rPr>
              <w:t>4×10</w:t>
            </w:r>
            <w:r w:rsidRPr="009A455B">
              <w:rPr>
                <w:sz w:val="21"/>
                <w:vertAlign w:val="superscript"/>
              </w:rPr>
              <w:t>-3</w:t>
            </w: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铅</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金属指标</w:t>
            </w:r>
            <w:r w:rsidRPr="009A455B">
              <w:rPr>
                <w:sz w:val="21"/>
              </w:rPr>
              <w:t xml:space="preserve"> GB/T 5750.6-2006 </w:t>
            </w:r>
            <w:r w:rsidR="00E97427">
              <w:rPr>
                <w:sz w:val="21"/>
              </w:rPr>
              <w:t>（</w:t>
            </w:r>
            <w:r w:rsidRPr="009A455B">
              <w:rPr>
                <w:sz w:val="21"/>
              </w:rPr>
              <w:t>11.1</w:t>
            </w:r>
            <w:r w:rsidR="00E97427">
              <w:rPr>
                <w:sz w:val="21"/>
              </w:rPr>
              <w:t>）</w:t>
            </w:r>
            <w:r w:rsidRPr="009A455B">
              <w:rPr>
                <w:sz w:val="21"/>
              </w:rPr>
              <w:t xml:space="preserve"> </w:t>
            </w:r>
            <w:r w:rsidRPr="009A455B">
              <w:rPr>
                <w:rFonts w:ascii="宋体" w:hAnsi="宋体"/>
                <w:sz w:val="21"/>
              </w:rPr>
              <w:t>无火焰原子吸收分光光度法</w:t>
            </w:r>
          </w:p>
        </w:tc>
        <w:tc>
          <w:tcPr>
            <w:tcW w:w="1308" w:type="pct"/>
            <w:vMerge w:val="restart"/>
            <w:vAlign w:val="center"/>
          </w:tcPr>
          <w:p w:rsidR="002E7213" w:rsidRPr="009A455B" w:rsidRDefault="002E7213" w:rsidP="009A455B">
            <w:pPr>
              <w:spacing w:line="240" w:lineRule="auto"/>
              <w:ind w:firstLineChars="0" w:firstLine="0"/>
              <w:jc w:val="center"/>
              <w:rPr>
                <w:sz w:val="21"/>
              </w:rPr>
            </w:pPr>
            <w:r w:rsidRPr="009A455B">
              <w:rPr>
                <w:sz w:val="21"/>
              </w:rPr>
              <w:t>TAS-990AFG</w:t>
            </w:r>
          </w:p>
          <w:p w:rsidR="002E7213" w:rsidRPr="009A455B" w:rsidRDefault="002E7213" w:rsidP="009A455B">
            <w:pPr>
              <w:spacing w:line="240" w:lineRule="auto"/>
              <w:ind w:firstLineChars="0" w:firstLine="0"/>
              <w:jc w:val="center"/>
              <w:rPr>
                <w:sz w:val="21"/>
              </w:rPr>
            </w:pPr>
            <w:r w:rsidRPr="009A455B">
              <w:rPr>
                <w:sz w:val="21"/>
              </w:rPr>
              <w:t>原子吸收分光光度计</w:t>
            </w:r>
            <w:r w:rsidRPr="009A455B">
              <w:rPr>
                <w:sz w:val="21"/>
              </w:rPr>
              <w:t xml:space="preserve"> </w:t>
            </w:r>
            <w:r w:rsidR="00E97427">
              <w:rPr>
                <w:sz w:val="21"/>
              </w:rPr>
              <w:t>（</w:t>
            </w:r>
            <w:r w:rsidRPr="009A455B">
              <w:rPr>
                <w:sz w:val="21"/>
              </w:rPr>
              <w:t>QS-FX065</w:t>
            </w:r>
            <w:r w:rsidR="00E97427">
              <w:rPr>
                <w:sz w:val="21"/>
              </w:rPr>
              <w:t>）</w:t>
            </w:r>
          </w:p>
        </w:tc>
        <w:tc>
          <w:tcPr>
            <w:tcW w:w="1062" w:type="pct"/>
            <w:vAlign w:val="center"/>
          </w:tcPr>
          <w:p w:rsidR="002E7213" w:rsidRPr="009A455B" w:rsidRDefault="002E7213" w:rsidP="009A455B">
            <w:pPr>
              <w:spacing w:line="240" w:lineRule="auto"/>
              <w:ind w:firstLineChars="0" w:firstLine="0"/>
              <w:jc w:val="center"/>
              <w:rPr>
                <w:sz w:val="21"/>
                <w:vertAlign w:val="superscript"/>
              </w:rPr>
            </w:pPr>
            <w:r w:rsidRPr="009A455B">
              <w:rPr>
                <w:sz w:val="21"/>
              </w:rPr>
              <w:t>2.5×10</w:t>
            </w:r>
            <w:r w:rsidRPr="009A455B">
              <w:rPr>
                <w:sz w:val="21"/>
                <w:vertAlign w:val="superscript"/>
              </w:rPr>
              <w:t>-3</w:t>
            </w:r>
          </w:p>
          <w:p w:rsidR="002E7213" w:rsidRPr="009A455B" w:rsidRDefault="002E7213" w:rsidP="009A455B">
            <w:pPr>
              <w:spacing w:line="240" w:lineRule="auto"/>
              <w:ind w:firstLineChars="0" w:firstLine="0"/>
              <w:jc w:val="center"/>
              <w:rPr>
                <w:sz w:val="21"/>
              </w:rPr>
            </w:pP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镉</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铜、锌、铅、镉的测定</w:t>
            </w:r>
            <w:r w:rsidRPr="009A455B">
              <w:rPr>
                <w:sz w:val="21"/>
              </w:rPr>
              <w:t xml:space="preserve"> </w:t>
            </w:r>
            <w:r w:rsidRPr="009A455B">
              <w:rPr>
                <w:sz w:val="21"/>
              </w:rPr>
              <w:t>原子吸收分光光度法</w:t>
            </w:r>
            <w:r w:rsidRPr="009A455B">
              <w:rPr>
                <w:sz w:val="21"/>
              </w:rPr>
              <w:t xml:space="preserve"> </w:t>
            </w:r>
          </w:p>
          <w:p w:rsidR="002E7213" w:rsidRPr="009A455B" w:rsidRDefault="002E7213" w:rsidP="009A455B">
            <w:pPr>
              <w:spacing w:line="240" w:lineRule="auto"/>
              <w:ind w:firstLineChars="0" w:firstLine="0"/>
              <w:jc w:val="center"/>
              <w:textAlignment w:val="center"/>
              <w:rPr>
                <w:sz w:val="21"/>
              </w:rPr>
            </w:pPr>
            <w:r w:rsidRPr="009A455B">
              <w:rPr>
                <w:sz w:val="21"/>
              </w:rPr>
              <w:t>GB 7475-1987</w:t>
            </w:r>
          </w:p>
        </w:tc>
        <w:tc>
          <w:tcPr>
            <w:tcW w:w="1308" w:type="pct"/>
            <w:vMerge/>
            <w:vAlign w:val="center"/>
          </w:tcPr>
          <w:p w:rsidR="002E7213" w:rsidRPr="009A455B" w:rsidRDefault="002E7213" w:rsidP="009A455B">
            <w:pPr>
              <w:spacing w:line="240" w:lineRule="auto"/>
              <w:ind w:firstLineChars="0" w:firstLine="0"/>
              <w:jc w:val="center"/>
              <w:rPr>
                <w:sz w:val="21"/>
              </w:rPr>
            </w:pPr>
          </w:p>
        </w:tc>
        <w:tc>
          <w:tcPr>
            <w:tcW w:w="1062" w:type="pct"/>
            <w:vAlign w:val="center"/>
          </w:tcPr>
          <w:p w:rsidR="002E7213" w:rsidRPr="009A455B" w:rsidRDefault="002E7213" w:rsidP="009A455B">
            <w:pPr>
              <w:spacing w:line="240" w:lineRule="auto"/>
              <w:ind w:firstLineChars="0" w:firstLine="0"/>
              <w:jc w:val="center"/>
              <w:rPr>
                <w:sz w:val="21"/>
              </w:rPr>
            </w:pPr>
            <w:r w:rsidRPr="009A455B">
              <w:rPr>
                <w:sz w:val="21"/>
              </w:rPr>
              <w:t>1×10</w:t>
            </w:r>
            <w:r w:rsidRPr="009A455B">
              <w:rPr>
                <w:sz w:val="21"/>
                <w:vertAlign w:val="superscript"/>
              </w:rPr>
              <w:t>-3</w:t>
            </w:r>
            <w:r w:rsidRPr="009A455B">
              <w:rPr>
                <w:sz w:val="21"/>
              </w:rPr>
              <w:t>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铁</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r w:rsidRPr="009A455B">
              <w:rPr>
                <w:sz w:val="21"/>
              </w:rPr>
              <w:t>水质</w:t>
            </w:r>
            <w:r w:rsidRPr="009A455B">
              <w:rPr>
                <w:sz w:val="21"/>
              </w:rPr>
              <w:t xml:space="preserve"> </w:t>
            </w:r>
            <w:r w:rsidRPr="009A455B">
              <w:rPr>
                <w:sz w:val="21"/>
              </w:rPr>
              <w:t>铁、锰的测定</w:t>
            </w:r>
            <w:r w:rsidRPr="009A455B">
              <w:rPr>
                <w:sz w:val="21"/>
              </w:rPr>
              <w:t xml:space="preserve"> </w:t>
            </w:r>
          </w:p>
          <w:p w:rsidR="002E7213" w:rsidRPr="009A455B" w:rsidRDefault="002E7213" w:rsidP="009A455B">
            <w:pPr>
              <w:spacing w:line="240" w:lineRule="auto"/>
              <w:ind w:firstLineChars="0" w:firstLine="0"/>
              <w:jc w:val="center"/>
              <w:textAlignment w:val="center"/>
              <w:rPr>
                <w:sz w:val="21"/>
              </w:rPr>
            </w:pPr>
            <w:r w:rsidRPr="009A455B">
              <w:rPr>
                <w:sz w:val="21"/>
              </w:rPr>
              <w:t>火焰原子吸收分光光度法</w:t>
            </w:r>
            <w:r w:rsidRPr="009A455B">
              <w:rPr>
                <w:sz w:val="21"/>
              </w:rPr>
              <w:t xml:space="preserve"> </w:t>
            </w:r>
          </w:p>
          <w:p w:rsidR="002E7213" w:rsidRPr="009A455B" w:rsidRDefault="002E7213" w:rsidP="009A455B">
            <w:pPr>
              <w:spacing w:line="240" w:lineRule="auto"/>
              <w:ind w:firstLineChars="0" w:firstLine="0"/>
              <w:jc w:val="center"/>
              <w:textAlignment w:val="center"/>
              <w:rPr>
                <w:sz w:val="21"/>
              </w:rPr>
            </w:pPr>
            <w:r w:rsidRPr="009A455B">
              <w:rPr>
                <w:sz w:val="21"/>
              </w:rPr>
              <w:t>GB 11911-1989</w:t>
            </w:r>
          </w:p>
        </w:tc>
        <w:tc>
          <w:tcPr>
            <w:tcW w:w="1308" w:type="pct"/>
            <w:vMerge/>
            <w:vAlign w:val="center"/>
          </w:tcPr>
          <w:p w:rsidR="002E7213" w:rsidRPr="009A455B" w:rsidRDefault="002E7213" w:rsidP="009A455B">
            <w:pPr>
              <w:spacing w:line="240" w:lineRule="auto"/>
              <w:ind w:firstLineChars="0" w:firstLine="0"/>
              <w:jc w:val="center"/>
              <w:rPr>
                <w:sz w:val="21"/>
              </w:rPr>
            </w:pPr>
          </w:p>
        </w:tc>
        <w:tc>
          <w:tcPr>
            <w:tcW w:w="1062" w:type="pct"/>
            <w:vAlign w:val="center"/>
          </w:tcPr>
          <w:p w:rsidR="002E7213" w:rsidRPr="009A455B" w:rsidRDefault="002E7213" w:rsidP="009A455B">
            <w:pPr>
              <w:spacing w:line="240" w:lineRule="auto"/>
              <w:ind w:firstLineChars="0" w:firstLine="0"/>
              <w:jc w:val="center"/>
              <w:rPr>
                <w:sz w:val="21"/>
              </w:rPr>
            </w:pPr>
            <w:r w:rsidRPr="009A455B">
              <w:rPr>
                <w:sz w:val="21"/>
              </w:rPr>
              <w:t>0.03mg/L</w:t>
            </w:r>
          </w:p>
        </w:tc>
      </w:tr>
      <w:tr w:rsidR="002E7213" w:rsidRPr="009A455B" w:rsidTr="009A455B">
        <w:trPr>
          <w:trHeight w:val="340"/>
          <w:jc w:val="center"/>
        </w:trPr>
        <w:tc>
          <w:tcPr>
            <w:tcW w:w="786" w:type="pct"/>
            <w:vAlign w:val="center"/>
          </w:tcPr>
          <w:p w:rsidR="002E7213" w:rsidRPr="009A455B" w:rsidRDefault="002E7213" w:rsidP="009A455B">
            <w:pPr>
              <w:spacing w:line="240" w:lineRule="auto"/>
              <w:ind w:firstLineChars="0" w:firstLine="0"/>
              <w:jc w:val="center"/>
              <w:rPr>
                <w:sz w:val="21"/>
              </w:rPr>
            </w:pPr>
            <w:r w:rsidRPr="009A455B">
              <w:rPr>
                <w:sz w:val="21"/>
              </w:rPr>
              <w:t>锰</w:t>
            </w:r>
          </w:p>
        </w:tc>
        <w:tc>
          <w:tcPr>
            <w:tcW w:w="1844" w:type="pct"/>
            <w:gridSpan w:val="2"/>
            <w:vAlign w:val="center"/>
          </w:tcPr>
          <w:p w:rsidR="002E7213" w:rsidRPr="009A455B" w:rsidRDefault="002E7213" w:rsidP="009A455B">
            <w:pPr>
              <w:spacing w:line="240" w:lineRule="auto"/>
              <w:ind w:firstLineChars="0" w:firstLine="0"/>
              <w:jc w:val="center"/>
              <w:textAlignment w:val="center"/>
              <w:rPr>
                <w:sz w:val="21"/>
              </w:rPr>
            </w:pPr>
          </w:p>
        </w:tc>
        <w:tc>
          <w:tcPr>
            <w:tcW w:w="1308" w:type="pct"/>
            <w:vMerge/>
            <w:vAlign w:val="center"/>
          </w:tcPr>
          <w:p w:rsidR="002E7213" w:rsidRPr="009A455B" w:rsidRDefault="002E7213" w:rsidP="009A455B">
            <w:pPr>
              <w:spacing w:line="240" w:lineRule="auto"/>
              <w:ind w:firstLineChars="0" w:firstLine="0"/>
              <w:jc w:val="center"/>
              <w:rPr>
                <w:sz w:val="21"/>
              </w:rPr>
            </w:pPr>
          </w:p>
        </w:tc>
        <w:tc>
          <w:tcPr>
            <w:tcW w:w="1062" w:type="pct"/>
            <w:vAlign w:val="center"/>
          </w:tcPr>
          <w:p w:rsidR="002E7213" w:rsidRPr="009A455B" w:rsidRDefault="002E7213" w:rsidP="009A455B">
            <w:pPr>
              <w:spacing w:line="240" w:lineRule="auto"/>
              <w:ind w:firstLineChars="0" w:firstLine="0"/>
              <w:jc w:val="center"/>
              <w:rPr>
                <w:sz w:val="21"/>
              </w:rPr>
            </w:pPr>
            <w:r w:rsidRPr="009A455B">
              <w:rPr>
                <w:sz w:val="21"/>
              </w:rPr>
              <w:t>0.01mg/L</w:t>
            </w:r>
          </w:p>
        </w:tc>
      </w:tr>
      <w:tr w:rsidR="009A455B" w:rsidRPr="009A455B" w:rsidTr="009A455B">
        <w:trPr>
          <w:trHeight w:val="340"/>
          <w:jc w:val="center"/>
        </w:trPr>
        <w:tc>
          <w:tcPr>
            <w:tcW w:w="786" w:type="pct"/>
            <w:vAlign w:val="center"/>
          </w:tcPr>
          <w:p w:rsidR="009A455B" w:rsidRPr="009A455B" w:rsidRDefault="009A455B" w:rsidP="009A455B">
            <w:pPr>
              <w:autoSpaceDE w:val="0"/>
              <w:spacing w:line="240" w:lineRule="auto"/>
              <w:ind w:firstLineChars="0" w:firstLine="0"/>
              <w:jc w:val="center"/>
              <w:rPr>
                <w:sz w:val="21"/>
              </w:rPr>
            </w:pPr>
            <w:r w:rsidRPr="009A455B">
              <w:rPr>
                <w:sz w:val="21"/>
              </w:rPr>
              <w:t>总大肠菌群</w:t>
            </w:r>
          </w:p>
        </w:tc>
        <w:tc>
          <w:tcPr>
            <w:tcW w:w="1844" w:type="pct"/>
            <w:gridSpan w:val="2"/>
            <w:vAlign w:val="center"/>
          </w:tcPr>
          <w:p w:rsidR="009A455B" w:rsidRPr="009A455B" w:rsidRDefault="009A455B" w:rsidP="009A455B">
            <w:pPr>
              <w:autoSpaceDE w:val="0"/>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微生物指标</w:t>
            </w:r>
            <w:r w:rsidRPr="009A455B">
              <w:rPr>
                <w:sz w:val="21"/>
              </w:rPr>
              <w:t xml:space="preserve"> GB/T 5750.12-2006</w:t>
            </w:r>
            <w:r w:rsidR="00E97427">
              <w:rPr>
                <w:sz w:val="21"/>
              </w:rPr>
              <w:t>（</w:t>
            </w:r>
            <w:r w:rsidRPr="009A455B">
              <w:rPr>
                <w:sz w:val="21"/>
              </w:rPr>
              <w:t>2.1</w:t>
            </w:r>
            <w:r w:rsidR="00E97427">
              <w:rPr>
                <w:sz w:val="21"/>
              </w:rPr>
              <w:t>）</w:t>
            </w:r>
            <w:r w:rsidRPr="009A455B">
              <w:rPr>
                <w:sz w:val="21"/>
              </w:rPr>
              <w:t xml:space="preserve"> </w:t>
            </w:r>
            <w:r w:rsidRPr="009A455B">
              <w:rPr>
                <w:rFonts w:ascii="宋体" w:hAnsi="宋体"/>
                <w:sz w:val="21"/>
              </w:rPr>
              <w:t>多管发酵法</w:t>
            </w:r>
          </w:p>
        </w:tc>
        <w:tc>
          <w:tcPr>
            <w:tcW w:w="1308" w:type="pct"/>
            <w:vAlign w:val="center"/>
          </w:tcPr>
          <w:p w:rsidR="009A455B" w:rsidRPr="009A455B" w:rsidRDefault="009A455B" w:rsidP="009A455B">
            <w:pPr>
              <w:autoSpaceDE w:val="0"/>
              <w:spacing w:line="240" w:lineRule="auto"/>
              <w:ind w:firstLineChars="0" w:firstLine="0"/>
              <w:jc w:val="center"/>
              <w:textAlignment w:val="center"/>
              <w:rPr>
                <w:sz w:val="21"/>
              </w:rPr>
            </w:pPr>
            <w:r w:rsidRPr="009A455B">
              <w:rPr>
                <w:sz w:val="21"/>
              </w:rPr>
              <w:t>DHP-9052</w:t>
            </w:r>
          </w:p>
          <w:p w:rsidR="009A455B" w:rsidRPr="009A455B" w:rsidRDefault="009A455B" w:rsidP="009A455B">
            <w:pPr>
              <w:autoSpaceDE w:val="0"/>
              <w:spacing w:line="240" w:lineRule="auto"/>
              <w:ind w:firstLineChars="0" w:firstLine="0"/>
              <w:jc w:val="center"/>
              <w:textAlignment w:val="center"/>
              <w:rPr>
                <w:sz w:val="21"/>
              </w:rPr>
            </w:pPr>
            <w:r w:rsidRPr="009A455B">
              <w:rPr>
                <w:sz w:val="21"/>
              </w:rPr>
              <w:t>电热恒温培养箱</w:t>
            </w:r>
          </w:p>
          <w:p w:rsidR="009A455B" w:rsidRPr="009A455B" w:rsidRDefault="00E97427" w:rsidP="009A455B">
            <w:pPr>
              <w:autoSpaceDE w:val="0"/>
              <w:spacing w:line="240" w:lineRule="auto"/>
              <w:ind w:firstLineChars="0" w:firstLine="0"/>
              <w:jc w:val="center"/>
              <w:rPr>
                <w:sz w:val="21"/>
              </w:rPr>
            </w:pPr>
            <w:r>
              <w:rPr>
                <w:sz w:val="21"/>
              </w:rPr>
              <w:t>（</w:t>
            </w:r>
            <w:r w:rsidR="009A455B" w:rsidRPr="009A455B">
              <w:rPr>
                <w:sz w:val="21"/>
              </w:rPr>
              <w:t>QS-FX072</w:t>
            </w:r>
            <w:r>
              <w:rPr>
                <w:sz w:val="21"/>
              </w:rPr>
              <w:t>）</w:t>
            </w:r>
          </w:p>
        </w:tc>
        <w:tc>
          <w:tcPr>
            <w:tcW w:w="1062" w:type="pct"/>
            <w:vAlign w:val="center"/>
          </w:tcPr>
          <w:p w:rsidR="009A455B" w:rsidRPr="009A455B" w:rsidRDefault="009A455B" w:rsidP="009A455B">
            <w:pPr>
              <w:autoSpaceDE w:val="0"/>
              <w:spacing w:line="240" w:lineRule="auto"/>
              <w:ind w:firstLineChars="0" w:firstLine="0"/>
              <w:jc w:val="center"/>
              <w:rPr>
                <w:sz w:val="21"/>
              </w:rPr>
            </w:pPr>
            <w:r w:rsidRPr="009A455B">
              <w:rPr>
                <w:sz w:val="21"/>
              </w:rPr>
              <w:t>--</w:t>
            </w:r>
          </w:p>
        </w:tc>
      </w:tr>
      <w:tr w:rsidR="009A455B" w:rsidRPr="009A455B" w:rsidTr="009A455B">
        <w:trPr>
          <w:trHeight w:val="340"/>
          <w:jc w:val="center"/>
        </w:trPr>
        <w:tc>
          <w:tcPr>
            <w:tcW w:w="786" w:type="pct"/>
            <w:vAlign w:val="center"/>
          </w:tcPr>
          <w:p w:rsidR="009A455B" w:rsidRPr="009A455B" w:rsidRDefault="009A455B" w:rsidP="009A455B">
            <w:pPr>
              <w:spacing w:line="240" w:lineRule="auto"/>
              <w:ind w:firstLineChars="0" w:firstLine="0"/>
              <w:jc w:val="center"/>
              <w:rPr>
                <w:sz w:val="21"/>
              </w:rPr>
            </w:pPr>
            <w:r w:rsidRPr="009A455B">
              <w:rPr>
                <w:sz w:val="21"/>
              </w:rPr>
              <w:t>菌落总数</w:t>
            </w:r>
          </w:p>
        </w:tc>
        <w:tc>
          <w:tcPr>
            <w:tcW w:w="1844" w:type="pct"/>
            <w:gridSpan w:val="2"/>
            <w:vAlign w:val="center"/>
          </w:tcPr>
          <w:p w:rsidR="009A455B" w:rsidRPr="009A455B" w:rsidRDefault="009A455B" w:rsidP="009A455B">
            <w:pPr>
              <w:spacing w:line="240" w:lineRule="auto"/>
              <w:ind w:firstLineChars="0" w:firstLine="0"/>
              <w:jc w:val="center"/>
              <w:textAlignment w:val="center"/>
              <w:rPr>
                <w:sz w:val="21"/>
              </w:rPr>
            </w:pPr>
            <w:r w:rsidRPr="009A455B">
              <w:rPr>
                <w:sz w:val="21"/>
              </w:rPr>
              <w:t>生活饮用水标准检验方法</w:t>
            </w:r>
            <w:r w:rsidRPr="009A455B">
              <w:rPr>
                <w:sz w:val="21"/>
              </w:rPr>
              <w:t xml:space="preserve"> </w:t>
            </w:r>
            <w:r w:rsidRPr="009A455B">
              <w:rPr>
                <w:sz w:val="21"/>
              </w:rPr>
              <w:t>微生物指标</w:t>
            </w:r>
            <w:r w:rsidRPr="009A455B">
              <w:rPr>
                <w:sz w:val="21"/>
              </w:rPr>
              <w:t xml:space="preserve"> GB/T 5750.12-2006</w:t>
            </w:r>
            <w:r w:rsidR="00E97427">
              <w:rPr>
                <w:sz w:val="21"/>
              </w:rPr>
              <w:t>（</w:t>
            </w:r>
            <w:r w:rsidRPr="009A455B">
              <w:rPr>
                <w:sz w:val="21"/>
              </w:rPr>
              <w:t>1.1</w:t>
            </w:r>
            <w:r w:rsidR="00E97427">
              <w:rPr>
                <w:sz w:val="21"/>
              </w:rPr>
              <w:t>）</w:t>
            </w:r>
            <w:r w:rsidRPr="009A455B">
              <w:rPr>
                <w:sz w:val="21"/>
              </w:rPr>
              <w:t xml:space="preserve"> </w:t>
            </w:r>
            <w:r w:rsidRPr="009A455B">
              <w:rPr>
                <w:rFonts w:ascii="宋体" w:hAnsi="宋体"/>
                <w:sz w:val="21"/>
              </w:rPr>
              <w:t>平皿计数法</w:t>
            </w:r>
          </w:p>
        </w:tc>
        <w:tc>
          <w:tcPr>
            <w:tcW w:w="1308" w:type="pct"/>
            <w:vAlign w:val="center"/>
          </w:tcPr>
          <w:p w:rsidR="009A455B" w:rsidRPr="009A455B" w:rsidRDefault="009A455B" w:rsidP="009A455B">
            <w:pPr>
              <w:spacing w:line="240" w:lineRule="auto"/>
              <w:ind w:firstLineChars="0" w:firstLine="0"/>
              <w:jc w:val="center"/>
              <w:textAlignment w:val="center"/>
              <w:rPr>
                <w:sz w:val="21"/>
              </w:rPr>
            </w:pPr>
            <w:r w:rsidRPr="009A455B">
              <w:rPr>
                <w:sz w:val="21"/>
              </w:rPr>
              <w:t>DHP-9052</w:t>
            </w:r>
          </w:p>
          <w:p w:rsidR="009A455B" w:rsidRPr="009A455B" w:rsidRDefault="009A455B" w:rsidP="009A455B">
            <w:pPr>
              <w:spacing w:line="240" w:lineRule="auto"/>
              <w:ind w:firstLineChars="0" w:firstLine="0"/>
              <w:jc w:val="center"/>
              <w:textAlignment w:val="center"/>
              <w:rPr>
                <w:sz w:val="21"/>
              </w:rPr>
            </w:pPr>
            <w:r w:rsidRPr="009A455B">
              <w:rPr>
                <w:sz w:val="21"/>
              </w:rPr>
              <w:t>电热恒温培养箱</w:t>
            </w:r>
          </w:p>
          <w:p w:rsidR="009A455B" w:rsidRPr="009A455B" w:rsidRDefault="009A455B" w:rsidP="009A455B">
            <w:pPr>
              <w:spacing w:line="240" w:lineRule="auto"/>
              <w:ind w:firstLineChars="0" w:firstLine="0"/>
              <w:jc w:val="center"/>
              <w:rPr>
                <w:sz w:val="21"/>
              </w:rPr>
            </w:pPr>
            <w:r w:rsidRPr="009A455B">
              <w:rPr>
                <w:sz w:val="21"/>
              </w:rPr>
              <w:t xml:space="preserve"> </w:t>
            </w:r>
            <w:r w:rsidR="00E97427">
              <w:rPr>
                <w:sz w:val="21"/>
              </w:rPr>
              <w:t>（</w:t>
            </w:r>
            <w:r w:rsidRPr="009A455B">
              <w:rPr>
                <w:sz w:val="21"/>
              </w:rPr>
              <w:t>QS-FX072</w:t>
            </w:r>
            <w:r w:rsidR="00E97427">
              <w:rPr>
                <w:sz w:val="21"/>
              </w:rPr>
              <w:t>）</w:t>
            </w:r>
          </w:p>
        </w:tc>
        <w:tc>
          <w:tcPr>
            <w:tcW w:w="1062" w:type="pct"/>
            <w:vAlign w:val="center"/>
          </w:tcPr>
          <w:p w:rsidR="009A455B" w:rsidRPr="009A455B" w:rsidRDefault="009A455B" w:rsidP="009A455B">
            <w:pPr>
              <w:spacing w:line="240" w:lineRule="auto"/>
              <w:ind w:firstLineChars="0" w:firstLine="0"/>
              <w:jc w:val="center"/>
              <w:rPr>
                <w:sz w:val="21"/>
              </w:rPr>
            </w:pPr>
            <w:r w:rsidRPr="009A455B">
              <w:rPr>
                <w:sz w:val="21"/>
              </w:rPr>
              <w:t>--</w:t>
            </w:r>
          </w:p>
        </w:tc>
      </w:tr>
    </w:tbl>
    <w:p w:rsidR="009A455B" w:rsidRPr="009A455B" w:rsidRDefault="009A455B" w:rsidP="009A455B">
      <w:pPr>
        <w:ind w:firstLine="480"/>
      </w:pPr>
      <w:r w:rsidRPr="009A455B">
        <w:rPr>
          <w:rFonts w:hint="eastAsia"/>
        </w:rPr>
        <w:lastRenderedPageBreak/>
        <w:t>（</w:t>
      </w:r>
      <w:r w:rsidRPr="009A455B">
        <w:rPr>
          <w:rFonts w:hint="eastAsia"/>
        </w:rPr>
        <w:t>5</w:t>
      </w:r>
      <w:r w:rsidRPr="009A455B">
        <w:rPr>
          <w:rFonts w:hint="eastAsia"/>
        </w:rPr>
        <w:t>）评价方法</w:t>
      </w:r>
    </w:p>
    <w:p w:rsidR="009A455B" w:rsidRPr="009A455B" w:rsidRDefault="009A455B" w:rsidP="009A455B">
      <w:pPr>
        <w:spacing w:before="48" w:after="48"/>
        <w:ind w:firstLine="480"/>
      </w:pPr>
      <w:r w:rsidRPr="009A455B">
        <w:t>按照《环境影响评价技术导则</w:t>
      </w:r>
      <w:r w:rsidRPr="009A455B">
        <w:t xml:space="preserve"> </w:t>
      </w:r>
      <w:r w:rsidRPr="009A455B">
        <w:t>地下水环境》</w:t>
      </w:r>
      <w:r w:rsidR="00E97427">
        <w:t>（</w:t>
      </w:r>
      <w:r w:rsidRPr="009A455B">
        <w:t>HJ 610-2016</w:t>
      </w:r>
      <w:r w:rsidR="00E97427">
        <w:t>）</w:t>
      </w:r>
      <w:r w:rsidRPr="009A455B">
        <w:t>建议，地下水环境影响评价采用单因子指数评价法。</w:t>
      </w:r>
    </w:p>
    <w:p w:rsidR="009A455B" w:rsidRPr="009A455B" w:rsidRDefault="009A455B" w:rsidP="009A455B">
      <w:pPr>
        <w:spacing w:before="48" w:after="48"/>
        <w:ind w:firstLine="480"/>
      </w:pPr>
      <w:r w:rsidRPr="009A455B">
        <w:t>单项水质参数的标准指数为：</w:t>
      </w:r>
    </w:p>
    <w:p w:rsidR="009A455B" w:rsidRPr="009A455B" w:rsidRDefault="009A455B" w:rsidP="009A455B">
      <w:pPr>
        <w:adjustRightInd w:val="0"/>
        <w:snapToGrid w:val="0"/>
        <w:spacing w:before="48" w:after="48"/>
        <w:ind w:firstLine="480"/>
        <w:jc w:val="center"/>
      </w:pPr>
      <w:r w:rsidRPr="009A455B">
        <w:rPr>
          <w:position w:val="-24"/>
          <w:szCs w:val="24"/>
        </w:rPr>
        <w:object w:dxaOrig="1050" w:dyaOrig="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29.9pt" o:ole="">
            <v:imagedata r:id="rId22" o:title=""/>
          </v:shape>
          <o:OLEObject Type="Embed" ProgID="Equation.3" ShapeID="_x0000_i1025" DrawAspect="Content" ObjectID="_1690783716" r:id="rId23"/>
        </w:object>
      </w:r>
    </w:p>
    <w:p w:rsidR="009A455B" w:rsidRPr="009A455B" w:rsidRDefault="009A455B" w:rsidP="009A455B">
      <w:pPr>
        <w:adjustRightInd w:val="0"/>
        <w:snapToGrid w:val="0"/>
        <w:spacing w:before="48" w:after="48"/>
        <w:ind w:firstLine="480"/>
      </w:pPr>
      <w:r w:rsidRPr="009A455B">
        <w:t>式中：</w:t>
      </w:r>
      <w:r w:rsidRPr="009A455B">
        <w:rPr>
          <w:i/>
        </w:rPr>
        <w:t>C</w:t>
      </w:r>
      <w:r w:rsidRPr="009A455B">
        <w:rPr>
          <w:i/>
          <w:vertAlign w:val="subscript"/>
        </w:rPr>
        <w:t>si</w:t>
      </w:r>
      <w:r w:rsidRPr="009A455B">
        <w:t>——</w:t>
      </w:r>
      <w:r w:rsidRPr="009A455B">
        <w:t>水质参数</w:t>
      </w:r>
      <w:r w:rsidRPr="009A455B">
        <w:t>i</w:t>
      </w:r>
      <w:r w:rsidRPr="009A455B">
        <w:t>的地面水水质标准，</w:t>
      </w:r>
      <w:r w:rsidRPr="009A455B">
        <w:t>mg/L</w:t>
      </w:r>
      <w:r w:rsidRPr="009A455B">
        <w:t>；</w:t>
      </w:r>
    </w:p>
    <w:p w:rsidR="009A455B" w:rsidRPr="009A455B" w:rsidRDefault="009A455B" w:rsidP="009A455B">
      <w:pPr>
        <w:adjustRightInd w:val="0"/>
        <w:snapToGrid w:val="0"/>
        <w:spacing w:before="48" w:after="48"/>
        <w:ind w:left="780" w:firstLine="480"/>
      </w:pPr>
      <w:r w:rsidRPr="009A455B">
        <w:rPr>
          <w:i/>
        </w:rPr>
        <w:t>C</w:t>
      </w:r>
      <w:r w:rsidRPr="009A455B">
        <w:rPr>
          <w:i/>
          <w:vertAlign w:val="subscript"/>
        </w:rPr>
        <w:t>i</w:t>
      </w:r>
      <w:r w:rsidRPr="009A455B">
        <w:rPr>
          <w:i/>
          <w:vertAlign w:val="subscript"/>
        </w:rPr>
        <w:t>，</w:t>
      </w:r>
      <w:r w:rsidRPr="009A455B">
        <w:rPr>
          <w:i/>
          <w:vertAlign w:val="subscript"/>
        </w:rPr>
        <w:t>j</w:t>
      </w:r>
      <w:r w:rsidRPr="009A455B">
        <w:t>——</w:t>
      </w:r>
      <w:r w:rsidRPr="009A455B">
        <w:t>污染物</w:t>
      </w:r>
      <w:r w:rsidRPr="009A455B">
        <w:t>i</w:t>
      </w:r>
      <w:r w:rsidRPr="009A455B">
        <w:t>在预测点</w:t>
      </w:r>
      <w:r w:rsidR="00E97427">
        <w:t>（</w:t>
      </w:r>
      <w:r w:rsidRPr="009A455B">
        <w:t>可监测点</w:t>
      </w:r>
      <w:r w:rsidR="00E97427">
        <w:t>）</w:t>
      </w:r>
      <w:r w:rsidRPr="009A455B">
        <w:t>j</w:t>
      </w:r>
      <w:r w:rsidRPr="009A455B">
        <w:t>的浓度，</w:t>
      </w:r>
      <w:r w:rsidRPr="009A455B">
        <w:t>mg/L</w:t>
      </w:r>
      <w:r w:rsidRPr="009A455B">
        <w:t>。</w:t>
      </w:r>
    </w:p>
    <w:p w:rsidR="009A455B" w:rsidRPr="009A455B" w:rsidRDefault="009A455B" w:rsidP="009A455B">
      <w:pPr>
        <w:adjustRightInd w:val="0"/>
        <w:snapToGrid w:val="0"/>
        <w:spacing w:before="48" w:after="48"/>
        <w:ind w:firstLine="480"/>
      </w:pPr>
      <w:r w:rsidRPr="009A455B">
        <w:t>pH</w:t>
      </w:r>
      <w:r w:rsidRPr="009A455B">
        <w:t>的标准指数为：</w:t>
      </w:r>
    </w:p>
    <w:p w:rsidR="009A455B" w:rsidRPr="009A455B" w:rsidRDefault="009A455B" w:rsidP="009A455B">
      <w:pPr>
        <w:adjustRightInd w:val="0"/>
        <w:snapToGrid w:val="0"/>
        <w:spacing w:before="48" w:after="48"/>
        <w:ind w:firstLine="480"/>
        <w:jc w:val="center"/>
      </w:pPr>
      <w:r w:rsidRPr="009A455B">
        <w:rPr>
          <w:noProof/>
        </w:rPr>
        <w:drawing>
          <wp:inline distT="0" distB="0" distL="114300" distR="114300" wp14:anchorId="2D21E6A5" wp14:editId="089A24C8">
            <wp:extent cx="1932305" cy="461010"/>
            <wp:effectExtent l="0" t="0" r="0" b="15875"/>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24"/>
                    <a:stretch>
                      <a:fillRect/>
                    </a:stretch>
                  </pic:blipFill>
                  <pic:spPr>
                    <a:xfrm>
                      <a:off x="0" y="0"/>
                      <a:ext cx="1932305" cy="461010"/>
                    </a:xfrm>
                    <a:prstGeom prst="rect">
                      <a:avLst/>
                    </a:prstGeom>
                    <a:noFill/>
                    <a:ln w="9525">
                      <a:noFill/>
                    </a:ln>
                  </pic:spPr>
                </pic:pic>
              </a:graphicData>
            </a:graphic>
          </wp:inline>
        </w:drawing>
      </w:r>
    </w:p>
    <w:p w:rsidR="009A455B" w:rsidRPr="009A455B" w:rsidRDefault="009A455B" w:rsidP="009A455B">
      <w:pPr>
        <w:adjustRightInd w:val="0"/>
        <w:snapToGrid w:val="0"/>
        <w:spacing w:before="48" w:after="48"/>
        <w:ind w:firstLine="480"/>
        <w:jc w:val="center"/>
      </w:pPr>
      <w:r w:rsidRPr="009A455B">
        <w:rPr>
          <w:noProof/>
        </w:rPr>
        <w:drawing>
          <wp:inline distT="0" distB="0" distL="114300" distR="114300" wp14:anchorId="1C81C228" wp14:editId="39024688">
            <wp:extent cx="1932305" cy="461010"/>
            <wp:effectExtent l="0" t="0" r="0" b="15875"/>
            <wp:docPr id="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pic:cNvPicPr>
                      <a:picLocks noChangeAspect="1"/>
                    </pic:cNvPicPr>
                  </pic:nvPicPr>
                  <pic:blipFill>
                    <a:blip r:embed="rId25"/>
                    <a:stretch>
                      <a:fillRect/>
                    </a:stretch>
                  </pic:blipFill>
                  <pic:spPr>
                    <a:xfrm>
                      <a:off x="0" y="0"/>
                      <a:ext cx="1932305" cy="461010"/>
                    </a:xfrm>
                    <a:prstGeom prst="rect">
                      <a:avLst/>
                    </a:prstGeom>
                    <a:noFill/>
                    <a:ln w="9525">
                      <a:noFill/>
                    </a:ln>
                  </pic:spPr>
                </pic:pic>
              </a:graphicData>
            </a:graphic>
          </wp:inline>
        </w:drawing>
      </w:r>
    </w:p>
    <w:p w:rsidR="009A455B" w:rsidRPr="009A455B" w:rsidRDefault="009A455B" w:rsidP="009A455B">
      <w:pPr>
        <w:adjustRightInd w:val="0"/>
        <w:snapToGrid w:val="0"/>
        <w:spacing w:before="48" w:after="48"/>
        <w:ind w:firstLine="480"/>
      </w:pPr>
      <w:r w:rsidRPr="009A455B">
        <w:t>式中：</w:t>
      </w:r>
      <w:r w:rsidRPr="009A455B">
        <w:rPr>
          <w:i/>
        </w:rPr>
        <w:t>pH</w:t>
      </w:r>
      <w:r w:rsidRPr="009A455B">
        <w:rPr>
          <w:i/>
          <w:vertAlign w:val="subscript"/>
        </w:rPr>
        <w:t>sd</w:t>
      </w:r>
      <w:r w:rsidRPr="009A455B">
        <w:t>——</w:t>
      </w:r>
      <w:r w:rsidRPr="009A455B">
        <w:t>地面水水质标准中规定的</w:t>
      </w:r>
      <w:r w:rsidRPr="009A455B">
        <w:t>pH</w:t>
      </w:r>
      <w:r w:rsidRPr="009A455B">
        <w:t>值下限</w:t>
      </w:r>
    </w:p>
    <w:p w:rsidR="009A455B" w:rsidRPr="009A455B" w:rsidRDefault="009A455B" w:rsidP="009A455B">
      <w:pPr>
        <w:adjustRightInd w:val="0"/>
        <w:snapToGrid w:val="0"/>
        <w:spacing w:before="48" w:after="48"/>
        <w:ind w:left="780" w:firstLine="480"/>
      </w:pPr>
      <w:r w:rsidRPr="009A455B">
        <w:rPr>
          <w:i/>
        </w:rPr>
        <w:t>pH</w:t>
      </w:r>
      <w:r w:rsidRPr="009A455B">
        <w:rPr>
          <w:i/>
          <w:vertAlign w:val="subscript"/>
        </w:rPr>
        <w:t>su</w:t>
      </w:r>
      <w:r w:rsidRPr="009A455B">
        <w:t>——</w:t>
      </w:r>
      <w:r w:rsidRPr="009A455B">
        <w:t>地面水水质标准中规定的</w:t>
      </w:r>
      <w:r w:rsidRPr="009A455B">
        <w:t>pH</w:t>
      </w:r>
      <w:r w:rsidRPr="009A455B">
        <w:t>值上限</w:t>
      </w:r>
    </w:p>
    <w:p w:rsidR="002E08AB" w:rsidRPr="009A455B" w:rsidRDefault="009A455B" w:rsidP="002048C8">
      <w:pPr>
        <w:ind w:firstLine="480"/>
      </w:pPr>
      <w:r>
        <w:rPr>
          <w:rFonts w:hint="eastAsia"/>
        </w:rPr>
        <w:t>（</w:t>
      </w:r>
      <w:r>
        <w:rPr>
          <w:rFonts w:hint="eastAsia"/>
        </w:rPr>
        <w:t>6</w:t>
      </w:r>
      <w:r>
        <w:rPr>
          <w:rFonts w:hint="eastAsia"/>
        </w:rPr>
        <w:t>）检测结果分析</w:t>
      </w:r>
    </w:p>
    <w:p w:rsidR="002E08AB" w:rsidRDefault="009A455B" w:rsidP="002048C8">
      <w:pPr>
        <w:ind w:firstLine="480"/>
      </w:pPr>
      <w:r>
        <w:rPr>
          <w:rFonts w:hint="eastAsia"/>
        </w:rPr>
        <w:t>地下水环境质量现状监测评价结果如下表所示：</w:t>
      </w:r>
    </w:p>
    <w:p w:rsidR="009A455B" w:rsidRPr="009A455B" w:rsidRDefault="009A455B" w:rsidP="009A455B">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7</w:t>
      </w:r>
      <w:r w:rsidR="00A524F9">
        <w:fldChar w:fldCharType="end"/>
      </w:r>
      <w:r>
        <w:rPr>
          <w:rFonts w:hint="eastAsia"/>
        </w:rPr>
        <w:t xml:space="preserve">  </w:t>
      </w:r>
      <w:r>
        <w:rPr>
          <w:rFonts w:hint="eastAsia"/>
        </w:rPr>
        <w:t>地下水水位检测结果一览表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806"/>
        <w:gridCol w:w="1431"/>
      </w:tblGrid>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bCs/>
                <w:sz w:val="21"/>
              </w:rPr>
            </w:pPr>
            <w:r w:rsidRPr="00250583">
              <w:rPr>
                <w:bCs/>
                <w:sz w:val="21"/>
              </w:rPr>
              <w:t>采样点位</w:t>
            </w:r>
          </w:p>
        </w:tc>
        <w:tc>
          <w:tcPr>
            <w:tcW w:w="2233" w:type="pct"/>
            <w:vAlign w:val="center"/>
            <w:hideMark/>
          </w:tcPr>
          <w:p w:rsidR="00250583" w:rsidRPr="00250583" w:rsidRDefault="00250583" w:rsidP="00250583">
            <w:pPr>
              <w:spacing w:line="240" w:lineRule="auto"/>
              <w:ind w:firstLineChars="0" w:firstLine="0"/>
              <w:jc w:val="center"/>
              <w:rPr>
                <w:bCs/>
                <w:sz w:val="21"/>
              </w:rPr>
            </w:pPr>
            <w:r w:rsidRPr="00250583">
              <w:rPr>
                <w:bCs/>
                <w:sz w:val="21"/>
              </w:rPr>
              <w:t>坐标</w:t>
            </w:r>
          </w:p>
        </w:tc>
        <w:tc>
          <w:tcPr>
            <w:tcW w:w="840" w:type="pct"/>
            <w:vAlign w:val="center"/>
            <w:hideMark/>
          </w:tcPr>
          <w:p w:rsidR="00250583" w:rsidRPr="00250583" w:rsidRDefault="00250583" w:rsidP="00250583">
            <w:pPr>
              <w:spacing w:line="240" w:lineRule="auto"/>
              <w:ind w:firstLineChars="0" w:firstLine="0"/>
              <w:jc w:val="center"/>
              <w:rPr>
                <w:bCs/>
                <w:sz w:val="21"/>
              </w:rPr>
            </w:pPr>
            <w:r w:rsidRPr="00250583">
              <w:rPr>
                <w:bCs/>
                <w:sz w:val="21"/>
              </w:rPr>
              <w:t>水位</w:t>
            </w:r>
            <w:r w:rsidR="00E97427">
              <w:rPr>
                <w:bCs/>
                <w:sz w:val="21"/>
              </w:rPr>
              <w:t>（</w:t>
            </w:r>
            <w:r w:rsidRPr="00250583">
              <w:rPr>
                <w:bCs/>
                <w:sz w:val="21"/>
              </w:rPr>
              <w:t>m</w:t>
            </w:r>
            <w:r w:rsidR="00E97427">
              <w:rPr>
                <w:bCs/>
                <w:sz w:val="21"/>
              </w:rPr>
              <w:t>）</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w:t>
            </w:r>
            <w:r w:rsidRPr="00250583">
              <w:rPr>
                <w:sz w:val="21"/>
              </w:rPr>
              <w:t>#</w:t>
            </w:r>
            <w:r w:rsidR="00E97427">
              <w:rPr>
                <w:sz w:val="21"/>
              </w:rPr>
              <w:t>（</w:t>
            </w:r>
            <w:r w:rsidRPr="00250583">
              <w:rPr>
                <w:rFonts w:ascii="宋体" w:hAnsi="宋体"/>
                <w:sz w:val="21"/>
              </w:rPr>
              <w:t>青龙口</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N3</w:t>
            </w:r>
            <w:r w:rsidRPr="00250583">
              <w:rPr>
                <w:rFonts w:hint="eastAsia"/>
                <w:sz w:val="21"/>
              </w:rPr>
              <w:t>1</w:t>
            </w:r>
            <w:r w:rsidRPr="00250583">
              <w:rPr>
                <w:sz w:val="21"/>
              </w:rPr>
              <w:t>°25′</w:t>
            </w:r>
            <w:r w:rsidRPr="00250583">
              <w:rPr>
                <w:rFonts w:hint="eastAsia"/>
                <w:sz w:val="21"/>
              </w:rPr>
              <w:t>16.50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31.92</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1260.2</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2</w:t>
            </w:r>
            <w:r w:rsidRPr="00250583">
              <w:rPr>
                <w:sz w:val="21"/>
              </w:rPr>
              <w:t>#</w:t>
            </w:r>
            <w:r w:rsidR="00E97427">
              <w:rPr>
                <w:sz w:val="21"/>
              </w:rPr>
              <w:t>（</w:t>
            </w:r>
            <w:r w:rsidRPr="00250583">
              <w:rPr>
                <w:rFonts w:ascii="宋体" w:hAnsi="宋体"/>
                <w:sz w:val="21"/>
              </w:rPr>
              <w:t>刘家沟</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25</w:t>
            </w:r>
            <w:r w:rsidRPr="00250583">
              <w:rPr>
                <w:sz w:val="21"/>
              </w:rPr>
              <w:t>′</w:t>
            </w:r>
            <w:r w:rsidRPr="00250583">
              <w:rPr>
                <w:rFonts w:hint="eastAsia"/>
                <w:sz w:val="21"/>
              </w:rPr>
              <w:t>07.40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25.55</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1144.8</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3</w:t>
            </w:r>
            <w:r w:rsidRPr="00250583">
              <w:rPr>
                <w:sz w:val="21"/>
              </w:rPr>
              <w:t>#</w:t>
            </w:r>
            <w:r w:rsidR="00E97427">
              <w:rPr>
                <w:sz w:val="21"/>
              </w:rPr>
              <w:t>（</w:t>
            </w:r>
            <w:r w:rsidRPr="00250583">
              <w:rPr>
                <w:rFonts w:ascii="宋体" w:hAnsi="宋体"/>
                <w:sz w:val="21"/>
              </w:rPr>
              <w:t>石柱埫点位</w:t>
            </w:r>
            <w:r w:rsidRPr="00250583">
              <w:rPr>
                <w:sz w:val="21"/>
              </w:rPr>
              <w:t xml:space="preserve">1 </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25</w:t>
            </w:r>
            <w:r w:rsidRPr="00250583">
              <w:rPr>
                <w:sz w:val="21"/>
              </w:rPr>
              <w:t>′</w:t>
            </w:r>
            <w:r w:rsidRPr="00250583">
              <w:rPr>
                <w:rFonts w:hint="eastAsia"/>
                <w:sz w:val="21"/>
              </w:rPr>
              <w:t>06.97</w:t>
            </w:r>
            <w:r w:rsidRPr="00250583">
              <w:rPr>
                <w:sz w:val="21"/>
              </w:rPr>
              <w:t>′′E11</w:t>
            </w:r>
            <w:r w:rsidRPr="00250583">
              <w:rPr>
                <w:rFonts w:hint="eastAsia"/>
                <w:sz w:val="21"/>
              </w:rPr>
              <w:t>1</w:t>
            </w:r>
            <w:r w:rsidRPr="00250583">
              <w:rPr>
                <w:sz w:val="21"/>
              </w:rPr>
              <w:t>°</w:t>
            </w:r>
            <w:r w:rsidRPr="00250583">
              <w:rPr>
                <w:rFonts w:hint="eastAsia"/>
                <w:sz w:val="21"/>
              </w:rPr>
              <w:t>1</w:t>
            </w:r>
            <w:r w:rsidRPr="00250583">
              <w:rPr>
                <w:sz w:val="21"/>
              </w:rPr>
              <w:t>′</w:t>
            </w:r>
            <w:r w:rsidRPr="00250583">
              <w:rPr>
                <w:rFonts w:hint="eastAsia"/>
                <w:sz w:val="21"/>
              </w:rPr>
              <w:t>33.76</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1236.1</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4</w:t>
            </w:r>
            <w:r w:rsidRPr="00250583">
              <w:rPr>
                <w:sz w:val="21"/>
              </w:rPr>
              <w:t>#</w:t>
            </w:r>
            <w:r w:rsidR="00E97427">
              <w:rPr>
                <w:sz w:val="21"/>
              </w:rPr>
              <w:t>（</w:t>
            </w:r>
            <w:r w:rsidRPr="00250583">
              <w:rPr>
                <w:rFonts w:ascii="宋体" w:hAnsi="宋体"/>
                <w:sz w:val="21"/>
              </w:rPr>
              <w:t>坝址处</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48.44</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38.14</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817.8</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5</w:t>
            </w:r>
            <w:r w:rsidRPr="00250583">
              <w:rPr>
                <w:sz w:val="21"/>
              </w:rPr>
              <w:t>#</w:t>
            </w:r>
            <w:r w:rsidR="00E97427">
              <w:rPr>
                <w:sz w:val="21"/>
              </w:rPr>
              <w:t>（</w:t>
            </w:r>
            <w:r w:rsidRPr="00250583">
              <w:rPr>
                <w:rFonts w:ascii="宋体" w:hAnsi="宋体"/>
                <w:sz w:val="21"/>
              </w:rPr>
              <w:t>古家砭点位</w:t>
            </w:r>
            <w:r w:rsidRPr="00250583">
              <w:rPr>
                <w:sz w:val="21"/>
              </w:rPr>
              <w:t xml:space="preserve">1 </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19.12</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35.03</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432.3</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6</w:t>
            </w:r>
            <w:r w:rsidRPr="00250583">
              <w:rPr>
                <w:sz w:val="21"/>
              </w:rPr>
              <w:t>#</w:t>
            </w:r>
            <w:r w:rsidR="00E97427">
              <w:rPr>
                <w:sz w:val="21"/>
              </w:rPr>
              <w:t>（</w:t>
            </w:r>
            <w:r w:rsidRPr="00250583">
              <w:rPr>
                <w:rFonts w:ascii="宋体" w:hAnsi="宋体"/>
                <w:sz w:val="21"/>
              </w:rPr>
              <w:t>淹没区山谷</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57.78</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41.36</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1115.2</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7</w:t>
            </w:r>
            <w:r w:rsidRPr="00250583">
              <w:rPr>
                <w:sz w:val="21"/>
              </w:rPr>
              <w:t>#</w:t>
            </w:r>
            <w:r w:rsidR="00E97427">
              <w:rPr>
                <w:sz w:val="21"/>
              </w:rPr>
              <w:t>（</w:t>
            </w:r>
            <w:r w:rsidRPr="00250583">
              <w:rPr>
                <w:rFonts w:ascii="宋体" w:hAnsi="宋体"/>
                <w:sz w:val="21"/>
              </w:rPr>
              <w:t>石柱埫点位</w:t>
            </w:r>
            <w:r w:rsidRPr="00250583">
              <w:rPr>
                <w:sz w:val="21"/>
              </w:rPr>
              <w:t>2</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58.86</w:t>
            </w:r>
            <w:r w:rsidRPr="00250583">
              <w:rPr>
                <w:sz w:val="21"/>
              </w:rPr>
              <w:t>′′E11</w:t>
            </w:r>
            <w:r w:rsidRPr="00250583">
              <w:rPr>
                <w:rFonts w:hint="eastAsia"/>
                <w:sz w:val="21"/>
              </w:rPr>
              <w:t>1</w:t>
            </w:r>
            <w:r w:rsidRPr="00250583">
              <w:rPr>
                <w:sz w:val="21"/>
              </w:rPr>
              <w:t>°</w:t>
            </w:r>
            <w:r w:rsidRPr="00250583">
              <w:rPr>
                <w:rFonts w:hint="eastAsia"/>
                <w:sz w:val="21"/>
              </w:rPr>
              <w:t>1</w:t>
            </w:r>
            <w:r w:rsidRPr="00250583">
              <w:rPr>
                <w:sz w:val="21"/>
              </w:rPr>
              <w:t>′</w:t>
            </w:r>
            <w:r w:rsidRPr="00250583">
              <w:rPr>
                <w:rFonts w:hint="eastAsia"/>
                <w:sz w:val="21"/>
              </w:rPr>
              <w:t>21.30</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1217.0</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8</w:t>
            </w:r>
            <w:r w:rsidRPr="00250583">
              <w:rPr>
                <w:sz w:val="21"/>
              </w:rPr>
              <w:t>#</w:t>
            </w:r>
            <w:r w:rsidR="00E97427">
              <w:rPr>
                <w:sz w:val="21"/>
              </w:rPr>
              <w:t>（</w:t>
            </w:r>
            <w:r w:rsidRPr="00250583">
              <w:rPr>
                <w:rFonts w:ascii="宋体" w:hAnsi="宋体"/>
                <w:sz w:val="21"/>
              </w:rPr>
              <w:t>坝址下游</w:t>
            </w:r>
            <w:r w:rsidRPr="00250583">
              <w:rPr>
                <w:sz w:val="21"/>
              </w:rPr>
              <w:t>500m</w:t>
            </w:r>
            <w:r w:rsidRPr="00250583">
              <w:rPr>
                <w:rFonts w:ascii="宋体" w:hAnsi="宋体"/>
                <w:sz w:val="21"/>
              </w:rPr>
              <w:t>处</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30.90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56.66</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1147.8</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9</w:t>
            </w:r>
            <w:r w:rsidRPr="00250583">
              <w:rPr>
                <w:sz w:val="21"/>
              </w:rPr>
              <w:t>#</w:t>
            </w:r>
            <w:r w:rsidR="00E97427">
              <w:rPr>
                <w:sz w:val="21"/>
              </w:rPr>
              <w:t>（</w:t>
            </w:r>
            <w:r w:rsidRPr="00250583">
              <w:rPr>
                <w:rFonts w:ascii="宋体" w:hAnsi="宋体"/>
                <w:sz w:val="21"/>
              </w:rPr>
              <w:t>古家砭点位</w:t>
            </w:r>
            <w:r w:rsidRPr="00250583">
              <w:rPr>
                <w:sz w:val="21"/>
              </w:rPr>
              <w:t>2</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24</w:t>
            </w:r>
            <w:r w:rsidRPr="00250583">
              <w:rPr>
                <w:sz w:val="21"/>
              </w:rPr>
              <w:t>′</w:t>
            </w:r>
            <w:r w:rsidRPr="00250583">
              <w:rPr>
                <w:rFonts w:hint="eastAsia"/>
                <w:sz w:val="21"/>
              </w:rPr>
              <w:t>11.82</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33.91</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1293.2</w:t>
            </w:r>
          </w:p>
        </w:tc>
      </w:tr>
      <w:tr w:rsidR="00250583" w:rsidRPr="00250583" w:rsidTr="00250583">
        <w:trPr>
          <w:cantSplit/>
          <w:trHeight w:val="340"/>
          <w:jc w:val="center"/>
        </w:trPr>
        <w:tc>
          <w:tcPr>
            <w:tcW w:w="1925"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10</w:t>
            </w:r>
            <w:r w:rsidRPr="00250583">
              <w:rPr>
                <w:sz w:val="21"/>
              </w:rPr>
              <w:t>#</w:t>
            </w:r>
            <w:r w:rsidR="00E97427">
              <w:rPr>
                <w:sz w:val="21"/>
              </w:rPr>
              <w:t>（</w:t>
            </w:r>
            <w:r w:rsidRPr="00250583">
              <w:rPr>
                <w:rFonts w:ascii="宋体" w:hAnsi="宋体"/>
                <w:sz w:val="21"/>
              </w:rPr>
              <w:t>兴发矿区办公楼周边</w:t>
            </w:r>
            <w:r w:rsidR="00E97427">
              <w:rPr>
                <w:sz w:val="21"/>
              </w:rPr>
              <w:t>）</w:t>
            </w:r>
          </w:p>
        </w:tc>
        <w:tc>
          <w:tcPr>
            <w:tcW w:w="2233" w:type="pct"/>
            <w:vAlign w:val="center"/>
            <w:hideMark/>
          </w:tcPr>
          <w:p w:rsidR="00250583" w:rsidRPr="00250583" w:rsidRDefault="00250583" w:rsidP="00250583">
            <w:pPr>
              <w:spacing w:line="240" w:lineRule="auto"/>
              <w:ind w:firstLineChars="0" w:firstLine="0"/>
              <w:jc w:val="center"/>
              <w:rPr>
                <w:sz w:val="21"/>
              </w:rPr>
            </w:pPr>
            <w:r w:rsidRPr="00250583">
              <w:rPr>
                <w:sz w:val="21"/>
              </w:rPr>
              <w:t>N</w:t>
            </w:r>
            <w:r w:rsidRPr="00250583">
              <w:rPr>
                <w:rFonts w:hint="eastAsia"/>
                <w:sz w:val="21"/>
              </w:rPr>
              <w:t>31</w:t>
            </w:r>
            <w:r w:rsidRPr="00250583">
              <w:rPr>
                <w:sz w:val="21"/>
              </w:rPr>
              <w:t>°</w:t>
            </w:r>
            <w:r w:rsidRPr="00250583">
              <w:rPr>
                <w:rFonts w:hint="eastAsia"/>
                <w:sz w:val="21"/>
              </w:rPr>
              <w:t>23</w:t>
            </w:r>
            <w:r w:rsidRPr="00250583">
              <w:rPr>
                <w:sz w:val="21"/>
              </w:rPr>
              <w:t>′</w:t>
            </w:r>
            <w:r w:rsidRPr="00250583">
              <w:rPr>
                <w:rFonts w:hint="eastAsia"/>
                <w:sz w:val="21"/>
              </w:rPr>
              <w:t>59.30</w:t>
            </w:r>
            <w:r w:rsidRPr="00250583">
              <w:rPr>
                <w:sz w:val="21"/>
              </w:rPr>
              <w:t>′′E11</w:t>
            </w:r>
            <w:r w:rsidRPr="00250583">
              <w:rPr>
                <w:rFonts w:hint="eastAsia"/>
                <w:sz w:val="21"/>
              </w:rPr>
              <w:t>1</w:t>
            </w:r>
            <w:r w:rsidRPr="00250583">
              <w:rPr>
                <w:sz w:val="21"/>
              </w:rPr>
              <w:t>°</w:t>
            </w:r>
            <w:r w:rsidRPr="00250583">
              <w:rPr>
                <w:rFonts w:hint="eastAsia"/>
                <w:sz w:val="21"/>
              </w:rPr>
              <w:t>0</w:t>
            </w:r>
            <w:r w:rsidRPr="00250583">
              <w:rPr>
                <w:sz w:val="21"/>
              </w:rPr>
              <w:t>′</w:t>
            </w:r>
            <w:r w:rsidRPr="00250583">
              <w:rPr>
                <w:rFonts w:hint="eastAsia"/>
                <w:sz w:val="21"/>
              </w:rPr>
              <w:t>47.89</w:t>
            </w:r>
            <w:r w:rsidRPr="00250583">
              <w:rPr>
                <w:sz w:val="21"/>
              </w:rPr>
              <w:t>′′</w:t>
            </w:r>
          </w:p>
        </w:tc>
        <w:tc>
          <w:tcPr>
            <w:tcW w:w="840" w:type="pct"/>
            <w:vAlign w:val="center"/>
            <w:hideMark/>
          </w:tcPr>
          <w:p w:rsidR="00250583" w:rsidRPr="00250583" w:rsidRDefault="00250583" w:rsidP="00250583">
            <w:pPr>
              <w:spacing w:line="240" w:lineRule="auto"/>
              <w:ind w:firstLineChars="0" w:firstLine="0"/>
              <w:jc w:val="center"/>
              <w:rPr>
                <w:sz w:val="21"/>
              </w:rPr>
            </w:pPr>
            <w:r w:rsidRPr="00250583">
              <w:rPr>
                <w:rFonts w:hint="eastAsia"/>
                <w:sz w:val="21"/>
              </w:rPr>
              <w:t>646.9</w:t>
            </w:r>
          </w:p>
        </w:tc>
      </w:tr>
    </w:tbl>
    <w:p w:rsidR="00540ECD" w:rsidRDefault="00540ECD" w:rsidP="002048C8">
      <w:pPr>
        <w:ind w:firstLine="480"/>
        <w:sectPr w:rsidR="00540ECD">
          <w:pgSz w:w="11906" w:h="16838"/>
          <w:pgMar w:top="1440" w:right="1800" w:bottom="1440" w:left="1800" w:header="851" w:footer="992" w:gutter="0"/>
          <w:cols w:space="425"/>
          <w:docGrid w:type="lines" w:linePitch="312"/>
        </w:sectPr>
      </w:pPr>
    </w:p>
    <w:p w:rsidR="00EF37F4" w:rsidRDefault="00540ECD" w:rsidP="00540ECD">
      <w:pPr>
        <w:pStyle w:val="a3"/>
      </w:pPr>
      <w:r>
        <w:rPr>
          <w:rFonts w:hint="eastAsia"/>
        </w:rPr>
        <w:lastRenderedPageBreak/>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8</w:t>
      </w:r>
      <w:r w:rsidR="00A524F9">
        <w:fldChar w:fldCharType="end"/>
      </w:r>
      <w:r>
        <w:rPr>
          <w:rFonts w:hint="eastAsia"/>
        </w:rPr>
        <w:t xml:space="preserve">  </w:t>
      </w:r>
      <w:r>
        <w:rPr>
          <w:rFonts w:hint="eastAsia"/>
        </w:rPr>
        <w:t>地下水水质检测结果分析</w:t>
      </w:r>
    </w:p>
    <w:tbl>
      <w:tblPr>
        <w:tblW w:w="5000" w:type="pct"/>
        <w:tblLayout w:type="fixed"/>
        <w:tblLook w:val="04A0" w:firstRow="1" w:lastRow="0" w:firstColumn="1" w:lastColumn="0" w:noHBand="0" w:noVBand="1"/>
      </w:tblPr>
      <w:tblGrid>
        <w:gridCol w:w="817"/>
        <w:gridCol w:w="993"/>
        <w:gridCol w:w="567"/>
        <w:gridCol w:w="567"/>
        <w:gridCol w:w="442"/>
        <w:gridCol w:w="661"/>
        <w:gridCol w:w="740"/>
        <w:gridCol w:w="709"/>
        <w:gridCol w:w="420"/>
        <w:gridCol w:w="663"/>
        <w:gridCol w:w="901"/>
        <w:gridCol w:w="564"/>
        <w:gridCol w:w="400"/>
        <w:gridCol w:w="666"/>
        <w:gridCol w:w="780"/>
        <w:gridCol w:w="709"/>
        <w:gridCol w:w="380"/>
        <w:gridCol w:w="754"/>
        <w:gridCol w:w="709"/>
        <w:gridCol w:w="706"/>
        <w:gridCol w:w="363"/>
        <w:gridCol w:w="663"/>
      </w:tblGrid>
      <w:tr w:rsidR="00EF37F4" w:rsidRPr="00EF37F4" w:rsidTr="001B5D87">
        <w:trPr>
          <w:trHeight w:val="340"/>
        </w:trPr>
        <w:tc>
          <w:tcPr>
            <w:tcW w:w="2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bCs/>
                <w:color w:val="000000"/>
                <w:kern w:val="0"/>
                <w:sz w:val="18"/>
                <w:szCs w:val="18"/>
              </w:rPr>
            </w:pPr>
            <w:r w:rsidRPr="00EF37F4">
              <w:rPr>
                <w:rFonts w:ascii="宋体" w:hAnsi="宋体" w:cs="宋体" w:hint="eastAsia"/>
                <w:bCs/>
                <w:color w:val="000000"/>
                <w:kern w:val="0"/>
                <w:sz w:val="18"/>
                <w:szCs w:val="18"/>
              </w:rPr>
              <w:t>检测项目</w:t>
            </w:r>
          </w:p>
        </w:tc>
        <w:tc>
          <w:tcPr>
            <w:tcW w:w="3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标准值</w:t>
            </w:r>
          </w:p>
        </w:tc>
        <w:tc>
          <w:tcPr>
            <w:tcW w:w="789"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bCs/>
                <w:color w:val="000000"/>
                <w:kern w:val="0"/>
                <w:sz w:val="18"/>
                <w:szCs w:val="18"/>
              </w:rPr>
            </w:pPr>
            <w:r w:rsidRPr="00EF37F4">
              <w:rPr>
                <w:bCs/>
                <w:color w:val="000000"/>
                <w:kern w:val="0"/>
                <w:sz w:val="18"/>
                <w:szCs w:val="18"/>
              </w:rPr>
              <w:t>1#</w:t>
            </w:r>
            <w:r w:rsidR="00E97427">
              <w:rPr>
                <w:bCs/>
                <w:color w:val="000000"/>
                <w:kern w:val="0"/>
                <w:sz w:val="18"/>
                <w:szCs w:val="18"/>
              </w:rPr>
              <w:t>（</w:t>
            </w:r>
            <w:r w:rsidRPr="00EF37F4">
              <w:rPr>
                <w:rFonts w:ascii="宋体" w:hAnsi="宋体"/>
                <w:bCs/>
                <w:color w:val="000000"/>
                <w:kern w:val="0"/>
                <w:sz w:val="18"/>
                <w:szCs w:val="18"/>
              </w:rPr>
              <w:t>青龙口</w:t>
            </w:r>
            <w:r w:rsidR="00E97427">
              <w:rPr>
                <w:bCs/>
                <w:color w:val="000000"/>
                <w:kern w:val="0"/>
                <w:sz w:val="18"/>
                <w:szCs w:val="18"/>
              </w:rPr>
              <w:t>）</w:t>
            </w:r>
          </w:p>
        </w:tc>
        <w:tc>
          <w:tcPr>
            <w:tcW w:w="893"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bCs/>
                <w:color w:val="000000"/>
                <w:kern w:val="0"/>
                <w:sz w:val="18"/>
                <w:szCs w:val="18"/>
              </w:rPr>
            </w:pPr>
            <w:r w:rsidRPr="00EF37F4">
              <w:rPr>
                <w:bCs/>
                <w:color w:val="000000"/>
                <w:kern w:val="0"/>
                <w:sz w:val="18"/>
                <w:szCs w:val="18"/>
              </w:rPr>
              <w:t>2#</w:t>
            </w:r>
            <w:r w:rsidR="00E97427">
              <w:rPr>
                <w:bCs/>
                <w:color w:val="000000"/>
                <w:kern w:val="0"/>
                <w:sz w:val="18"/>
                <w:szCs w:val="18"/>
              </w:rPr>
              <w:t>（</w:t>
            </w:r>
            <w:r w:rsidRPr="00EF37F4">
              <w:rPr>
                <w:rFonts w:ascii="宋体" w:hAnsi="宋体"/>
                <w:bCs/>
                <w:color w:val="000000"/>
                <w:kern w:val="0"/>
                <w:sz w:val="18"/>
                <w:szCs w:val="18"/>
              </w:rPr>
              <w:t>刘家沟</w:t>
            </w:r>
            <w:r w:rsidR="00E97427">
              <w:rPr>
                <w:bCs/>
                <w:color w:val="000000"/>
                <w:kern w:val="0"/>
                <w:sz w:val="18"/>
                <w:szCs w:val="18"/>
              </w:rPr>
              <w:t>）</w:t>
            </w:r>
          </w:p>
        </w:tc>
        <w:tc>
          <w:tcPr>
            <w:tcW w:w="893"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bCs/>
                <w:color w:val="000000"/>
                <w:kern w:val="0"/>
                <w:sz w:val="18"/>
                <w:szCs w:val="18"/>
              </w:rPr>
            </w:pPr>
            <w:r w:rsidRPr="00EF37F4">
              <w:rPr>
                <w:bCs/>
                <w:color w:val="000000"/>
                <w:kern w:val="0"/>
                <w:sz w:val="18"/>
                <w:szCs w:val="18"/>
              </w:rPr>
              <w:t>3#</w:t>
            </w:r>
            <w:r w:rsidR="00E97427">
              <w:rPr>
                <w:bCs/>
                <w:color w:val="000000"/>
                <w:kern w:val="0"/>
                <w:sz w:val="18"/>
                <w:szCs w:val="18"/>
              </w:rPr>
              <w:t>（</w:t>
            </w:r>
            <w:r w:rsidRPr="00EF37F4">
              <w:rPr>
                <w:rFonts w:ascii="宋体" w:hAnsi="宋体"/>
                <w:bCs/>
                <w:color w:val="000000"/>
                <w:kern w:val="0"/>
                <w:sz w:val="18"/>
                <w:szCs w:val="18"/>
              </w:rPr>
              <w:t>石柱埫点位</w:t>
            </w:r>
            <w:r w:rsidRPr="00EF37F4">
              <w:rPr>
                <w:bCs/>
                <w:color w:val="000000"/>
                <w:kern w:val="0"/>
                <w:sz w:val="18"/>
                <w:szCs w:val="18"/>
              </w:rPr>
              <w:t>1</w:t>
            </w:r>
            <w:r w:rsidR="00E97427">
              <w:rPr>
                <w:bCs/>
                <w:color w:val="000000"/>
                <w:kern w:val="0"/>
                <w:sz w:val="18"/>
                <w:szCs w:val="18"/>
              </w:rPr>
              <w:t>）</w:t>
            </w:r>
          </w:p>
        </w:tc>
        <w:tc>
          <w:tcPr>
            <w:tcW w:w="925"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bCs/>
                <w:color w:val="000000"/>
                <w:kern w:val="0"/>
                <w:sz w:val="18"/>
                <w:szCs w:val="18"/>
              </w:rPr>
            </w:pPr>
            <w:r w:rsidRPr="00EF37F4">
              <w:rPr>
                <w:bCs/>
                <w:color w:val="000000"/>
                <w:kern w:val="0"/>
                <w:sz w:val="18"/>
                <w:szCs w:val="18"/>
              </w:rPr>
              <w:t>4#</w:t>
            </w:r>
            <w:r w:rsidR="00E97427">
              <w:rPr>
                <w:bCs/>
                <w:color w:val="000000"/>
                <w:kern w:val="0"/>
                <w:sz w:val="18"/>
                <w:szCs w:val="18"/>
              </w:rPr>
              <w:t>（</w:t>
            </w:r>
            <w:r w:rsidRPr="00EF37F4">
              <w:rPr>
                <w:rFonts w:ascii="宋体" w:hAnsi="宋体"/>
                <w:bCs/>
                <w:color w:val="000000"/>
                <w:kern w:val="0"/>
                <w:sz w:val="18"/>
                <w:szCs w:val="18"/>
              </w:rPr>
              <w:t>坝址处</w:t>
            </w:r>
            <w:r w:rsidR="00E97427">
              <w:rPr>
                <w:bCs/>
                <w:color w:val="000000"/>
                <w:kern w:val="0"/>
                <w:sz w:val="18"/>
                <w:szCs w:val="18"/>
              </w:rPr>
              <w:t>）</w:t>
            </w:r>
          </w:p>
        </w:tc>
        <w:tc>
          <w:tcPr>
            <w:tcW w:w="861"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bCs/>
                <w:color w:val="000000"/>
                <w:kern w:val="0"/>
                <w:sz w:val="18"/>
                <w:szCs w:val="18"/>
              </w:rPr>
            </w:pPr>
            <w:r w:rsidRPr="00EF37F4">
              <w:rPr>
                <w:bCs/>
                <w:color w:val="000000"/>
                <w:kern w:val="0"/>
                <w:sz w:val="18"/>
                <w:szCs w:val="18"/>
              </w:rPr>
              <w:t>5#</w:t>
            </w:r>
            <w:r w:rsidR="00E97427">
              <w:rPr>
                <w:bCs/>
                <w:color w:val="000000"/>
                <w:kern w:val="0"/>
                <w:sz w:val="18"/>
                <w:szCs w:val="18"/>
              </w:rPr>
              <w:t>（</w:t>
            </w:r>
            <w:r w:rsidRPr="00EF37F4">
              <w:rPr>
                <w:rFonts w:ascii="宋体" w:hAnsi="宋体"/>
                <w:bCs/>
                <w:color w:val="000000"/>
                <w:kern w:val="0"/>
                <w:sz w:val="18"/>
                <w:szCs w:val="18"/>
              </w:rPr>
              <w:t>古家砭点位</w:t>
            </w:r>
            <w:r w:rsidRPr="00EF37F4">
              <w:rPr>
                <w:bCs/>
                <w:color w:val="000000"/>
                <w:kern w:val="0"/>
                <w:sz w:val="18"/>
                <w:szCs w:val="18"/>
              </w:rPr>
              <w:t>1</w:t>
            </w:r>
            <w:r w:rsidR="00E97427">
              <w:rPr>
                <w:bCs/>
                <w:color w:val="000000"/>
                <w:kern w:val="0"/>
                <w:sz w:val="18"/>
                <w:szCs w:val="18"/>
              </w:rPr>
              <w:t>）</w:t>
            </w:r>
          </w:p>
        </w:tc>
      </w:tr>
      <w:tr w:rsidR="00EF37F4" w:rsidRPr="00EF37F4" w:rsidTr="001B5D87">
        <w:trPr>
          <w:trHeight w:val="340"/>
        </w:trPr>
        <w:tc>
          <w:tcPr>
            <w:tcW w:w="288" w:type="pct"/>
            <w:vMerge/>
            <w:tcBorders>
              <w:top w:val="single" w:sz="4" w:space="0" w:color="000000"/>
              <w:left w:val="single" w:sz="4" w:space="0" w:color="000000"/>
              <w:bottom w:val="single" w:sz="4" w:space="0" w:color="000000"/>
              <w:right w:val="single" w:sz="4" w:space="0" w:color="000000"/>
            </w:tcBorders>
            <w:vAlign w:val="center"/>
            <w:hideMark/>
          </w:tcPr>
          <w:p w:rsidR="00EF37F4" w:rsidRPr="00EF37F4" w:rsidRDefault="00EF37F4" w:rsidP="00EF37F4">
            <w:pPr>
              <w:widowControl/>
              <w:spacing w:line="240" w:lineRule="auto"/>
              <w:ind w:firstLineChars="0" w:firstLine="0"/>
              <w:jc w:val="left"/>
              <w:rPr>
                <w:rFonts w:ascii="宋体" w:hAnsi="宋体" w:cs="宋体"/>
                <w:bCs/>
                <w:color w:val="000000"/>
                <w:kern w:val="0"/>
                <w:sz w:val="18"/>
                <w:szCs w:val="18"/>
              </w:rPr>
            </w:pPr>
          </w:p>
        </w:tc>
        <w:tc>
          <w:tcPr>
            <w:tcW w:w="350" w:type="pct"/>
            <w:vMerge/>
            <w:tcBorders>
              <w:top w:val="single" w:sz="4" w:space="0" w:color="000000"/>
              <w:left w:val="single" w:sz="4" w:space="0" w:color="000000"/>
              <w:bottom w:val="single" w:sz="4" w:space="0" w:color="000000"/>
              <w:right w:val="single" w:sz="4" w:space="0" w:color="000000"/>
            </w:tcBorders>
            <w:vAlign w:val="center"/>
            <w:hideMark/>
          </w:tcPr>
          <w:p w:rsidR="00EF37F4" w:rsidRPr="00EF37F4" w:rsidRDefault="00EF37F4" w:rsidP="00EF37F4">
            <w:pPr>
              <w:widowControl/>
              <w:spacing w:line="240" w:lineRule="auto"/>
              <w:ind w:firstLineChars="0" w:firstLine="0"/>
              <w:jc w:val="left"/>
              <w:rPr>
                <w:rFonts w:ascii="宋体" w:hAnsi="宋体" w:cs="宋体"/>
                <w:color w:val="000000"/>
                <w:kern w:val="0"/>
                <w:sz w:val="18"/>
                <w:szCs w:val="18"/>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均值</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标准指数</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超标率</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超标倍数</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均值</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标准指数</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超标率</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超标倍数</w:t>
            </w:r>
          </w:p>
        </w:tc>
        <w:tc>
          <w:tcPr>
            <w:tcW w:w="31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均值</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标准指数</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超标率</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超标倍数</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均值</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标准指数</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超标率</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超标倍数</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均值</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标准指数</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超标率</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超标倍数</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pH</w:t>
            </w:r>
            <w:r w:rsidRPr="00EF37F4">
              <w:rPr>
                <w:rFonts w:ascii="宋体" w:hAnsi="宋体"/>
                <w:color w:val="000000"/>
                <w:kern w:val="0"/>
                <w:sz w:val="18"/>
                <w:szCs w:val="18"/>
              </w:rPr>
              <w:t>值</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6.5</w:t>
            </w:r>
            <w:r w:rsidRPr="00EF37F4">
              <w:rPr>
                <w:rFonts w:ascii="宋体" w:hAnsi="宋体"/>
                <w:color w:val="000000"/>
                <w:kern w:val="0"/>
                <w:sz w:val="18"/>
                <w:szCs w:val="18"/>
              </w:rPr>
              <w:t>～</w:t>
            </w:r>
            <w:r w:rsidRPr="00EF37F4">
              <w:rPr>
                <w:color w:val="000000"/>
                <w:kern w:val="0"/>
                <w:sz w:val="18"/>
                <w:szCs w:val="18"/>
              </w:rPr>
              <w:t>8.5</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7.26</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0.17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0.33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7.14</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0.09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7.08</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7.76</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0.51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总硬度</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450</w:t>
            </w:r>
            <w:r w:rsidR="00B61D4A">
              <w:t xml:space="preserve"> </w:t>
            </w:r>
            <w:r w:rsidR="00B61D4A" w:rsidRPr="00B61D4A">
              <w:rPr>
                <w:color w:val="000000"/>
                <w:kern w:val="0"/>
                <w:sz w:val="18"/>
                <w:szCs w:val="18"/>
              </w:rPr>
              <w:t>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175</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0.39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193</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0.43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177</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0.39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212</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0.47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135</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0.30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硫酸盐</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250</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8.4</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6.4</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9.6</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15.5</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0.06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氯化物</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250</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1.2</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0.005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1.0L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0.002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1.4</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0.006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1.0L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0.002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0.009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溶解性总固体</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1000</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275</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0.28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324</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0.32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269</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0.27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325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0.33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275</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0.28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耗氧量</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0.94</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0.31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0.74</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0.25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0.82</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0.27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0.71</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0.24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1.22</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0.41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氨氮</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0.5</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0.09</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0.18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0.11</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0.22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0.07</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0.14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0.11</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0.22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硝酸盐氮</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20</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1.8</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0.09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1.7</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0.09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0.2</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0.01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1.7</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0.09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亚硝酸盐氮</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0.004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2×10</w:t>
            </w:r>
            <w:r w:rsidRPr="00EF37F4">
              <w:rPr>
                <w:color w:val="000000"/>
                <w:kern w:val="0"/>
                <w:sz w:val="18"/>
                <w:szCs w:val="18"/>
                <w:vertAlign w:val="superscript"/>
              </w:rPr>
              <w:t>-3</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0.002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5×10</w:t>
            </w:r>
            <w:r w:rsidRPr="00EF37F4">
              <w:rPr>
                <w:color w:val="000000"/>
                <w:kern w:val="0"/>
                <w:sz w:val="18"/>
                <w:szCs w:val="18"/>
                <w:vertAlign w:val="superscript"/>
              </w:rPr>
              <w:t>-3</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0.01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0.001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8×10</w:t>
            </w:r>
            <w:r w:rsidRPr="00EF37F4">
              <w:rPr>
                <w:color w:val="000000"/>
                <w:kern w:val="0"/>
                <w:sz w:val="18"/>
                <w:szCs w:val="18"/>
                <w:vertAlign w:val="superscript"/>
              </w:rPr>
              <w:t>-3</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0.01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氟化物</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0.1</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0.07</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0.07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0.08</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0.29</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0.29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0.25</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0.25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挥发性酚类</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0.002</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氰化物</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0.05</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lastRenderedPageBreak/>
              <w:t>汞</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0.001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1.3×10</w:t>
            </w:r>
            <w:r w:rsidRPr="00EF37F4">
              <w:rPr>
                <w:color w:val="000000"/>
                <w:kern w:val="0"/>
                <w:sz w:val="18"/>
                <w:szCs w:val="18"/>
                <w:vertAlign w:val="superscript"/>
              </w:rPr>
              <w:t>-4</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8×10</w:t>
            </w:r>
            <w:r w:rsidRPr="00EF37F4">
              <w:rPr>
                <w:color w:val="000000"/>
                <w:kern w:val="0"/>
                <w:sz w:val="18"/>
                <w:szCs w:val="18"/>
                <w:vertAlign w:val="superscript"/>
              </w:rPr>
              <w:t>-5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0.08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1.1×10</w:t>
            </w:r>
            <w:r w:rsidRPr="00EF37F4">
              <w:rPr>
                <w:color w:val="000000"/>
                <w:kern w:val="0"/>
                <w:sz w:val="18"/>
                <w:szCs w:val="18"/>
                <w:vertAlign w:val="superscript"/>
              </w:rPr>
              <w:t>-4</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0.11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9×10</w:t>
            </w:r>
            <w:r w:rsidRPr="00EF37F4">
              <w:rPr>
                <w:color w:val="000000"/>
                <w:kern w:val="0"/>
                <w:sz w:val="18"/>
                <w:szCs w:val="18"/>
                <w:vertAlign w:val="superscript"/>
              </w:rPr>
              <w:t>-5</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0.09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7×10</w:t>
            </w:r>
            <w:r w:rsidRPr="00EF37F4">
              <w:rPr>
                <w:color w:val="000000"/>
                <w:kern w:val="0"/>
                <w:sz w:val="18"/>
                <w:szCs w:val="18"/>
                <w:vertAlign w:val="superscript"/>
              </w:rPr>
              <w:t>-5</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0.07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砷</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6×10</w:t>
            </w:r>
            <w:r w:rsidRPr="00EF37F4">
              <w:rPr>
                <w:color w:val="000000"/>
                <w:kern w:val="0"/>
                <w:sz w:val="18"/>
                <w:szCs w:val="18"/>
                <w:vertAlign w:val="superscript"/>
              </w:rPr>
              <w:t>-4</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0.06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3.2×10</w:t>
            </w:r>
            <w:r w:rsidRPr="00EF37F4">
              <w:rPr>
                <w:color w:val="000000"/>
                <w:kern w:val="0"/>
                <w:sz w:val="18"/>
                <w:szCs w:val="18"/>
                <w:vertAlign w:val="superscript"/>
              </w:rPr>
              <w:t>-3</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3.20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0.02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3×10</w:t>
            </w:r>
            <w:r w:rsidRPr="00EF37F4">
              <w:rPr>
                <w:color w:val="000000"/>
                <w:kern w:val="0"/>
                <w:sz w:val="18"/>
                <w:szCs w:val="18"/>
                <w:vertAlign w:val="superscript"/>
              </w:rPr>
              <w:t>-4</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0.03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六价铬</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0.05</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4×10</w:t>
            </w:r>
            <w:r w:rsidRPr="00EF37F4">
              <w:rPr>
                <w:color w:val="000000"/>
                <w:kern w:val="0"/>
                <w:sz w:val="18"/>
                <w:szCs w:val="18"/>
                <w:vertAlign w:val="superscript"/>
              </w:rPr>
              <w:t>-3</w:t>
            </w:r>
            <w:r w:rsidRPr="00EF37F4">
              <w:rPr>
                <w:color w:val="000000"/>
                <w:kern w:val="0"/>
                <w:sz w:val="18"/>
                <w:szCs w:val="18"/>
              </w:rPr>
              <w:t>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0.04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铅</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2.5×10</w:t>
            </w:r>
            <w:r w:rsidRPr="00EF37F4">
              <w:rPr>
                <w:color w:val="000000"/>
                <w:kern w:val="0"/>
                <w:sz w:val="18"/>
                <w:szCs w:val="18"/>
                <w:vertAlign w:val="superscript"/>
              </w:rPr>
              <w:t>-3</w:t>
            </w:r>
            <w:r w:rsidRPr="00EF37F4">
              <w:rPr>
                <w:color w:val="000000"/>
                <w:kern w:val="0"/>
                <w:sz w:val="18"/>
                <w:szCs w:val="18"/>
              </w:rPr>
              <w:t>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2.5×10</w:t>
            </w:r>
            <w:r w:rsidRPr="00EF37F4">
              <w:rPr>
                <w:color w:val="000000"/>
                <w:kern w:val="0"/>
                <w:sz w:val="18"/>
                <w:szCs w:val="18"/>
                <w:vertAlign w:val="superscript"/>
              </w:rPr>
              <w:t>-3</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2.5×10</w:t>
            </w:r>
            <w:r w:rsidRPr="00EF37F4">
              <w:rPr>
                <w:color w:val="000000"/>
                <w:kern w:val="0"/>
                <w:sz w:val="18"/>
                <w:szCs w:val="18"/>
                <w:vertAlign w:val="superscript"/>
              </w:rPr>
              <w:t>-3</w:t>
            </w:r>
            <w:r w:rsidRPr="00EF37F4">
              <w:rPr>
                <w:color w:val="000000"/>
                <w:kern w:val="0"/>
                <w:sz w:val="18"/>
                <w:szCs w:val="18"/>
              </w:rPr>
              <w:t>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0.13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镉</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0.005</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r w:rsidRPr="00EF37F4">
              <w:rPr>
                <w:color w:val="000000"/>
                <w:kern w:val="0"/>
                <w:sz w:val="18"/>
                <w:szCs w:val="18"/>
              </w:rPr>
              <w:t>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r w:rsidRPr="00EF37F4">
              <w:rPr>
                <w:color w:val="000000"/>
                <w:kern w:val="0"/>
                <w:sz w:val="18"/>
                <w:szCs w:val="18"/>
              </w:rPr>
              <w:t>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r w:rsidRPr="00EF37F4">
              <w:rPr>
                <w:color w:val="000000"/>
                <w:kern w:val="0"/>
                <w:sz w:val="18"/>
                <w:szCs w:val="18"/>
              </w:rPr>
              <w:t>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1×10</w:t>
            </w:r>
            <w:r w:rsidRPr="00EF37F4">
              <w:rPr>
                <w:color w:val="000000"/>
                <w:kern w:val="0"/>
                <w:sz w:val="18"/>
                <w:szCs w:val="18"/>
                <w:vertAlign w:val="superscript"/>
              </w:rPr>
              <w:t>-3</w:t>
            </w:r>
            <w:r w:rsidRPr="00EF37F4">
              <w:rPr>
                <w:color w:val="000000"/>
                <w:kern w:val="0"/>
                <w:sz w:val="18"/>
                <w:szCs w:val="18"/>
              </w:rPr>
              <w:t>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0.10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铁</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0.3</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0.28</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0.93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0.03L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0.03L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0.03L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0.03L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锰</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0.1</w:t>
            </w:r>
            <w:r w:rsidR="00B61D4A" w:rsidRPr="00B61D4A">
              <w:rPr>
                <w:color w:val="000000"/>
                <w:kern w:val="0"/>
                <w:sz w:val="18"/>
                <w:szCs w:val="18"/>
              </w:rPr>
              <w:t xml:space="preserve"> mg/L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0.01L</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0.01L</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0.01L</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0.01L</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0.05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总大肠菌群</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w:t>
            </w:r>
            <w:r w:rsidR="00B61D4A">
              <w:t xml:space="preserve"> </w:t>
            </w:r>
            <w:r w:rsidR="00B61D4A">
              <w:rPr>
                <w:color w:val="000000"/>
                <w:kern w:val="0"/>
                <w:sz w:val="18"/>
                <w:szCs w:val="18"/>
              </w:rPr>
              <w:t>MNP/</w:t>
            </w:r>
            <w:r w:rsidR="00B61D4A">
              <w:rPr>
                <w:rFonts w:hint="eastAsia"/>
                <w:color w:val="000000"/>
                <w:kern w:val="0"/>
                <w:sz w:val="18"/>
                <w:szCs w:val="18"/>
              </w:rPr>
              <w:t>100mL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0.67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0.67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0.67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0.67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0.67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r w:rsidR="00EF37F4" w:rsidRPr="00EF37F4" w:rsidTr="001B5D87">
        <w:trPr>
          <w:trHeight w:val="340"/>
        </w:trPr>
        <w:tc>
          <w:tcPr>
            <w:tcW w:w="2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rFonts w:ascii="宋体" w:hAnsi="宋体" w:cs="宋体"/>
                <w:color w:val="000000"/>
                <w:kern w:val="0"/>
                <w:sz w:val="18"/>
                <w:szCs w:val="18"/>
              </w:rPr>
            </w:pPr>
            <w:r w:rsidRPr="00EF37F4">
              <w:rPr>
                <w:rFonts w:ascii="宋体" w:hAnsi="宋体" w:cs="宋体" w:hint="eastAsia"/>
                <w:color w:val="000000"/>
                <w:kern w:val="0"/>
                <w:sz w:val="18"/>
                <w:szCs w:val="18"/>
              </w:rPr>
              <w:t>菌落总数</w:t>
            </w:r>
          </w:p>
        </w:tc>
        <w:tc>
          <w:tcPr>
            <w:tcW w:w="3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100</w:t>
            </w:r>
            <w:r w:rsidR="00B61D4A">
              <w:rPr>
                <w:rFonts w:hint="eastAsia"/>
                <w:color w:val="000000"/>
                <w:kern w:val="0"/>
                <w:sz w:val="18"/>
                <w:szCs w:val="18"/>
              </w:rPr>
              <w:t>CFU/mL</w:t>
            </w:r>
          </w:p>
        </w:tc>
        <w:tc>
          <w:tcPr>
            <w:tcW w:w="2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36</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0.36 </w:t>
            </w:r>
          </w:p>
        </w:tc>
        <w:tc>
          <w:tcPr>
            <w:tcW w:w="1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39</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0.39 </w:t>
            </w:r>
          </w:p>
        </w:tc>
        <w:tc>
          <w:tcPr>
            <w:tcW w:w="1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38</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0.38 </w:t>
            </w:r>
          </w:p>
        </w:tc>
        <w:tc>
          <w:tcPr>
            <w:tcW w:w="14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40</w:t>
            </w:r>
          </w:p>
        </w:tc>
        <w:tc>
          <w:tcPr>
            <w:tcW w:w="25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0.40 </w:t>
            </w:r>
          </w:p>
        </w:tc>
        <w:tc>
          <w:tcPr>
            <w:tcW w:w="1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6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42</w:t>
            </w:r>
          </w:p>
        </w:tc>
        <w:tc>
          <w:tcPr>
            <w:tcW w:w="24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 xml:space="preserve">0.42 </w:t>
            </w:r>
          </w:p>
        </w:tc>
        <w:tc>
          <w:tcPr>
            <w:tcW w:w="12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c>
          <w:tcPr>
            <w:tcW w:w="23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37F4" w:rsidRPr="00EF37F4" w:rsidRDefault="00EF37F4" w:rsidP="00EF37F4">
            <w:pPr>
              <w:widowControl/>
              <w:spacing w:line="240" w:lineRule="auto"/>
              <w:ind w:firstLineChars="0" w:firstLine="0"/>
              <w:jc w:val="center"/>
              <w:rPr>
                <w:color w:val="000000"/>
                <w:kern w:val="0"/>
                <w:sz w:val="18"/>
                <w:szCs w:val="18"/>
              </w:rPr>
            </w:pPr>
            <w:r w:rsidRPr="00EF37F4">
              <w:rPr>
                <w:color w:val="000000"/>
                <w:kern w:val="0"/>
                <w:sz w:val="18"/>
                <w:szCs w:val="18"/>
              </w:rPr>
              <w:t>0</w:t>
            </w:r>
          </w:p>
        </w:tc>
      </w:tr>
    </w:tbl>
    <w:p w:rsidR="00AA3C1A" w:rsidRDefault="00AA3C1A" w:rsidP="00AA3C1A">
      <w:pPr>
        <w:ind w:firstLineChars="0" w:firstLine="0"/>
      </w:pPr>
      <w:r w:rsidRPr="00AA3C1A">
        <w:rPr>
          <w:rFonts w:hint="eastAsia"/>
          <w:sz w:val="21"/>
        </w:rPr>
        <w:t>注：未检出按照检出限的一半进行评价。</w:t>
      </w:r>
    </w:p>
    <w:p w:rsidR="006E0C67" w:rsidRPr="00250583" w:rsidRDefault="006E0C67" w:rsidP="006E0C67">
      <w:pPr>
        <w:ind w:firstLine="480"/>
      </w:pPr>
      <w:r>
        <w:rPr>
          <w:rFonts w:hint="eastAsia"/>
        </w:rPr>
        <w:t>由上表可知，项目所在区域地下水能够满足《</w:t>
      </w:r>
      <w:r w:rsidRPr="00EF37F4">
        <w:rPr>
          <w:rFonts w:hint="eastAsia"/>
        </w:rPr>
        <w:t>地下水质量标准</w:t>
      </w:r>
      <w:r>
        <w:rPr>
          <w:rFonts w:hint="eastAsia"/>
        </w:rPr>
        <w:t>》（</w:t>
      </w:r>
      <w:r w:rsidRPr="00EF37F4">
        <w:t>GB/T14848-2017</w:t>
      </w:r>
      <w:r>
        <w:rPr>
          <w:rFonts w:hint="eastAsia"/>
        </w:rPr>
        <w:t>）</w:t>
      </w:r>
      <w:r w:rsidRPr="00EF37F4">
        <w:rPr>
          <w:rFonts w:hint="eastAsia"/>
        </w:rPr>
        <w:t>Ⅲ类</w:t>
      </w:r>
      <w:r>
        <w:rPr>
          <w:rFonts w:hint="eastAsia"/>
        </w:rPr>
        <w:t>标准限值，区域所在地下水水质良好。</w:t>
      </w:r>
    </w:p>
    <w:p w:rsidR="006E0C67" w:rsidRDefault="006E0C67" w:rsidP="006E0C67">
      <w:pPr>
        <w:ind w:firstLine="480"/>
      </w:pPr>
      <w:r w:rsidRPr="006E0C67">
        <w:rPr>
          <w:rFonts w:hint="eastAsia"/>
        </w:rPr>
        <w:t>根据所监测的钠、镁、钾、钙、碳酸根、重碳酸根可判断项目所在区域地下水化学类型，各元素毫克当量</w:t>
      </w:r>
      <w:r w:rsidR="00E97427">
        <w:rPr>
          <w:rFonts w:hint="eastAsia"/>
        </w:rPr>
        <w:t>（</w:t>
      </w:r>
      <w:r w:rsidRPr="006E0C67">
        <w:rPr>
          <w:rFonts w:hint="eastAsia"/>
        </w:rPr>
        <w:t>mEq/L</w:t>
      </w:r>
      <w:r w:rsidR="00E97427">
        <w:rPr>
          <w:rFonts w:hint="eastAsia"/>
        </w:rPr>
        <w:t>）</w:t>
      </w:r>
      <w:r w:rsidRPr="006E0C67">
        <w:rPr>
          <w:rFonts w:hint="eastAsia"/>
        </w:rPr>
        <w:t>=</w:t>
      </w:r>
      <w:r w:rsidRPr="006E0C67">
        <w:rPr>
          <w:rFonts w:hint="eastAsia"/>
        </w:rPr>
        <w:t>浓度</w:t>
      </w:r>
      <w:r w:rsidR="00E97427">
        <w:rPr>
          <w:rFonts w:hint="eastAsia"/>
        </w:rPr>
        <w:t>（</w:t>
      </w:r>
      <w:r w:rsidRPr="006E0C67">
        <w:rPr>
          <w:rFonts w:hint="eastAsia"/>
        </w:rPr>
        <w:t>mg/L</w:t>
      </w:r>
      <w:r w:rsidR="00E97427">
        <w:rPr>
          <w:rFonts w:hint="eastAsia"/>
        </w:rPr>
        <w:t>）</w:t>
      </w:r>
      <w:r w:rsidRPr="006E0C67">
        <w:rPr>
          <w:rFonts w:hint="eastAsia"/>
        </w:rPr>
        <w:t>×原子价</w:t>
      </w:r>
      <w:r w:rsidRPr="006E0C67">
        <w:rPr>
          <w:rFonts w:hint="eastAsia"/>
        </w:rPr>
        <w:t>/</w:t>
      </w:r>
      <w:r w:rsidRPr="006E0C67">
        <w:rPr>
          <w:rFonts w:hint="eastAsia"/>
        </w:rPr>
        <w:t>化学结构式量，各参数统计结果如下表</w:t>
      </w:r>
      <w:r>
        <w:rPr>
          <w:rFonts w:hint="eastAsia"/>
        </w:rPr>
        <w:t>所示：</w:t>
      </w:r>
    </w:p>
    <w:p w:rsidR="006E0C67" w:rsidRDefault="006E2483" w:rsidP="006E2483">
      <w:pPr>
        <w:pStyle w:val="a3"/>
      </w:pPr>
      <w:r>
        <w:rPr>
          <w:rFonts w:hint="eastAsia"/>
        </w:rPr>
        <w:lastRenderedPageBreak/>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9</w:t>
      </w:r>
      <w:r w:rsidR="00A524F9">
        <w:fldChar w:fldCharType="end"/>
      </w:r>
      <w:r>
        <w:rPr>
          <w:rFonts w:hint="eastAsia"/>
        </w:rPr>
        <w:t xml:space="preserve">  </w:t>
      </w:r>
      <w:r w:rsidRPr="006E2483">
        <w:rPr>
          <w:rFonts w:hint="eastAsia"/>
        </w:rPr>
        <w:t>地下水化学类型计算参数统计结果一览表</w:t>
      </w:r>
    </w:p>
    <w:tbl>
      <w:tblPr>
        <w:tblW w:w="5000" w:type="pct"/>
        <w:tblLayout w:type="fixed"/>
        <w:tblLook w:val="04A0" w:firstRow="1" w:lastRow="0" w:firstColumn="1" w:lastColumn="0" w:noHBand="0" w:noVBand="1"/>
      </w:tblPr>
      <w:tblGrid>
        <w:gridCol w:w="696"/>
        <w:gridCol w:w="618"/>
        <w:gridCol w:w="621"/>
        <w:gridCol w:w="873"/>
        <w:gridCol w:w="873"/>
        <w:gridCol w:w="876"/>
        <w:gridCol w:w="621"/>
        <w:gridCol w:w="746"/>
        <w:gridCol w:w="848"/>
        <w:gridCol w:w="706"/>
        <w:gridCol w:w="689"/>
        <w:gridCol w:w="876"/>
        <w:gridCol w:w="621"/>
        <w:gridCol w:w="873"/>
        <w:gridCol w:w="950"/>
        <w:gridCol w:w="873"/>
        <w:gridCol w:w="873"/>
        <w:gridCol w:w="941"/>
      </w:tblGrid>
      <w:tr w:rsidR="00FD4225" w:rsidRPr="00FD4225" w:rsidTr="00FD4225">
        <w:trPr>
          <w:trHeight w:val="340"/>
        </w:trPr>
        <w:tc>
          <w:tcPr>
            <w:tcW w:w="683"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点位</w:t>
            </w:r>
          </w:p>
        </w:tc>
        <w:tc>
          <w:tcPr>
            <w:tcW w:w="92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1#</w:t>
            </w:r>
            <w:r w:rsidR="00E97427">
              <w:rPr>
                <w:color w:val="000000"/>
                <w:kern w:val="0"/>
                <w:sz w:val="18"/>
                <w:szCs w:val="18"/>
              </w:rPr>
              <w:t>（</w:t>
            </w:r>
            <w:r w:rsidRPr="00FD4225">
              <w:rPr>
                <w:rFonts w:ascii="宋体" w:hAnsi="宋体"/>
                <w:color w:val="000000"/>
                <w:kern w:val="0"/>
                <w:sz w:val="18"/>
                <w:szCs w:val="18"/>
              </w:rPr>
              <w:t>青龙口</w:t>
            </w:r>
            <w:r w:rsidR="00E97427">
              <w:rPr>
                <w:color w:val="000000"/>
                <w:kern w:val="0"/>
                <w:sz w:val="18"/>
                <w:szCs w:val="18"/>
              </w:rPr>
              <w:t>）</w:t>
            </w:r>
          </w:p>
        </w:tc>
        <w:tc>
          <w:tcPr>
            <w:tcW w:w="78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bCs/>
                <w:color w:val="000000"/>
                <w:kern w:val="0"/>
                <w:sz w:val="18"/>
                <w:szCs w:val="18"/>
              </w:rPr>
            </w:pPr>
            <w:r w:rsidRPr="00FD4225">
              <w:rPr>
                <w:bCs/>
                <w:color w:val="000000"/>
                <w:kern w:val="0"/>
                <w:sz w:val="18"/>
                <w:szCs w:val="18"/>
              </w:rPr>
              <w:t>2#</w:t>
            </w:r>
            <w:r w:rsidR="00E97427">
              <w:rPr>
                <w:bCs/>
                <w:color w:val="000000"/>
                <w:kern w:val="0"/>
                <w:sz w:val="18"/>
                <w:szCs w:val="18"/>
              </w:rPr>
              <w:t>（</w:t>
            </w:r>
            <w:r w:rsidRPr="00FD4225">
              <w:rPr>
                <w:rFonts w:ascii="宋体" w:hAnsi="宋体"/>
                <w:bCs/>
                <w:color w:val="000000"/>
                <w:kern w:val="0"/>
                <w:sz w:val="18"/>
                <w:szCs w:val="18"/>
              </w:rPr>
              <w:t>刘家沟</w:t>
            </w:r>
            <w:r w:rsidR="00E97427">
              <w:rPr>
                <w:bCs/>
                <w:color w:val="000000"/>
                <w:kern w:val="0"/>
                <w:sz w:val="18"/>
                <w:szCs w:val="18"/>
              </w:rPr>
              <w:t>）</w:t>
            </w:r>
          </w:p>
        </w:tc>
        <w:tc>
          <w:tcPr>
            <w:tcW w:w="80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bCs/>
                <w:color w:val="000000"/>
                <w:kern w:val="0"/>
                <w:sz w:val="18"/>
                <w:szCs w:val="18"/>
              </w:rPr>
            </w:pPr>
            <w:r w:rsidRPr="00FD4225">
              <w:rPr>
                <w:bCs/>
                <w:color w:val="000000"/>
                <w:kern w:val="0"/>
                <w:sz w:val="18"/>
                <w:szCs w:val="18"/>
              </w:rPr>
              <w:t>3#</w:t>
            </w:r>
            <w:r w:rsidR="00E97427">
              <w:rPr>
                <w:bCs/>
                <w:color w:val="000000"/>
                <w:kern w:val="0"/>
                <w:sz w:val="18"/>
                <w:szCs w:val="18"/>
              </w:rPr>
              <w:t>（</w:t>
            </w:r>
            <w:r w:rsidRPr="00FD4225">
              <w:rPr>
                <w:rFonts w:ascii="宋体" w:hAnsi="宋体"/>
                <w:bCs/>
                <w:color w:val="000000"/>
                <w:kern w:val="0"/>
                <w:sz w:val="18"/>
                <w:szCs w:val="18"/>
              </w:rPr>
              <w:t>石柱埫点位</w:t>
            </w:r>
            <w:r w:rsidRPr="00FD4225">
              <w:rPr>
                <w:bCs/>
                <w:color w:val="000000"/>
                <w:kern w:val="0"/>
                <w:sz w:val="18"/>
                <w:szCs w:val="18"/>
              </w:rPr>
              <w:t>1</w:t>
            </w:r>
            <w:r w:rsidR="00E97427">
              <w:rPr>
                <w:bCs/>
                <w:color w:val="000000"/>
                <w:kern w:val="0"/>
                <w:sz w:val="18"/>
                <w:szCs w:val="18"/>
              </w:rPr>
              <w:t>）</w:t>
            </w:r>
          </w:p>
        </w:tc>
        <w:tc>
          <w:tcPr>
            <w:tcW w:w="862"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bCs/>
                <w:color w:val="000000"/>
                <w:kern w:val="0"/>
                <w:sz w:val="18"/>
                <w:szCs w:val="18"/>
              </w:rPr>
            </w:pPr>
            <w:r w:rsidRPr="00FD4225">
              <w:rPr>
                <w:bCs/>
                <w:color w:val="000000"/>
                <w:kern w:val="0"/>
                <w:sz w:val="18"/>
                <w:szCs w:val="18"/>
              </w:rPr>
              <w:t>4#</w:t>
            </w:r>
            <w:r w:rsidR="00E97427">
              <w:rPr>
                <w:bCs/>
                <w:color w:val="000000"/>
                <w:kern w:val="0"/>
                <w:sz w:val="18"/>
                <w:szCs w:val="18"/>
              </w:rPr>
              <w:t>（</w:t>
            </w:r>
            <w:r w:rsidRPr="00FD4225">
              <w:rPr>
                <w:rFonts w:ascii="宋体" w:hAnsi="宋体"/>
                <w:bCs/>
                <w:color w:val="000000"/>
                <w:kern w:val="0"/>
                <w:sz w:val="18"/>
                <w:szCs w:val="18"/>
              </w:rPr>
              <w:t>坝址处</w:t>
            </w:r>
            <w:r w:rsidR="00E97427">
              <w:rPr>
                <w:bCs/>
                <w:color w:val="000000"/>
                <w:kern w:val="0"/>
                <w:sz w:val="18"/>
                <w:szCs w:val="18"/>
              </w:rPr>
              <w:t>）</w:t>
            </w:r>
          </w:p>
        </w:tc>
        <w:tc>
          <w:tcPr>
            <w:tcW w:w="948"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bCs/>
                <w:color w:val="000000"/>
                <w:kern w:val="0"/>
                <w:sz w:val="18"/>
                <w:szCs w:val="18"/>
              </w:rPr>
            </w:pPr>
            <w:r w:rsidRPr="00FD4225">
              <w:rPr>
                <w:bCs/>
                <w:color w:val="000000"/>
                <w:kern w:val="0"/>
                <w:sz w:val="18"/>
                <w:szCs w:val="18"/>
              </w:rPr>
              <w:t>5#</w:t>
            </w:r>
            <w:r w:rsidR="00E97427">
              <w:rPr>
                <w:bCs/>
                <w:color w:val="000000"/>
                <w:kern w:val="0"/>
                <w:sz w:val="18"/>
                <w:szCs w:val="18"/>
              </w:rPr>
              <w:t>（</w:t>
            </w:r>
            <w:r w:rsidRPr="00FD4225">
              <w:rPr>
                <w:rFonts w:ascii="宋体" w:hAnsi="宋体"/>
                <w:bCs/>
                <w:color w:val="000000"/>
                <w:kern w:val="0"/>
                <w:sz w:val="18"/>
                <w:szCs w:val="18"/>
              </w:rPr>
              <w:t>古家砭点位</w:t>
            </w:r>
            <w:r w:rsidRPr="00FD4225">
              <w:rPr>
                <w:bCs/>
                <w:color w:val="000000"/>
                <w:kern w:val="0"/>
                <w:sz w:val="18"/>
                <w:szCs w:val="18"/>
              </w:rPr>
              <w:t>1</w:t>
            </w:r>
            <w:r w:rsidR="00E97427">
              <w:rPr>
                <w:bCs/>
                <w:color w:val="000000"/>
                <w:kern w:val="0"/>
                <w:sz w:val="18"/>
                <w:szCs w:val="18"/>
              </w:rPr>
              <w:t>）</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项目</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原子价</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化学结构式量</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平均值</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毫克当量百分比</w:t>
            </w:r>
            <w:r w:rsidRPr="00FD4225">
              <w:rPr>
                <w:color w:val="000000"/>
                <w:kern w:val="0"/>
                <w:sz w:val="18"/>
                <w:szCs w:val="18"/>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平均值</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毫克当量百分比</w:t>
            </w:r>
            <w:r w:rsidRPr="00FD4225">
              <w:rPr>
                <w:color w:val="000000"/>
                <w:kern w:val="0"/>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平均值</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毫克当量百分比</w:t>
            </w:r>
            <w:r w:rsidRPr="00FD4225">
              <w:rPr>
                <w:color w:val="000000"/>
                <w:kern w:val="0"/>
                <w:sz w:val="18"/>
                <w:szCs w:val="18"/>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平均值</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毫克当量百分比</w:t>
            </w:r>
            <w:r w:rsidRPr="00FD4225">
              <w:rPr>
                <w:color w:val="000000"/>
                <w:kern w:val="0"/>
                <w:sz w:val="18"/>
                <w:szCs w:val="18"/>
              </w:rPr>
              <w:t>%</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平均值</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rFonts w:ascii="宋体" w:hAnsi="宋体" w:cs="宋体"/>
                <w:color w:val="000000"/>
                <w:kern w:val="0"/>
                <w:sz w:val="18"/>
                <w:szCs w:val="18"/>
              </w:rPr>
            </w:pPr>
            <w:r w:rsidRPr="00FD4225">
              <w:rPr>
                <w:rFonts w:ascii="宋体" w:hAnsi="宋体" w:cs="宋体" w:hint="eastAsia"/>
                <w:color w:val="000000"/>
                <w:kern w:val="0"/>
                <w:sz w:val="18"/>
                <w:szCs w:val="18"/>
              </w:rPr>
              <w:t>毫克当量百分比</w:t>
            </w:r>
            <w:r w:rsidRPr="00FD4225">
              <w:rPr>
                <w:color w:val="000000"/>
                <w:kern w:val="0"/>
                <w:sz w:val="18"/>
                <w:szCs w:val="18"/>
              </w:rPr>
              <w:t>%</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K</w:t>
            </w:r>
            <w:r w:rsidRPr="00FD4225">
              <w:rPr>
                <w:color w:val="000000"/>
                <w:kern w:val="0"/>
                <w:sz w:val="18"/>
                <w:szCs w:val="18"/>
                <w:vertAlign w:val="superscript"/>
              </w:rPr>
              <w:t>+</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1</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39.1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0.48</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0.012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1.9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0.2</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0.005 </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0.7 </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1.5</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0.038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5.9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0.52</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0.013 </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1.6 </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2.54</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0.065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11.3 </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Na</w:t>
            </w:r>
            <w:r w:rsidRPr="00FD4225">
              <w:rPr>
                <w:color w:val="000000"/>
                <w:kern w:val="0"/>
                <w:sz w:val="18"/>
                <w:szCs w:val="18"/>
                <w:vertAlign w:val="superscript"/>
              </w:rPr>
              <w:t>+</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1</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23</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0.13</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0.006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0.9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0.09</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0.004 </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0.5 </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0.34</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0.015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2.3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0.21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0.009 </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1.1 </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1.01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0.044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7.6 </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Ca</w:t>
            </w:r>
            <w:r w:rsidRPr="00FD4225">
              <w:rPr>
                <w:color w:val="000000"/>
                <w:kern w:val="0"/>
                <w:sz w:val="18"/>
                <w:szCs w:val="18"/>
                <w:vertAlign w:val="superscript"/>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2</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40.08</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5.96</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0.297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46.4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6.62</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0.330 </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43.9 </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10.2</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0.509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78.2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7.04</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0.351 </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42.7 </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7.03</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0.351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61.0 </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Mg</w:t>
            </w:r>
            <w:r w:rsidRPr="00FD4225">
              <w:rPr>
                <w:color w:val="000000"/>
                <w:kern w:val="0"/>
                <w:sz w:val="18"/>
                <w:szCs w:val="18"/>
                <w:vertAlign w:val="superscript"/>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2</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24</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3.41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0.284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44.4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4.47</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0.373 </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49.5 </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0.57</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0.048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7.3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4.89</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0.408 </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49.6 </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0.89</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0.074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12.9 </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CO</w:t>
            </w:r>
            <w:r w:rsidRPr="00FD4225">
              <w:rPr>
                <w:color w:val="000000"/>
                <w:kern w:val="0"/>
                <w:sz w:val="18"/>
                <w:szCs w:val="18"/>
                <w:vertAlign w:val="subscript"/>
              </w:rPr>
              <w:t>3</w:t>
            </w:r>
            <w:r w:rsidRPr="00FD4225">
              <w:rPr>
                <w:color w:val="000000"/>
                <w:kern w:val="0"/>
                <w:sz w:val="18"/>
                <w:szCs w:val="18"/>
                <w:vertAlign w:val="superscript"/>
              </w:rPr>
              <w:t>2-</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2</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60.01</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ND</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ND</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ND</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ND</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ND</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w:t>
            </w:r>
          </w:p>
        </w:tc>
      </w:tr>
      <w:tr w:rsidR="00FD4225" w:rsidRPr="00FD4225" w:rsidTr="00FD4225">
        <w:trPr>
          <w:trHeight w:val="340"/>
        </w:trPr>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HCO</w:t>
            </w:r>
            <w:r w:rsidRPr="00FD4225">
              <w:rPr>
                <w:color w:val="000000"/>
                <w:kern w:val="0"/>
                <w:sz w:val="18"/>
                <w:szCs w:val="18"/>
                <w:vertAlign w:val="subscript"/>
              </w:rPr>
              <w:t>3</w:t>
            </w:r>
            <w:r w:rsidRPr="00FD4225">
              <w:rPr>
                <w:color w:val="000000"/>
                <w:kern w:val="0"/>
                <w:sz w:val="18"/>
                <w:szCs w:val="18"/>
                <w:vertAlign w:val="superscript"/>
              </w:rPr>
              <w:t>-</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1</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widowControl/>
              <w:spacing w:line="240" w:lineRule="auto"/>
              <w:ind w:firstLineChars="0" w:firstLine="0"/>
              <w:jc w:val="center"/>
              <w:rPr>
                <w:color w:val="000000"/>
                <w:kern w:val="0"/>
                <w:sz w:val="18"/>
                <w:szCs w:val="18"/>
              </w:rPr>
            </w:pPr>
            <w:r w:rsidRPr="00FD4225">
              <w:rPr>
                <w:color w:val="000000"/>
                <w:kern w:val="0"/>
                <w:sz w:val="18"/>
                <w:szCs w:val="18"/>
              </w:rPr>
              <w:t>61.02</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209</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0.041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6.3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263</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0.041 </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5.4 </w:t>
            </w:r>
          </w:p>
        </w:tc>
        <w:tc>
          <w:tcPr>
            <w:tcW w:w="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232</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0.041 </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6.2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269</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0.041 </w:t>
            </w:r>
          </w:p>
        </w:tc>
        <w:tc>
          <w:tcPr>
            <w:tcW w:w="3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5.0 </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177</w:t>
            </w:r>
          </w:p>
        </w:tc>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0.041 </w:t>
            </w:r>
          </w:p>
        </w:tc>
        <w:tc>
          <w:tcPr>
            <w:tcW w:w="3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4225" w:rsidRPr="00FD4225" w:rsidRDefault="00FD4225" w:rsidP="00FD4225">
            <w:pPr>
              <w:spacing w:line="240" w:lineRule="auto"/>
              <w:ind w:firstLineChars="0" w:firstLine="0"/>
              <w:jc w:val="center"/>
              <w:rPr>
                <w:color w:val="000000"/>
                <w:sz w:val="18"/>
                <w:szCs w:val="18"/>
              </w:rPr>
            </w:pPr>
            <w:r w:rsidRPr="00FD4225">
              <w:rPr>
                <w:color w:val="000000"/>
                <w:sz w:val="18"/>
                <w:szCs w:val="18"/>
              </w:rPr>
              <w:t xml:space="preserve">7.1 </w:t>
            </w:r>
          </w:p>
        </w:tc>
      </w:tr>
    </w:tbl>
    <w:p w:rsidR="006E0C67" w:rsidRDefault="00FD4225" w:rsidP="006E0C67">
      <w:pPr>
        <w:ind w:firstLine="480"/>
      </w:pPr>
      <w:r>
        <w:rPr>
          <w:rFonts w:hint="eastAsia"/>
        </w:rPr>
        <w:t>根据上表可以看出，项目所在区域地下水</w:t>
      </w:r>
      <w:r w:rsidRPr="00FD4225">
        <w:rPr>
          <w:rFonts w:hint="eastAsia"/>
        </w:rPr>
        <w:t>类型主要为重碳酸钙水型，地下水呈弱碱性。</w:t>
      </w:r>
    </w:p>
    <w:p w:rsidR="006E2483" w:rsidRDefault="00FD4225" w:rsidP="006E0C67">
      <w:pPr>
        <w:ind w:firstLine="480"/>
      </w:pPr>
      <w:r>
        <w:rPr>
          <w:rFonts w:hint="eastAsia"/>
        </w:rPr>
        <w:t>综上可知，项目所在区域地下水水质现状良好，能够满足《</w:t>
      </w:r>
      <w:r w:rsidRPr="00EF37F4">
        <w:rPr>
          <w:rFonts w:hint="eastAsia"/>
        </w:rPr>
        <w:t>地下水质量标准</w:t>
      </w:r>
      <w:r>
        <w:rPr>
          <w:rFonts w:hint="eastAsia"/>
        </w:rPr>
        <w:t>》（</w:t>
      </w:r>
      <w:r w:rsidRPr="00EF37F4">
        <w:t>GB/T14848-2017</w:t>
      </w:r>
      <w:r>
        <w:rPr>
          <w:rFonts w:hint="eastAsia"/>
        </w:rPr>
        <w:t>）</w:t>
      </w:r>
      <w:r w:rsidRPr="00EF37F4">
        <w:rPr>
          <w:rFonts w:hint="eastAsia"/>
        </w:rPr>
        <w:t>Ⅲ类</w:t>
      </w:r>
      <w:r>
        <w:rPr>
          <w:rFonts w:hint="eastAsia"/>
        </w:rPr>
        <w:t>标准限值。</w:t>
      </w:r>
    </w:p>
    <w:p w:rsidR="006E2483" w:rsidRDefault="006E2483" w:rsidP="006E0C67">
      <w:pPr>
        <w:ind w:firstLine="480"/>
      </w:pPr>
    </w:p>
    <w:p w:rsidR="006E0C67" w:rsidRPr="006E0C67" w:rsidRDefault="006E0C67" w:rsidP="006E0C67">
      <w:pPr>
        <w:ind w:firstLine="480"/>
        <w:sectPr w:rsidR="006E0C67" w:rsidRPr="006E0C67" w:rsidSect="00540ECD">
          <w:pgSz w:w="16838" w:h="11906" w:orient="landscape"/>
          <w:pgMar w:top="1800" w:right="1440" w:bottom="1800" w:left="1440" w:header="851" w:footer="992" w:gutter="0"/>
          <w:cols w:space="425"/>
          <w:docGrid w:type="lines" w:linePitch="326"/>
        </w:sectPr>
      </w:pPr>
    </w:p>
    <w:p w:rsidR="006175A6" w:rsidRDefault="009B4BA7">
      <w:pPr>
        <w:pStyle w:val="3"/>
      </w:pPr>
      <w:r>
        <w:rPr>
          <w:rFonts w:hint="eastAsia"/>
        </w:rPr>
        <w:lastRenderedPageBreak/>
        <w:t>土壤环境质量现状调查与评价</w:t>
      </w:r>
    </w:p>
    <w:p w:rsidR="006175A6" w:rsidRDefault="004E7A12">
      <w:pPr>
        <w:ind w:firstLine="480"/>
      </w:pPr>
      <w:r w:rsidRPr="004E7A12">
        <w:rPr>
          <w:rFonts w:hint="eastAsia"/>
        </w:rPr>
        <w:t>根据《土地利用现状分类》（</w:t>
      </w:r>
      <w:r w:rsidRPr="004E7A12">
        <w:rPr>
          <w:rFonts w:hint="eastAsia"/>
        </w:rPr>
        <w:t>GB/T21010-2017</w:t>
      </w:r>
      <w:r w:rsidRPr="004E7A12">
        <w:rPr>
          <w:rFonts w:hint="eastAsia"/>
        </w:rPr>
        <w:t>），水库淹没区用地性质属于农用地，水库大坝的用地性质属于建设用地。</w:t>
      </w:r>
      <w:r>
        <w:rPr>
          <w:rFonts w:hint="eastAsia"/>
        </w:rPr>
        <w:t>建设项目大坝土壤应该执行</w:t>
      </w:r>
      <w:r w:rsidRPr="004E7A12">
        <w:rPr>
          <w:rFonts w:hint="eastAsia"/>
        </w:rPr>
        <w:t>《土壤环境质量</w:t>
      </w:r>
      <w:r w:rsidRPr="004E7A12">
        <w:rPr>
          <w:rFonts w:hint="eastAsia"/>
        </w:rPr>
        <w:t xml:space="preserve"> </w:t>
      </w:r>
      <w:r w:rsidRPr="004E7A12">
        <w:rPr>
          <w:rFonts w:hint="eastAsia"/>
        </w:rPr>
        <w:t>建设用地土壤污染风险管控标准》（</w:t>
      </w:r>
      <w:r w:rsidRPr="004E7A12">
        <w:rPr>
          <w:rFonts w:hint="eastAsia"/>
        </w:rPr>
        <w:t>GB36600-2018</w:t>
      </w:r>
      <w:r w:rsidRPr="004E7A12">
        <w:rPr>
          <w:rFonts w:hint="eastAsia"/>
        </w:rPr>
        <w:t>）中第二类用地风险筛选值的要求，</w:t>
      </w:r>
      <w:r>
        <w:rPr>
          <w:rFonts w:hint="eastAsia"/>
        </w:rPr>
        <w:t>水库淹没区及其他区域应该执行</w:t>
      </w:r>
      <w:r w:rsidRPr="004E7A12">
        <w:rPr>
          <w:rFonts w:hint="eastAsia"/>
        </w:rPr>
        <w:t>《土壤环境质量</w:t>
      </w:r>
      <w:r w:rsidRPr="004E7A12">
        <w:rPr>
          <w:rFonts w:hint="eastAsia"/>
        </w:rPr>
        <w:t xml:space="preserve"> </w:t>
      </w:r>
      <w:r w:rsidRPr="004E7A12">
        <w:rPr>
          <w:rFonts w:hint="eastAsia"/>
        </w:rPr>
        <w:t>农用地土壤污染风险管控标准》（</w:t>
      </w:r>
      <w:r w:rsidRPr="004E7A12">
        <w:rPr>
          <w:rFonts w:hint="eastAsia"/>
        </w:rPr>
        <w:t>GB 15618</w:t>
      </w:r>
      <w:r w:rsidRPr="004E7A12">
        <w:rPr>
          <w:rFonts w:hint="eastAsia"/>
        </w:rPr>
        <w:t>—</w:t>
      </w:r>
      <w:r w:rsidRPr="004E7A12">
        <w:rPr>
          <w:rFonts w:hint="eastAsia"/>
        </w:rPr>
        <w:t>2018</w:t>
      </w:r>
      <w:r>
        <w:rPr>
          <w:rFonts w:hint="eastAsia"/>
        </w:rPr>
        <w:t>）中其他作物筛选值标准要求。</w:t>
      </w:r>
    </w:p>
    <w:p w:rsidR="00FD4225" w:rsidRDefault="004E7A12">
      <w:pPr>
        <w:ind w:firstLine="480"/>
      </w:pPr>
      <w:r>
        <w:rPr>
          <w:rFonts w:hint="eastAsia"/>
        </w:rPr>
        <w:t>（</w:t>
      </w:r>
      <w:r>
        <w:rPr>
          <w:rFonts w:hint="eastAsia"/>
        </w:rPr>
        <w:t>1</w:t>
      </w:r>
      <w:r>
        <w:rPr>
          <w:rFonts w:hint="eastAsia"/>
        </w:rPr>
        <w:t>）监测点位</w:t>
      </w:r>
      <w:r w:rsidR="002E33A4">
        <w:rPr>
          <w:rFonts w:hint="eastAsia"/>
        </w:rPr>
        <w:t>与监测因子</w:t>
      </w:r>
    </w:p>
    <w:p w:rsidR="00FD4225" w:rsidRPr="004E7A12" w:rsidRDefault="002E33A4">
      <w:pPr>
        <w:ind w:firstLine="480"/>
      </w:pPr>
      <w:r w:rsidRPr="002E33A4">
        <w:rPr>
          <w:rFonts w:hint="eastAsia"/>
        </w:rPr>
        <w:t>项目占地范围内（坝址处）设置</w:t>
      </w:r>
      <w:r w:rsidRPr="002E33A4">
        <w:rPr>
          <w:rFonts w:hint="eastAsia"/>
        </w:rPr>
        <w:t>1</w:t>
      </w:r>
      <w:r w:rsidRPr="002E33A4">
        <w:rPr>
          <w:rFonts w:hint="eastAsia"/>
        </w:rPr>
        <w:t>个表层样点，占地范围外（</w:t>
      </w:r>
      <w:r w:rsidRPr="002E33A4">
        <w:rPr>
          <w:rFonts w:hint="eastAsia"/>
        </w:rPr>
        <w:t>1km</w:t>
      </w:r>
      <w:r w:rsidRPr="002E33A4">
        <w:rPr>
          <w:rFonts w:hint="eastAsia"/>
        </w:rPr>
        <w:t>内）设置</w:t>
      </w:r>
      <w:r w:rsidRPr="002E33A4">
        <w:rPr>
          <w:rFonts w:hint="eastAsia"/>
        </w:rPr>
        <w:t>2</w:t>
      </w:r>
      <w:r>
        <w:rPr>
          <w:rFonts w:hint="eastAsia"/>
        </w:rPr>
        <w:t>个表层样点。</w:t>
      </w:r>
    </w:p>
    <w:p w:rsidR="00572E30" w:rsidRDefault="002E33A4" w:rsidP="002E33A4">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10</w:t>
      </w:r>
      <w:r w:rsidR="00A524F9">
        <w:fldChar w:fldCharType="end"/>
      </w:r>
      <w:r>
        <w:rPr>
          <w:rFonts w:hint="eastAsia"/>
        </w:rPr>
        <w:t xml:space="preserve">  </w:t>
      </w:r>
      <w:r w:rsidRPr="002E33A4">
        <w:rPr>
          <w:rFonts w:hint="eastAsia"/>
        </w:rPr>
        <w:t>项目土壤环境质量现状监测点位一览表</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750"/>
        <w:gridCol w:w="912"/>
        <w:gridCol w:w="1177"/>
        <w:gridCol w:w="3188"/>
      </w:tblGrid>
      <w:tr w:rsidR="002E33A4" w:rsidTr="002E33A4">
        <w:trPr>
          <w:jc w:val="center"/>
        </w:trPr>
        <w:tc>
          <w:tcPr>
            <w:tcW w:w="619" w:type="dxa"/>
            <w:tcBorders>
              <w:top w:val="single" w:sz="4" w:space="0" w:color="auto"/>
              <w:left w:val="single" w:sz="4" w:space="0" w:color="auto"/>
              <w:bottom w:val="single" w:sz="4" w:space="0" w:color="auto"/>
              <w:right w:val="single" w:sz="4" w:space="0" w:color="auto"/>
            </w:tcBorders>
            <w:vAlign w:val="center"/>
            <w:hideMark/>
          </w:tcPr>
          <w:p w:rsidR="002E33A4" w:rsidRDefault="002E33A4" w:rsidP="002E33A4">
            <w:pPr>
              <w:pStyle w:val="TableParagraph"/>
              <w:rPr>
                <w:rFonts w:ascii="Times New Roman" w:hAnsi="Times New Roman"/>
                <w:sz w:val="21"/>
                <w:szCs w:val="21"/>
              </w:rPr>
            </w:pPr>
            <w:r>
              <w:rPr>
                <w:rFonts w:ascii="Times New Roman" w:hAnsi="Times New Roman" w:hint="eastAsia"/>
                <w:sz w:val="21"/>
                <w:szCs w:val="21"/>
              </w:rPr>
              <w:t>序号</w:t>
            </w:r>
          </w:p>
        </w:tc>
        <w:tc>
          <w:tcPr>
            <w:tcW w:w="2750" w:type="dxa"/>
            <w:tcBorders>
              <w:top w:val="single" w:sz="4" w:space="0" w:color="auto"/>
              <w:left w:val="nil"/>
              <w:bottom w:val="single" w:sz="4" w:space="0" w:color="auto"/>
              <w:right w:val="single" w:sz="4" w:space="0" w:color="auto"/>
            </w:tcBorders>
            <w:vAlign w:val="center"/>
            <w:hideMark/>
          </w:tcPr>
          <w:p w:rsidR="002E33A4" w:rsidRDefault="002E33A4" w:rsidP="002E33A4">
            <w:pPr>
              <w:pStyle w:val="TableParagraph"/>
              <w:rPr>
                <w:rFonts w:ascii="Times New Roman" w:hAnsi="Times New Roman"/>
                <w:sz w:val="21"/>
                <w:szCs w:val="21"/>
              </w:rPr>
            </w:pPr>
            <w:r>
              <w:rPr>
                <w:rFonts w:ascii="Times New Roman" w:hAnsi="Times New Roman" w:hint="eastAsia"/>
                <w:sz w:val="21"/>
                <w:szCs w:val="21"/>
              </w:rPr>
              <w:t>点位位置</w:t>
            </w:r>
          </w:p>
        </w:tc>
        <w:tc>
          <w:tcPr>
            <w:tcW w:w="912" w:type="dxa"/>
            <w:tcBorders>
              <w:top w:val="single" w:sz="4" w:space="0" w:color="auto"/>
              <w:left w:val="nil"/>
              <w:bottom w:val="single" w:sz="4" w:space="0" w:color="auto"/>
              <w:right w:val="single" w:sz="4" w:space="0" w:color="auto"/>
            </w:tcBorders>
            <w:vAlign w:val="center"/>
            <w:hideMark/>
          </w:tcPr>
          <w:p w:rsidR="002E33A4" w:rsidRDefault="002E33A4" w:rsidP="002E33A4">
            <w:pPr>
              <w:pStyle w:val="TableParagraph"/>
              <w:rPr>
                <w:rFonts w:ascii="Times New Roman" w:hAnsi="Times New Roman"/>
                <w:sz w:val="21"/>
                <w:szCs w:val="21"/>
              </w:rPr>
            </w:pPr>
            <w:r>
              <w:rPr>
                <w:rFonts w:ascii="Times New Roman" w:hAnsi="Times New Roman" w:hint="eastAsia"/>
                <w:sz w:val="21"/>
                <w:szCs w:val="21"/>
              </w:rPr>
              <w:t>采样类型</w:t>
            </w:r>
          </w:p>
        </w:tc>
        <w:tc>
          <w:tcPr>
            <w:tcW w:w="1177" w:type="dxa"/>
            <w:tcBorders>
              <w:top w:val="single" w:sz="4" w:space="0" w:color="auto"/>
              <w:left w:val="nil"/>
              <w:bottom w:val="single" w:sz="4" w:space="0" w:color="auto"/>
              <w:right w:val="single" w:sz="4" w:space="0" w:color="auto"/>
            </w:tcBorders>
            <w:vAlign w:val="center"/>
            <w:hideMark/>
          </w:tcPr>
          <w:p w:rsidR="002E33A4" w:rsidRDefault="002E33A4" w:rsidP="002E33A4">
            <w:pPr>
              <w:pStyle w:val="TableParagraph"/>
              <w:rPr>
                <w:rFonts w:ascii="Times New Roman" w:hAnsi="Times New Roman"/>
                <w:sz w:val="21"/>
                <w:szCs w:val="21"/>
              </w:rPr>
            </w:pPr>
            <w:r>
              <w:rPr>
                <w:rFonts w:ascii="Times New Roman" w:hAnsi="Times New Roman" w:hint="eastAsia"/>
                <w:sz w:val="21"/>
                <w:szCs w:val="21"/>
              </w:rPr>
              <w:t>土壤深度</w:t>
            </w:r>
          </w:p>
        </w:tc>
        <w:tc>
          <w:tcPr>
            <w:tcW w:w="3188" w:type="dxa"/>
            <w:tcBorders>
              <w:top w:val="single" w:sz="4" w:space="0" w:color="auto"/>
              <w:left w:val="nil"/>
              <w:bottom w:val="single" w:sz="4" w:space="0" w:color="auto"/>
              <w:right w:val="single" w:sz="4" w:space="0" w:color="auto"/>
            </w:tcBorders>
            <w:vAlign w:val="center"/>
            <w:hideMark/>
          </w:tcPr>
          <w:p w:rsidR="002E33A4" w:rsidRDefault="002E33A4" w:rsidP="002E33A4">
            <w:pPr>
              <w:pStyle w:val="TableParagraph"/>
              <w:rPr>
                <w:rFonts w:ascii="Times New Roman" w:hAnsi="Times New Roman"/>
                <w:sz w:val="21"/>
                <w:szCs w:val="21"/>
              </w:rPr>
            </w:pPr>
            <w:r>
              <w:rPr>
                <w:rFonts w:ascii="Times New Roman" w:hAnsi="Times New Roman" w:hint="eastAsia"/>
                <w:sz w:val="21"/>
                <w:szCs w:val="21"/>
              </w:rPr>
              <w:t>监测项目</w:t>
            </w:r>
          </w:p>
        </w:tc>
      </w:tr>
      <w:tr w:rsidR="002E33A4" w:rsidTr="002E33A4">
        <w:trPr>
          <w:jc w:val="center"/>
        </w:trPr>
        <w:tc>
          <w:tcPr>
            <w:tcW w:w="619" w:type="dxa"/>
            <w:tcBorders>
              <w:top w:val="single" w:sz="4" w:space="0" w:color="auto"/>
              <w:left w:val="single" w:sz="4" w:space="0" w:color="auto"/>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hint="eastAsia"/>
                <w:sz w:val="21"/>
              </w:rPr>
              <w:t>T1</w:t>
            </w:r>
          </w:p>
        </w:tc>
        <w:tc>
          <w:tcPr>
            <w:tcW w:w="2750"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ascii="宋体" w:hAnsi="宋体" w:hint="eastAsia"/>
                <w:sz w:val="21"/>
              </w:rPr>
              <w:t>占地范围内</w:t>
            </w:r>
            <w:r>
              <w:rPr>
                <w:rFonts w:hint="eastAsia"/>
                <w:sz w:val="21"/>
              </w:rPr>
              <w:t>1#</w:t>
            </w:r>
            <w:r>
              <w:rPr>
                <w:rFonts w:ascii="宋体" w:hAnsi="宋体" w:hint="eastAsia"/>
                <w:sz w:val="21"/>
              </w:rPr>
              <w:t>点（坝址处）</w:t>
            </w:r>
          </w:p>
        </w:tc>
        <w:tc>
          <w:tcPr>
            <w:tcW w:w="912"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ascii="宋体" w:hAnsi="宋体" w:hint="eastAsia"/>
                <w:sz w:val="21"/>
              </w:rPr>
              <w:t>表层样</w:t>
            </w:r>
          </w:p>
        </w:tc>
        <w:tc>
          <w:tcPr>
            <w:tcW w:w="1177"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ascii="宋体" w:hAnsi="宋体" w:hint="eastAsia"/>
                <w:sz w:val="21"/>
              </w:rPr>
              <w:t>表层土壤（</w:t>
            </w:r>
            <w:r>
              <w:rPr>
                <w:rFonts w:hint="eastAsia"/>
                <w:sz w:val="21"/>
              </w:rPr>
              <w:t>0~0.2m</w:t>
            </w:r>
            <w:r>
              <w:rPr>
                <w:rFonts w:ascii="宋体" w:hAnsi="宋体" w:hint="eastAsia"/>
                <w:sz w:val="21"/>
              </w:rPr>
              <w:t>）</w:t>
            </w:r>
          </w:p>
        </w:tc>
        <w:tc>
          <w:tcPr>
            <w:tcW w:w="3188"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ascii="宋体" w:hAnsi="宋体" w:hint="eastAsia"/>
                <w:sz w:val="21"/>
              </w:rPr>
              <w:t>砷、镉、铬（六价）、铜、铅、汞、镍、四氯化碳、氯仿、氯甲烷、</w:t>
            </w:r>
            <w:r>
              <w:rPr>
                <w:rFonts w:hint="eastAsia"/>
                <w:sz w:val="21"/>
              </w:rPr>
              <w:t>1,1</w:t>
            </w:r>
            <w:r>
              <w:rPr>
                <w:rFonts w:ascii="宋体" w:hAnsi="宋体" w:hint="eastAsia"/>
                <w:sz w:val="21"/>
              </w:rPr>
              <w:t>二氯乙烷、</w:t>
            </w:r>
            <w:r>
              <w:rPr>
                <w:rFonts w:hint="eastAsia"/>
                <w:sz w:val="21"/>
              </w:rPr>
              <w:t>1,2-</w:t>
            </w:r>
            <w:r>
              <w:rPr>
                <w:rFonts w:ascii="宋体" w:hAnsi="宋体" w:hint="eastAsia"/>
                <w:sz w:val="21"/>
              </w:rPr>
              <w:t>二氯乙烷、</w:t>
            </w:r>
            <w:r>
              <w:rPr>
                <w:rFonts w:hint="eastAsia"/>
                <w:sz w:val="21"/>
              </w:rPr>
              <w:t>1,1-</w:t>
            </w:r>
            <w:r>
              <w:rPr>
                <w:rFonts w:ascii="宋体" w:hAnsi="宋体" w:hint="eastAsia"/>
                <w:sz w:val="21"/>
              </w:rPr>
              <w:t>二氯乙烯、顺</w:t>
            </w:r>
            <w:r>
              <w:rPr>
                <w:rFonts w:hint="eastAsia"/>
                <w:sz w:val="21"/>
              </w:rPr>
              <w:t>-1,2-</w:t>
            </w:r>
            <w:r>
              <w:rPr>
                <w:rFonts w:ascii="宋体" w:hAnsi="宋体" w:hint="eastAsia"/>
                <w:sz w:val="21"/>
              </w:rPr>
              <w:t>二氯乙烯、反</w:t>
            </w:r>
            <w:r>
              <w:rPr>
                <w:rFonts w:hint="eastAsia"/>
                <w:sz w:val="21"/>
              </w:rPr>
              <w:t>-1,2-</w:t>
            </w:r>
            <w:r>
              <w:rPr>
                <w:rFonts w:ascii="宋体" w:hAnsi="宋体" w:hint="eastAsia"/>
                <w:sz w:val="21"/>
              </w:rPr>
              <w:t>二氯乙烯、二氯甲烷、</w:t>
            </w:r>
            <w:r>
              <w:rPr>
                <w:rFonts w:hint="eastAsia"/>
                <w:sz w:val="21"/>
              </w:rPr>
              <w:t>1,1,1-</w:t>
            </w:r>
            <w:r>
              <w:rPr>
                <w:rFonts w:ascii="宋体" w:hAnsi="宋体" w:hint="eastAsia"/>
                <w:sz w:val="21"/>
              </w:rPr>
              <w:t>三氯乙烷、</w:t>
            </w:r>
            <w:r>
              <w:rPr>
                <w:rFonts w:hint="eastAsia"/>
                <w:sz w:val="21"/>
              </w:rPr>
              <w:t>1,1,2-</w:t>
            </w:r>
            <w:r>
              <w:rPr>
                <w:rFonts w:ascii="宋体" w:hAnsi="宋体" w:hint="eastAsia"/>
                <w:sz w:val="21"/>
              </w:rPr>
              <w:t>三氯乙烷、三氯乙烯、</w:t>
            </w:r>
            <w:r>
              <w:rPr>
                <w:rFonts w:hint="eastAsia"/>
                <w:sz w:val="21"/>
              </w:rPr>
              <w:t>1,2,3-</w:t>
            </w:r>
            <w:r>
              <w:rPr>
                <w:rFonts w:ascii="宋体" w:hAnsi="宋体" w:hint="eastAsia"/>
                <w:sz w:val="21"/>
              </w:rPr>
              <w:t>三氯乙烯、氯乙烯、苯、氯苯、</w:t>
            </w:r>
            <w:r>
              <w:rPr>
                <w:rFonts w:hint="eastAsia"/>
                <w:sz w:val="21"/>
              </w:rPr>
              <w:t>1,2-</w:t>
            </w:r>
            <w:r>
              <w:rPr>
                <w:rFonts w:ascii="宋体" w:hAnsi="宋体" w:hint="eastAsia"/>
                <w:sz w:val="21"/>
              </w:rPr>
              <w:t>二氯苯、</w:t>
            </w:r>
            <w:r>
              <w:rPr>
                <w:rFonts w:hint="eastAsia"/>
                <w:sz w:val="21"/>
              </w:rPr>
              <w:t>1,4-</w:t>
            </w:r>
            <w:r>
              <w:rPr>
                <w:rFonts w:ascii="宋体" w:hAnsi="宋体" w:hint="eastAsia"/>
                <w:sz w:val="21"/>
              </w:rPr>
              <w:t>二氯苯、乙苯、苯乙烯、甲苯、间二甲苯</w:t>
            </w:r>
            <w:r>
              <w:rPr>
                <w:rFonts w:hint="eastAsia"/>
                <w:sz w:val="21"/>
              </w:rPr>
              <w:t>+</w:t>
            </w:r>
            <w:r>
              <w:rPr>
                <w:rFonts w:ascii="宋体" w:hAnsi="宋体" w:hint="eastAsia"/>
                <w:sz w:val="21"/>
              </w:rPr>
              <w:t>对二甲苯、邻二甲苯、硝基苯、苯胺、</w:t>
            </w:r>
            <w:r>
              <w:rPr>
                <w:rFonts w:hint="eastAsia"/>
                <w:sz w:val="21"/>
              </w:rPr>
              <w:t>2-</w:t>
            </w:r>
            <w:r>
              <w:rPr>
                <w:rFonts w:ascii="宋体" w:hAnsi="宋体" w:hint="eastAsia"/>
                <w:sz w:val="21"/>
              </w:rPr>
              <w:t>氯酚、苯并</w:t>
            </w:r>
            <w:r>
              <w:rPr>
                <w:rFonts w:hint="eastAsia"/>
                <w:sz w:val="21"/>
              </w:rPr>
              <w:t>[a]</w:t>
            </w:r>
            <w:r>
              <w:rPr>
                <w:rFonts w:ascii="宋体" w:hAnsi="宋体" w:hint="eastAsia"/>
                <w:sz w:val="21"/>
              </w:rPr>
              <w:t>蒽、苯并</w:t>
            </w:r>
            <w:r>
              <w:rPr>
                <w:rFonts w:hint="eastAsia"/>
                <w:sz w:val="21"/>
              </w:rPr>
              <w:t>[a]</w:t>
            </w:r>
            <w:r>
              <w:rPr>
                <w:rFonts w:ascii="宋体" w:hAnsi="宋体" w:hint="eastAsia"/>
                <w:sz w:val="21"/>
              </w:rPr>
              <w:t>芘、苯并</w:t>
            </w:r>
            <w:r>
              <w:rPr>
                <w:rFonts w:hint="eastAsia"/>
                <w:sz w:val="21"/>
              </w:rPr>
              <w:t>[b]</w:t>
            </w:r>
            <w:r>
              <w:rPr>
                <w:rFonts w:ascii="宋体" w:hAnsi="宋体" w:hint="eastAsia"/>
                <w:sz w:val="21"/>
              </w:rPr>
              <w:t>荧蒽、苯并</w:t>
            </w:r>
            <w:r>
              <w:rPr>
                <w:rFonts w:hint="eastAsia"/>
                <w:sz w:val="21"/>
              </w:rPr>
              <w:t>[k]</w:t>
            </w:r>
            <w:r>
              <w:rPr>
                <w:rFonts w:ascii="宋体" w:hAnsi="宋体" w:hint="eastAsia"/>
                <w:sz w:val="21"/>
              </w:rPr>
              <w:t>荧蒽、䓛、二苯并</w:t>
            </w:r>
            <w:r>
              <w:rPr>
                <w:rFonts w:hint="eastAsia"/>
                <w:sz w:val="21"/>
              </w:rPr>
              <w:t>[a,h]</w:t>
            </w:r>
            <w:r>
              <w:rPr>
                <w:rFonts w:ascii="宋体" w:hAnsi="宋体" w:hint="eastAsia"/>
                <w:sz w:val="21"/>
              </w:rPr>
              <w:t>蒽、茚并</w:t>
            </w:r>
            <w:r>
              <w:rPr>
                <w:rFonts w:hint="eastAsia"/>
                <w:sz w:val="21"/>
              </w:rPr>
              <w:t>[1,2,3-cd]</w:t>
            </w:r>
            <w:r>
              <w:rPr>
                <w:rFonts w:ascii="宋体" w:hAnsi="宋体" w:hint="eastAsia"/>
                <w:sz w:val="21"/>
              </w:rPr>
              <w:t>芘、萘</w:t>
            </w:r>
          </w:p>
        </w:tc>
      </w:tr>
      <w:tr w:rsidR="002E33A4" w:rsidTr="002E33A4">
        <w:trPr>
          <w:jc w:val="center"/>
        </w:trPr>
        <w:tc>
          <w:tcPr>
            <w:tcW w:w="619" w:type="dxa"/>
            <w:tcBorders>
              <w:top w:val="single" w:sz="4" w:space="0" w:color="auto"/>
              <w:left w:val="single" w:sz="4" w:space="0" w:color="auto"/>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hint="eastAsia"/>
                <w:sz w:val="21"/>
              </w:rPr>
              <w:t>T2</w:t>
            </w:r>
          </w:p>
        </w:tc>
        <w:tc>
          <w:tcPr>
            <w:tcW w:w="2750"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ascii="宋体" w:hAnsi="宋体" w:hint="eastAsia"/>
                <w:sz w:val="21"/>
              </w:rPr>
              <w:t>占地范围外</w:t>
            </w:r>
            <w:r>
              <w:rPr>
                <w:rFonts w:hint="eastAsia"/>
                <w:sz w:val="21"/>
              </w:rPr>
              <w:t>2#</w:t>
            </w:r>
            <w:r>
              <w:rPr>
                <w:rFonts w:ascii="宋体" w:hAnsi="宋体" w:hint="eastAsia"/>
                <w:sz w:val="21"/>
              </w:rPr>
              <w:t>点（</w:t>
            </w:r>
            <w:r>
              <w:rPr>
                <w:rFonts w:ascii="宋体" w:hAnsi="宋体" w:hint="eastAsia"/>
                <w:bCs/>
                <w:sz w:val="21"/>
              </w:rPr>
              <w:t>石柱埫</w:t>
            </w:r>
            <w:r>
              <w:rPr>
                <w:rFonts w:ascii="宋体" w:hAnsi="宋体" w:hint="eastAsia"/>
                <w:sz w:val="21"/>
              </w:rPr>
              <w:t>）</w:t>
            </w:r>
          </w:p>
        </w:tc>
        <w:tc>
          <w:tcPr>
            <w:tcW w:w="912"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ascii="宋体" w:hAnsi="宋体" w:hint="eastAsia"/>
                <w:sz w:val="21"/>
              </w:rPr>
              <w:t>表层样</w:t>
            </w:r>
          </w:p>
        </w:tc>
        <w:tc>
          <w:tcPr>
            <w:tcW w:w="1177" w:type="dxa"/>
            <w:vMerge w:val="restart"/>
            <w:tcBorders>
              <w:top w:val="nil"/>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ascii="宋体" w:hAnsi="宋体" w:hint="eastAsia"/>
                <w:sz w:val="21"/>
              </w:rPr>
              <w:t>表层土壤（</w:t>
            </w:r>
            <w:r>
              <w:rPr>
                <w:rFonts w:hint="eastAsia"/>
                <w:sz w:val="21"/>
              </w:rPr>
              <w:t>0~0.2m</w:t>
            </w:r>
            <w:r>
              <w:rPr>
                <w:rFonts w:ascii="宋体" w:hAnsi="宋体" w:hint="eastAsia"/>
                <w:sz w:val="21"/>
              </w:rPr>
              <w:t>）</w:t>
            </w:r>
          </w:p>
        </w:tc>
        <w:tc>
          <w:tcPr>
            <w:tcW w:w="3188" w:type="dxa"/>
            <w:vMerge w:val="restart"/>
            <w:tcBorders>
              <w:top w:val="nil"/>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hint="eastAsia"/>
                <w:sz w:val="21"/>
              </w:rPr>
              <w:t>pH</w:t>
            </w:r>
            <w:r>
              <w:rPr>
                <w:rFonts w:ascii="宋体" w:hAnsi="宋体" w:hint="eastAsia"/>
                <w:sz w:val="21"/>
              </w:rPr>
              <w:t>、含盐量、镉、汞、砷、铅、铬、铜、镍、锌</w:t>
            </w:r>
          </w:p>
        </w:tc>
      </w:tr>
      <w:tr w:rsidR="002E33A4" w:rsidTr="002E33A4">
        <w:trPr>
          <w:jc w:val="center"/>
        </w:trPr>
        <w:tc>
          <w:tcPr>
            <w:tcW w:w="619" w:type="dxa"/>
            <w:tcBorders>
              <w:top w:val="single" w:sz="4" w:space="0" w:color="auto"/>
              <w:left w:val="single" w:sz="4" w:space="0" w:color="auto"/>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hint="eastAsia"/>
                <w:sz w:val="21"/>
              </w:rPr>
              <w:t>T3</w:t>
            </w:r>
          </w:p>
        </w:tc>
        <w:tc>
          <w:tcPr>
            <w:tcW w:w="2750"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r>
              <w:rPr>
                <w:rFonts w:ascii="宋体" w:hAnsi="宋体" w:hint="eastAsia"/>
                <w:sz w:val="21"/>
              </w:rPr>
              <w:t>占地范围外</w:t>
            </w:r>
            <w:r>
              <w:rPr>
                <w:rFonts w:hint="eastAsia"/>
                <w:sz w:val="21"/>
              </w:rPr>
              <w:t>3#</w:t>
            </w:r>
            <w:r>
              <w:rPr>
                <w:rFonts w:ascii="宋体" w:hAnsi="宋体" w:hint="eastAsia"/>
                <w:sz w:val="21"/>
              </w:rPr>
              <w:t>点（</w:t>
            </w:r>
            <w:r>
              <w:rPr>
                <w:rFonts w:ascii="宋体" w:hAnsi="宋体" w:hint="eastAsia"/>
                <w:bCs/>
                <w:sz w:val="21"/>
              </w:rPr>
              <w:t>古家砭</w:t>
            </w:r>
            <w:r>
              <w:rPr>
                <w:rFonts w:ascii="宋体" w:hAnsi="宋体" w:hint="eastAsia"/>
                <w:sz w:val="21"/>
              </w:rPr>
              <w:t>）</w:t>
            </w:r>
          </w:p>
        </w:tc>
        <w:tc>
          <w:tcPr>
            <w:tcW w:w="912" w:type="dxa"/>
            <w:tcBorders>
              <w:top w:val="single" w:sz="4" w:space="0" w:color="auto"/>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r>
              <w:rPr>
                <w:rFonts w:ascii="宋体" w:hAnsi="宋体" w:hint="eastAsia"/>
                <w:sz w:val="21"/>
              </w:rPr>
              <w:t>表层样</w:t>
            </w:r>
          </w:p>
        </w:tc>
        <w:tc>
          <w:tcPr>
            <w:tcW w:w="1177" w:type="dxa"/>
            <w:vMerge/>
            <w:tcBorders>
              <w:top w:val="nil"/>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Calibri" w:hAnsi="Calibri" w:cs="宋体"/>
                <w:sz w:val="21"/>
              </w:rPr>
            </w:pPr>
          </w:p>
        </w:tc>
        <w:tc>
          <w:tcPr>
            <w:tcW w:w="3188" w:type="dxa"/>
            <w:vMerge/>
            <w:tcBorders>
              <w:top w:val="nil"/>
              <w:left w:val="nil"/>
              <w:bottom w:val="single" w:sz="4" w:space="0" w:color="auto"/>
              <w:right w:val="single" w:sz="4" w:space="0" w:color="auto"/>
            </w:tcBorders>
            <w:vAlign w:val="center"/>
            <w:hideMark/>
          </w:tcPr>
          <w:p w:rsidR="002E33A4" w:rsidRDefault="002E33A4" w:rsidP="002E33A4">
            <w:pPr>
              <w:spacing w:line="240" w:lineRule="auto"/>
              <w:ind w:firstLineChars="0" w:firstLine="0"/>
              <w:jc w:val="center"/>
              <w:rPr>
                <w:rFonts w:ascii="宋体" w:hAnsi="宋体" w:cs="宋体"/>
                <w:sz w:val="21"/>
              </w:rPr>
            </w:pPr>
          </w:p>
        </w:tc>
      </w:tr>
    </w:tbl>
    <w:p w:rsidR="002E33A4" w:rsidRDefault="002E33A4" w:rsidP="002E33A4">
      <w:pPr>
        <w:ind w:firstLine="480"/>
      </w:pPr>
      <w:r>
        <w:rPr>
          <w:rFonts w:hint="eastAsia"/>
        </w:rPr>
        <w:t>（</w:t>
      </w:r>
      <w:r>
        <w:rPr>
          <w:rFonts w:hint="eastAsia"/>
        </w:rPr>
        <w:t>3</w:t>
      </w:r>
      <w:r>
        <w:rPr>
          <w:rFonts w:hint="eastAsia"/>
        </w:rPr>
        <w:t>）监测时段与频次</w:t>
      </w:r>
    </w:p>
    <w:p w:rsidR="002E33A4" w:rsidRDefault="002E33A4" w:rsidP="002E33A4">
      <w:pPr>
        <w:ind w:firstLine="480"/>
      </w:pPr>
      <w:r>
        <w:rPr>
          <w:rFonts w:hint="eastAsia"/>
        </w:rPr>
        <w:t>于</w:t>
      </w:r>
      <w:r>
        <w:rPr>
          <w:rFonts w:hint="eastAsia"/>
        </w:rPr>
        <w:t>2021</w:t>
      </w:r>
      <w:r>
        <w:rPr>
          <w:rFonts w:hint="eastAsia"/>
        </w:rPr>
        <w:t>年</w:t>
      </w:r>
      <w:r>
        <w:rPr>
          <w:rFonts w:hint="eastAsia"/>
        </w:rPr>
        <w:t>7</w:t>
      </w:r>
      <w:r>
        <w:rPr>
          <w:rFonts w:hint="eastAsia"/>
        </w:rPr>
        <w:t>月</w:t>
      </w:r>
      <w:r>
        <w:rPr>
          <w:rFonts w:hint="eastAsia"/>
        </w:rPr>
        <w:t>21</w:t>
      </w:r>
      <w:r>
        <w:rPr>
          <w:rFonts w:hint="eastAsia"/>
        </w:rPr>
        <w:t>日监测</w:t>
      </w:r>
      <w:r>
        <w:rPr>
          <w:rFonts w:hint="eastAsia"/>
        </w:rPr>
        <w:t>1</w:t>
      </w:r>
      <w:r>
        <w:rPr>
          <w:rFonts w:hint="eastAsia"/>
        </w:rPr>
        <w:t>天，一天一次。</w:t>
      </w:r>
    </w:p>
    <w:p w:rsidR="002E33A4" w:rsidRPr="002E33A4" w:rsidRDefault="002E33A4">
      <w:pPr>
        <w:ind w:firstLine="480"/>
      </w:pPr>
      <w:r>
        <w:rPr>
          <w:rFonts w:hint="eastAsia"/>
        </w:rPr>
        <w:t>（</w:t>
      </w:r>
      <w:r>
        <w:rPr>
          <w:rFonts w:hint="eastAsia"/>
        </w:rPr>
        <w:t>4</w:t>
      </w:r>
      <w:r>
        <w:rPr>
          <w:rFonts w:hint="eastAsia"/>
        </w:rPr>
        <w:t>）监测分析方法</w:t>
      </w:r>
    </w:p>
    <w:p w:rsidR="002E33A4" w:rsidRDefault="002E33A4">
      <w:pPr>
        <w:ind w:firstLine="480"/>
      </w:pPr>
      <w:r>
        <w:rPr>
          <w:rFonts w:hint="eastAsia"/>
        </w:rPr>
        <w:t>建设项目土壤监测分析方法一览表见下表：</w:t>
      </w:r>
    </w:p>
    <w:p w:rsidR="002E33A4" w:rsidRPr="002E33A4" w:rsidRDefault="002E33A4" w:rsidP="002E33A4">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11</w:t>
      </w:r>
      <w:r w:rsidR="00A524F9">
        <w:fldChar w:fldCharType="end"/>
      </w:r>
      <w:r>
        <w:rPr>
          <w:rFonts w:hint="eastAsia"/>
        </w:rPr>
        <w:t xml:space="preserve">  </w:t>
      </w:r>
      <w:r>
        <w:rPr>
          <w:rFonts w:hint="eastAsia"/>
        </w:rPr>
        <w:t>土壤监测分析方法一览表</w:t>
      </w:r>
    </w:p>
    <w:tbl>
      <w:tblPr>
        <w:tblW w:w="5000" w:type="pct"/>
        <w:tblLayout w:type="fixed"/>
        <w:tblLook w:val="04A0" w:firstRow="1" w:lastRow="0" w:firstColumn="1" w:lastColumn="0" w:noHBand="0" w:noVBand="1"/>
      </w:tblPr>
      <w:tblGrid>
        <w:gridCol w:w="673"/>
        <w:gridCol w:w="2129"/>
        <w:gridCol w:w="2410"/>
        <w:gridCol w:w="1839"/>
        <w:gridCol w:w="1471"/>
      </w:tblGrid>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检测项目</w:t>
            </w:r>
          </w:p>
        </w:tc>
        <w:tc>
          <w:tcPr>
            <w:tcW w:w="14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标准方法名称</w:t>
            </w:r>
          </w:p>
        </w:tc>
        <w:tc>
          <w:tcPr>
            <w:tcW w:w="10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检测仪器及编号</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检出限</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pH</w:t>
            </w:r>
            <w:r w:rsidRPr="00B5293B">
              <w:rPr>
                <w:rFonts w:ascii="宋体" w:hAnsi="宋体"/>
                <w:color w:val="000000"/>
                <w:kern w:val="0"/>
                <w:sz w:val="21"/>
              </w:rPr>
              <w:t>值</w:t>
            </w:r>
          </w:p>
        </w:tc>
        <w:tc>
          <w:tcPr>
            <w:tcW w:w="141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2"/>
                <w:szCs w:val="22"/>
              </w:rPr>
            </w:pPr>
            <w:r w:rsidRPr="00B5293B">
              <w:rPr>
                <w:rFonts w:ascii="宋体" w:hAnsi="宋体" w:cs="宋体" w:hint="eastAsia"/>
                <w:color w:val="000000"/>
                <w:kern w:val="0"/>
                <w:sz w:val="22"/>
                <w:szCs w:val="22"/>
              </w:rPr>
              <w:t>土壤检测</w:t>
            </w:r>
            <w:r w:rsidRPr="00B5293B">
              <w:rPr>
                <w:color w:val="000000"/>
                <w:kern w:val="0"/>
                <w:sz w:val="22"/>
                <w:szCs w:val="22"/>
              </w:rPr>
              <w:t xml:space="preserve"> </w:t>
            </w:r>
            <w:r w:rsidRPr="00B5293B">
              <w:rPr>
                <w:rFonts w:ascii="宋体" w:hAnsi="宋体" w:cs="宋体"/>
                <w:color w:val="000000"/>
                <w:kern w:val="0"/>
                <w:sz w:val="22"/>
                <w:szCs w:val="22"/>
              </w:rPr>
              <w:t>第</w:t>
            </w:r>
            <w:r w:rsidRPr="00B5293B">
              <w:rPr>
                <w:color w:val="000000"/>
                <w:kern w:val="0"/>
                <w:sz w:val="22"/>
                <w:szCs w:val="22"/>
              </w:rPr>
              <w:t>2</w:t>
            </w:r>
            <w:r w:rsidRPr="00B5293B">
              <w:rPr>
                <w:rFonts w:ascii="宋体" w:hAnsi="宋体" w:cs="宋体"/>
                <w:color w:val="000000"/>
                <w:kern w:val="0"/>
                <w:sz w:val="22"/>
                <w:szCs w:val="22"/>
              </w:rPr>
              <w:t>部分：土壤</w:t>
            </w:r>
            <w:r w:rsidRPr="00B5293B">
              <w:rPr>
                <w:color w:val="000000"/>
                <w:kern w:val="0"/>
                <w:sz w:val="22"/>
                <w:szCs w:val="22"/>
              </w:rPr>
              <w:t>pH</w:t>
            </w:r>
            <w:r w:rsidRPr="00B5293B">
              <w:rPr>
                <w:rFonts w:ascii="宋体" w:hAnsi="宋体" w:cs="宋体"/>
                <w:color w:val="000000"/>
                <w:kern w:val="0"/>
                <w:sz w:val="22"/>
                <w:szCs w:val="22"/>
              </w:rPr>
              <w:t>的测定</w:t>
            </w:r>
            <w:r w:rsidRPr="00B5293B">
              <w:rPr>
                <w:color w:val="000000"/>
                <w:kern w:val="0"/>
                <w:sz w:val="22"/>
                <w:szCs w:val="22"/>
              </w:rPr>
              <w:t xml:space="preserve">NY/T </w:t>
            </w:r>
            <w:r w:rsidRPr="00B5293B">
              <w:rPr>
                <w:color w:val="000000"/>
                <w:kern w:val="0"/>
                <w:sz w:val="22"/>
                <w:szCs w:val="22"/>
              </w:rPr>
              <w:lastRenderedPageBreak/>
              <w:t>1121.2-2006</w:t>
            </w:r>
          </w:p>
        </w:tc>
        <w:tc>
          <w:tcPr>
            <w:tcW w:w="10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2"/>
                <w:szCs w:val="22"/>
              </w:rPr>
            </w:pPr>
            <w:r w:rsidRPr="00B5293B">
              <w:rPr>
                <w:color w:val="000000"/>
                <w:kern w:val="0"/>
                <w:sz w:val="22"/>
                <w:szCs w:val="22"/>
              </w:rPr>
              <w:lastRenderedPageBreak/>
              <w:t>PHS-3C pH</w:t>
            </w:r>
            <w:r w:rsidRPr="00B5293B">
              <w:rPr>
                <w:rFonts w:ascii="宋体" w:hAnsi="宋体"/>
                <w:color w:val="000000"/>
                <w:kern w:val="0"/>
                <w:sz w:val="22"/>
                <w:szCs w:val="22"/>
              </w:rPr>
              <w:t>计</w:t>
            </w:r>
            <w:r w:rsidRPr="00B5293B">
              <w:rPr>
                <w:color w:val="000000"/>
                <w:kern w:val="0"/>
                <w:sz w:val="22"/>
                <w:szCs w:val="22"/>
              </w:rPr>
              <w:t xml:space="preserve">  </w:t>
            </w:r>
            <w:r w:rsidR="00E97427">
              <w:rPr>
                <w:color w:val="000000"/>
                <w:kern w:val="0"/>
                <w:sz w:val="22"/>
                <w:szCs w:val="22"/>
              </w:rPr>
              <w:t>（</w:t>
            </w:r>
            <w:r w:rsidRPr="00B5293B">
              <w:rPr>
                <w:color w:val="000000"/>
                <w:kern w:val="0"/>
                <w:sz w:val="22"/>
                <w:szCs w:val="22"/>
              </w:rPr>
              <w:t>QS-FX026</w:t>
            </w:r>
            <w:r w:rsidR="00E97427">
              <w:rPr>
                <w:color w:val="000000"/>
                <w:kern w:val="0"/>
                <w:sz w:val="22"/>
                <w:szCs w:val="22"/>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2"/>
                <w:szCs w:val="22"/>
              </w:rPr>
            </w:pPr>
            <w:r w:rsidRPr="00B5293B">
              <w:rPr>
                <w:rFonts w:ascii="宋体" w:hAnsi="宋体" w:cs="宋体" w:hint="eastAsia"/>
                <w:color w:val="000000"/>
                <w:kern w:val="0"/>
                <w:sz w:val="22"/>
                <w:szCs w:val="22"/>
              </w:rPr>
              <w:t>解析度：</w:t>
            </w:r>
            <w:r w:rsidRPr="00B5293B">
              <w:rPr>
                <w:color w:val="000000"/>
                <w:kern w:val="0"/>
                <w:sz w:val="22"/>
                <w:szCs w:val="22"/>
              </w:rPr>
              <w:t>0.01pH</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lastRenderedPageBreak/>
              <w:t>砷</w:t>
            </w:r>
          </w:p>
        </w:tc>
        <w:tc>
          <w:tcPr>
            <w:tcW w:w="14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2"/>
                <w:szCs w:val="22"/>
              </w:rPr>
            </w:pPr>
            <w:r w:rsidRPr="00B5293B">
              <w:rPr>
                <w:rFonts w:ascii="宋体" w:hAnsi="宋体" w:cs="宋体" w:hint="eastAsia"/>
                <w:color w:val="000000"/>
                <w:kern w:val="0"/>
                <w:sz w:val="22"/>
                <w:szCs w:val="22"/>
              </w:rPr>
              <w:t>土壤质量</w:t>
            </w:r>
            <w:r w:rsidRPr="00B5293B">
              <w:rPr>
                <w:color w:val="000000"/>
                <w:kern w:val="0"/>
                <w:sz w:val="22"/>
                <w:szCs w:val="22"/>
              </w:rPr>
              <w:t xml:space="preserve"> </w:t>
            </w:r>
            <w:r w:rsidRPr="00B5293B">
              <w:rPr>
                <w:rFonts w:ascii="宋体" w:hAnsi="宋体" w:cs="宋体"/>
                <w:color w:val="000000"/>
                <w:kern w:val="0"/>
                <w:sz w:val="22"/>
                <w:szCs w:val="22"/>
              </w:rPr>
              <w:t>总汞、总砷、总铅的测定</w:t>
            </w:r>
            <w:r w:rsidRPr="00B5293B">
              <w:rPr>
                <w:color w:val="000000"/>
                <w:kern w:val="0"/>
                <w:sz w:val="22"/>
                <w:szCs w:val="22"/>
              </w:rPr>
              <w:t xml:space="preserve"> </w:t>
            </w:r>
            <w:r w:rsidRPr="00B5293B">
              <w:rPr>
                <w:rFonts w:ascii="宋体" w:hAnsi="宋体" w:cs="宋体"/>
                <w:color w:val="000000"/>
                <w:kern w:val="0"/>
                <w:sz w:val="22"/>
                <w:szCs w:val="22"/>
              </w:rPr>
              <w:t>原子荧光法</w:t>
            </w:r>
            <w:r w:rsidRPr="00B5293B">
              <w:rPr>
                <w:color w:val="000000"/>
                <w:kern w:val="0"/>
                <w:sz w:val="22"/>
                <w:szCs w:val="22"/>
              </w:rPr>
              <w:t xml:space="preserve"> </w:t>
            </w:r>
            <w:r w:rsidRPr="00B5293B">
              <w:rPr>
                <w:rFonts w:ascii="宋体" w:hAnsi="宋体" w:cs="宋体"/>
                <w:color w:val="000000"/>
                <w:kern w:val="0"/>
                <w:sz w:val="22"/>
                <w:szCs w:val="22"/>
              </w:rPr>
              <w:t>第</w:t>
            </w:r>
            <w:r w:rsidRPr="00B5293B">
              <w:rPr>
                <w:color w:val="000000"/>
                <w:kern w:val="0"/>
                <w:sz w:val="22"/>
                <w:szCs w:val="22"/>
              </w:rPr>
              <w:t>2</w:t>
            </w:r>
            <w:r w:rsidRPr="00B5293B">
              <w:rPr>
                <w:rFonts w:ascii="宋体" w:hAnsi="宋体" w:cs="宋体"/>
                <w:color w:val="000000"/>
                <w:kern w:val="0"/>
                <w:sz w:val="22"/>
                <w:szCs w:val="22"/>
              </w:rPr>
              <w:t>部分：土壤中总砷的测定</w:t>
            </w:r>
            <w:r w:rsidRPr="00B5293B">
              <w:rPr>
                <w:color w:val="000000"/>
                <w:kern w:val="0"/>
                <w:sz w:val="22"/>
                <w:szCs w:val="22"/>
              </w:rPr>
              <w:t xml:space="preserve"> </w:t>
            </w:r>
            <w:r w:rsidRPr="00B5293B">
              <w:rPr>
                <w:color w:val="000000"/>
                <w:kern w:val="0"/>
                <w:sz w:val="22"/>
                <w:szCs w:val="22"/>
              </w:rPr>
              <w:br/>
              <w:t>GB/T 22105.2-2008</w:t>
            </w:r>
          </w:p>
        </w:tc>
        <w:tc>
          <w:tcPr>
            <w:tcW w:w="10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2"/>
                <w:szCs w:val="22"/>
              </w:rPr>
            </w:pPr>
            <w:r w:rsidRPr="00B5293B">
              <w:rPr>
                <w:color w:val="000000"/>
                <w:kern w:val="0"/>
                <w:sz w:val="22"/>
                <w:szCs w:val="22"/>
              </w:rPr>
              <w:t>AFS-2202E</w:t>
            </w:r>
            <w:r w:rsidRPr="00B5293B">
              <w:rPr>
                <w:color w:val="000000"/>
                <w:kern w:val="0"/>
                <w:sz w:val="22"/>
                <w:szCs w:val="22"/>
              </w:rPr>
              <w:br/>
            </w:r>
            <w:r w:rsidRPr="00B5293B">
              <w:rPr>
                <w:rFonts w:ascii="宋体" w:hAnsi="宋体"/>
                <w:color w:val="000000"/>
                <w:kern w:val="0"/>
                <w:sz w:val="22"/>
                <w:szCs w:val="22"/>
              </w:rPr>
              <w:t>双道原子荧光分光光度计</w:t>
            </w:r>
            <w:r w:rsidR="00E97427">
              <w:rPr>
                <w:color w:val="000000"/>
                <w:kern w:val="0"/>
                <w:sz w:val="22"/>
                <w:szCs w:val="22"/>
              </w:rPr>
              <w:t>（</w:t>
            </w:r>
            <w:r w:rsidRPr="00B5293B">
              <w:rPr>
                <w:color w:val="000000"/>
                <w:kern w:val="0"/>
                <w:sz w:val="22"/>
                <w:szCs w:val="22"/>
              </w:rPr>
              <w:t>QS-FX080</w:t>
            </w:r>
            <w:r w:rsidR="00E97427">
              <w:rPr>
                <w:color w:val="000000"/>
                <w:kern w:val="0"/>
                <w:sz w:val="22"/>
                <w:szCs w:val="22"/>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293B" w:rsidRPr="00B5293B" w:rsidRDefault="00B5293B" w:rsidP="00B5293B">
            <w:pPr>
              <w:widowControl/>
              <w:spacing w:line="240" w:lineRule="auto"/>
              <w:ind w:firstLineChars="0" w:firstLine="0"/>
              <w:jc w:val="center"/>
              <w:rPr>
                <w:color w:val="000000"/>
                <w:kern w:val="0"/>
                <w:sz w:val="22"/>
                <w:szCs w:val="22"/>
              </w:rPr>
            </w:pPr>
            <w:r w:rsidRPr="00B5293B">
              <w:rPr>
                <w:color w:val="000000"/>
                <w:kern w:val="0"/>
                <w:sz w:val="22"/>
                <w:szCs w:val="22"/>
              </w:rPr>
              <w:t>0.01mg/kg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汞</w:t>
            </w:r>
          </w:p>
        </w:tc>
        <w:tc>
          <w:tcPr>
            <w:tcW w:w="14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2"/>
                <w:szCs w:val="22"/>
              </w:rPr>
            </w:pPr>
            <w:r w:rsidRPr="00B5293B">
              <w:rPr>
                <w:rFonts w:ascii="宋体" w:hAnsi="宋体" w:cs="宋体" w:hint="eastAsia"/>
                <w:color w:val="000000"/>
                <w:kern w:val="0"/>
                <w:sz w:val="22"/>
                <w:szCs w:val="22"/>
              </w:rPr>
              <w:t>土壤质量</w:t>
            </w:r>
            <w:r w:rsidRPr="00B5293B">
              <w:rPr>
                <w:color w:val="000000"/>
                <w:kern w:val="0"/>
                <w:sz w:val="22"/>
                <w:szCs w:val="22"/>
              </w:rPr>
              <w:t xml:space="preserve"> </w:t>
            </w:r>
            <w:r w:rsidRPr="00B5293B">
              <w:rPr>
                <w:rFonts w:ascii="宋体" w:hAnsi="宋体" w:cs="宋体"/>
                <w:color w:val="000000"/>
                <w:kern w:val="0"/>
                <w:sz w:val="22"/>
                <w:szCs w:val="22"/>
              </w:rPr>
              <w:t>总汞、总砷、总铅的测定</w:t>
            </w:r>
            <w:r w:rsidRPr="00B5293B">
              <w:rPr>
                <w:color w:val="000000"/>
                <w:kern w:val="0"/>
                <w:sz w:val="22"/>
                <w:szCs w:val="22"/>
              </w:rPr>
              <w:t xml:space="preserve"> </w:t>
            </w:r>
            <w:r w:rsidRPr="00B5293B">
              <w:rPr>
                <w:rFonts w:ascii="宋体" w:hAnsi="宋体" w:cs="宋体"/>
                <w:color w:val="000000"/>
                <w:kern w:val="0"/>
                <w:sz w:val="22"/>
                <w:szCs w:val="22"/>
              </w:rPr>
              <w:t>原子荧光法</w:t>
            </w:r>
            <w:r w:rsidRPr="00B5293B">
              <w:rPr>
                <w:color w:val="000000"/>
                <w:kern w:val="0"/>
                <w:sz w:val="22"/>
                <w:szCs w:val="22"/>
              </w:rPr>
              <w:t xml:space="preserve"> </w:t>
            </w:r>
            <w:r w:rsidRPr="00B5293B">
              <w:rPr>
                <w:rFonts w:ascii="宋体" w:hAnsi="宋体" w:cs="宋体"/>
                <w:color w:val="000000"/>
                <w:kern w:val="0"/>
                <w:sz w:val="22"/>
                <w:szCs w:val="22"/>
              </w:rPr>
              <w:t>第</w:t>
            </w:r>
            <w:r w:rsidRPr="00B5293B">
              <w:rPr>
                <w:color w:val="000000"/>
                <w:kern w:val="0"/>
                <w:sz w:val="22"/>
                <w:szCs w:val="22"/>
              </w:rPr>
              <w:t>1</w:t>
            </w:r>
            <w:r w:rsidRPr="00B5293B">
              <w:rPr>
                <w:rFonts w:ascii="宋体" w:hAnsi="宋体" w:cs="宋体"/>
                <w:color w:val="000000"/>
                <w:kern w:val="0"/>
                <w:sz w:val="22"/>
                <w:szCs w:val="22"/>
              </w:rPr>
              <w:t>部分：土壤中总汞的测定</w:t>
            </w:r>
            <w:r w:rsidRPr="00B5293B">
              <w:rPr>
                <w:color w:val="000000"/>
                <w:kern w:val="0"/>
                <w:sz w:val="22"/>
                <w:szCs w:val="22"/>
              </w:rPr>
              <w:br/>
              <w:t>GB/T 22105.1-2008</w:t>
            </w: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2"/>
                <w:szCs w:val="22"/>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293B" w:rsidRPr="00B5293B" w:rsidRDefault="00B5293B" w:rsidP="00B5293B">
            <w:pPr>
              <w:widowControl/>
              <w:spacing w:line="240" w:lineRule="auto"/>
              <w:ind w:firstLineChars="0" w:firstLine="0"/>
              <w:jc w:val="center"/>
              <w:rPr>
                <w:color w:val="000000"/>
                <w:kern w:val="0"/>
                <w:sz w:val="22"/>
                <w:szCs w:val="22"/>
              </w:rPr>
            </w:pPr>
            <w:r w:rsidRPr="00B5293B">
              <w:rPr>
                <w:color w:val="000000"/>
                <w:kern w:val="0"/>
                <w:sz w:val="22"/>
                <w:szCs w:val="22"/>
              </w:rPr>
              <w:t>2×10-</w:t>
            </w:r>
            <w:r w:rsidRPr="00B5293B">
              <w:rPr>
                <w:color w:val="000000"/>
                <w:kern w:val="0"/>
                <w:sz w:val="22"/>
                <w:szCs w:val="22"/>
                <w:vertAlign w:val="superscript"/>
              </w:rPr>
              <w:t>3</w:t>
            </w:r>
            <w:r w:rsidRPr="00B5293B">
              <w:rPr>
                <w:color w:val="000000"/>
                <w:kern w:val="0"/>
                <w:sz w:val="22"/>
                <w:szCs w:val="22"/>
              </w:rPr>
              <w:t>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镉</w:t>
            </w:r>
          </w:p>
        </w:tc>
        <w:tc>
          <w:tcPr>
            <w:tcW w:w="14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土壤质量</w:t>
            </w:r>
            <w:r w:rsidRPr="00B5293B">
              <w:rPr>
                <w:color w:val="000000"/>
                <w:kern w:val="0"/>
                <w:sz w:val="21"/>
              </w:rPr>
              <w:t xml:space="preserve"> </w:t>
            </w:r>
            <w:r w:rsidRPr="00B5293B">
              <w:rPr>
                <w:rFonts w:ascii="宋体" w:hAnsi="宋体" w:cs="宋体"/>
                <w:color w:val="000000"/>
                <w:kern w:val="0"/>
                <w:sz w:val="21"/>
              </w:rPr>
              <w:t>铅、镉的测定</w:t>
            </w:r>
            <w:r w:rsidRPr="00B5293B">
              <w:rPr>
                <w:color w:val="000000"/>
                <w:kern w:val="0"/>
                <w:sz w:val="21"/>
              </w:rPr>
              <w:t xml:space="preserve"> </w:t>
            </w:r>
            <w:r w:rsidRPr="00B5293B">
              <w:rPr>
                <w:rFonts w:ascii="宋体" w:hAnsi="宋体" w:cs="宋体"/>
                <w:color w:val="000000"/>
                <w:kern w:val="0"/>
                <w:sz w:val="21"/>
              </w:rPr>
              <w:t>石墨炉原子吸收分光光度法</w:t>
            </w:r>
            <w:r w:rsidRPr="00B5293B">
              <w:rPr>
                <w:color w:val="000000"/>
                <w:kern w:val="0"/>
                <w:sz w:val="21"/>
              </w:rPr>
              <w:t>GB/T 17141-1997</w:t>
            </w:r>
          </w:p>
        </w:tc>
        <w:tc>
          <w:tcPr>
            <w:tcW w:w="10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TAS-990AFG</w:t>
            </w:r>
            <w:r w:rsidRPr="00B5293B">
              <w:rPr>
                <w:rFonts w:ascii="宋体" w:hAnsi="宋体"/>
                <w:color w:val="000000"/>
                <w:kern w:val="0"/>
                <w:sz w:val="21"/>
              </w:rPr>
              <w:t>原子吸收分光光度计</w:t>
            </w:r>
            <w:r w:rsidR="00E97427">
              <w:rPr>
                <w:color w:val="000000"/>
                <w:kern w:val="0"/>
                <w:sz w:val="21"/>
              </w:rPr>
              <w:t>（</w:t>
            </w:r>
            <w:r w:rsidRPr="00B5293B">
              <w:rPr>
                <w:color w:val="000000"/>
                <w:kern w:val="0"/>
                <w:sz w:val="21"/>
              </w:rPr>
              <w:t>QS-FX065</w:t>
            </w:r>
            <w:r w:rsidR="00E97427">
              <w:rPr>
                <w:color w:val="000000"/>
                <w:kern w:val="0"/>
                <w:sz w:val="21"/>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0.01mg/kg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铅</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六价铬</w:t>
            </w:r>
          </w:p>
        </w:tc>
        <w:tc>
          <w:tcPr>
            <w:tcW w:w="14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土壤和沉积物</w:t>
            </w:r>
            <w:r w:rsidRPr="00B5293B">
              <w:rPr>
                <w:color w:val="000000"/>
                <w:kern w:val="0"/>
                <w:sz w:val="21"/>
              </w:rPr>
              <w:t xml:space="preserve"> </w:t>
            </w:r>
            <w:r w:rsidRPr="00B5293B">
              <w:rPr>
                <w:rFonts w:ascii="宋体" w:hAnsi="宋体" w:cs="宋体"/>
                <w:color w:val="000000"/>
                <w:kern w:val="0"/>
                <w:sz w:val="21"/>
              </w:rPr>
              <w:t>六价铬的测定</w:t>
            </w:r>
            <w:r w:rsidRPr="00B5293B">
              <w:rPr>
                <w:color w:val="000000"/>
                <w:kern w:val="0"/>
                <w:sz w:val="21"/>
              </w:rPr>
              <w:t xml:space="preserve"> </w:t>
            </w:r>
            <w:r w:rsidRPr="00B5293B">
              <w:rPr>
                <w:rFonts w:ascii="宋体" w:hAnsi="宋体" w:cs="宋体"/>
                <w:color w:val="000000"/>
                <w:kern w:val="0"/>
                <w:sz w:val="21"/>
              </w:rPr>
              <w:t>碱溶液提取</w:t>
            </w:r>
            <w:r w:rsidRPr="00B5293B">
              <w:rPr>
                <w:color w:val="000000"/>
                <w:kern w:val="0"/>
                <w:sz w:val="21"/>
              </w:rPr>
              <w:t>-</w:t>
            </w:r>
            <w:r w:rsidRPr="00B5293B">
              <w:rPr>
                <w:rFonts w:ascii="宋体" w:hAnsi="宋体" w:cs="宋体"/>
                <w:color w:val="000000"/>
                <w:kern w:val="0"/>
                <w:sz w:val="21"/>
              </w:rPr>
              <w:t>火焰原子吸收分光光度法</w:t>
            </w:r>
            <w:r w:rsidRPr="00B5293B">
              <w:rPr>
                <w:color w:val="000000"/>
                <w:kern w:val="0"/>
                <w:sz w:val="21"/>
              </w:rPr>
              <w:t>HJ 1082-2019</w:t>
            </w: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0.5mg/kg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铜</w:t>
            </w:r>
          </w:p>
        </w:tc>
        <w:tc>
          <w:tcPr>
            <w:tcW w:w="14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土壤和沉积物</w:t>
            </w:r>
            <w:r w:rsidRPr="00B5293B">
              <w:rPr>
                <w:color w:val="000000"/>
                <w:kern w:val="0"/>
                <w:sz w:val="21"/>
              </w:rPr>
              <w:t xml:space="preserve"> </w:t>
            </w:r>
            <w:r w:rsidRPr="00B5293B">
              <w:rPr>
                <w:rFonts w:ascii="宋体" w:hAnsi="宋体" w:cs="宋体"/>
                <w:color w:val="000000"/>
                <w:kern w:val="0"/>
                <w:sz w:val="21"/>
              </w:rPr>
              <w:t>铜、锌、铅、镍、铬的测定</w:t>
            </w:r>
            <w:r w:rsidRPr="00B5293B">
              <w:rPr>
                <w:color w:val="000000"/>
                <w:kern w:val="0"/>
                <w:sz w:val="21"/>
              </w:rPr>
              <w:t xml:space="preserve"> </w:t>
            </w:r>
            <w:r w:rsidRPr="00B5293B">
              <w:rPr>
                <w:rFonts w:ascii="宋体" w:hAnsi="宋体" w:cs="宋体"/>
                <w:color w:val="000000"/>
                <w:kern w:val="0"/>
                <w:sz w:val="21"/>
              </w:rPr>
              <w:t>火焰原子吸收分光光度法</w:t>
            </w:r>
            <w:r w:rsidRPr="00B5293B">
              <w:rPr>
                <w:color w:val="000000"/>
                <w:kern w:val="0"/>
                <w:sz w:val="21"/>
              </w:rPr>
              <w:t xml:space="preserve"> HJ 491-2019</w:t>
            </w: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镍</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3mg/kg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铬</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4mg/kg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锌</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1mg/kg</w:t>
            </w:r>
          </w:p>
        </w:tc>
      </w:tr>
      <w:tr w:rsidR="00B5293B" w:rsidRPr="00B5293B" w:rsidTr="00B5293B">
        <w:trPr>
          <w:trHeight w:val="340"/>
        </w:trPr>
        <w:tc>
          <w:tcPr>
            <w:tcW w:w="16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全盐量</w:t>
            </w:r>
          </w:p>
        </w:tc>
        <w:tc>
          <w:tcPr>
            <w:tcW w:w="14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森林土壤水溶性盐分分析</w:t>
            </w:r>
            <w:r w:rsidRPr="00B5293B">
              <w:rPr>
                <w:color w:val="000000"/>
                <w:kern w:val="0"/>
                <w:sz w:val="21"/>
              </w:rPr>
              <w:t xml:space="preserve"> LY/T 1251-1999</w:t>
            </w:r>
          </w:p>
        </w:tc>
        <w:tc>
          <w:tcPr>
            <w:tcW w:w="10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JF1004</w:t>
            </w:r>
            <w:r w:rsidRPr="00B5293B">
              <w:rPr>
                <w:rFonts w:ascii="宋体" w:hAnsi="宋体"/>
                <w:color w:val="000000"/>
                <w:kern w:val="0"/>
                <w:sz w:val="21"/>
              </w:rPr>
              <w:t>电子天平</w:t>
            </w:r>
            <w:r w:rsidRPr="00B5293B">
              <w:rPr>
                <w:color w:val="000000"/>
                <w:kern w:val="0"/>
                <w:sz w:val="21"/>
              </w:rPr>
              <w:t xml:space="preserve"> </w:t>
            </w:r>
            <w:r w:rsidR="00E97427">
              <w:rPr>
                <w:color w:val="000000"/>
                <w:kern w:val="0"/>
                <w:sz w:val="21"/>
              </w:rPr>
              <w:t>（</w:t>
            </w:r>
            <w:r w:rsidRPr="00B5293B">
              <w:rPr>
                <w:color w:val="000000"/>
                <w:kern w:val="0"/>
                <w:sz w:val="21"/>
              </w:rPr>
              <w:t>QS-FX021</w:t>
            </w:r>
            <w:r w:rsidR="00E97427">
              <w:rPr>
                <w:color w:val="000000"/>
                <w:kern w:val="0"/>
                <w:sz w:val="21"/>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w:t>
            </w:r>
          </w:p>
        </w:tc>
      </w:tr>
      <w:tr w:rsidR="00B5293B" w:rsidRPr="00B5293B" w:rsidTr="00B5293B">
        <w:trPr>
          <w:trHeight w:val="340"/>
        </w:trPr>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半挥发性有机物</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硝基苯</w:t>
            </w:r>
          </w:p>
        </w:tc>
        <w:tc>
          <w:tcPr>
            <w:tcW w:w="14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土壤和沉积物</w:t>
            </w:r>
            <w:r w:rsidRPr="00B5293B">
              <w:rPr>
                <w:color w:val="000000"/>
                <w:kern w:val="0"/>
                <w:sz w:val="21"/>
              </w:rPr>
              <w:t xml:space="preserve"> </w:t>
            </w:r>
            <w:r w:rsidRPr="00B5293B">
              <w:rPr>
                <w:rFonts w:ascii="宋体" w:hAnsi="宋体" w:cs="宋体"/>
                <w:color w:val="000000"/>
                <w:kern w:val="0"/>
                <w:sz w:val="21"/>
              </w:rPr>
              <w:t>半挥发性有机物的测定</w:t>
            </w:r>
            <w:r w:rsidRPr="00B5293B">
              <w:rPr>
                <w:color w:val="000000"/>
                <w:kern w:val="0"/>
                <w:sz w:val="21"/>
              </w:rPr>
              <w:t xml:space="preserve"> </w:t>
            </w:r>
            <w:r w:rsidRPr="00B5293B">
              <w:rPr>
                <w:rFonts w:ascii="宋体" w:hAnsi="宋体" w:cs="宋体"/>
                <w:color w:val="000000"/>
                <w:kern w:val="0"/>
                <w:sz w:val="21"/>
              </w:rPr>
              <w:t>气相色谱法</w:t>
            </w:r>
            <w:r w:rsidRPr="00B5293B">
              <w:rPr>
                <w:color w:val="000000"/>
                <w:kern w:val="0"/>
                <w:sz w:val="21"/>
              </w:rPr>
              <w:t>-</w:t>
            </w:r>
            <w:r w:rsidRPr="00B5293B">
              <w:rPr>
                <w:rFonts w:ascii="宋体" w:hAnsi="宋体" w:cs="宋体"/>
                <w:color w:val="000000"/>
                <w:kern w:val="0"/>
                <w:sz w:val="21"/>
              </w:rPr>
              <w:t>质谱法</w:t>
            </w:r>
            <w:r w:rsidRPr="00B5293B">
              <w:rPr>
                <w:color w:val="000000"/>
                <w:kern w:val="0"/>
                <w:sz w:val="21"/>
              </w:rPr>
              <w:t>HJ 834-2017</w:t>
            </w:r>
          </w:p>
        </w:tc>
        <w:tc>
          <w:tcPr>
            <w:tcW w:w="10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ISQ 7000</w:t>
            </w:r>
            <w:r w:rsidRPr="00B5293B">
              <w:rPr>
                <w:rFonts w:ascii="宋体" w:hAnsi="宋体"/>
                <w:color w:val="000000"/>
                <w:kern w:val="0"/>
                <w:sz w:val="21"/>
              </w:rPr>
              <w:t>气相色谱质谱联用仪</w:t>
            </w:r>
            <w:r w:rsidR="00E97427">
              <w:rPr>
                <w:color w:val="000000"/>
                <w:kern w:val="0"/>
                <w:sz w:val="21"/>
              </w:rPr>
              <w:t>（</w:t>
            </w:r>
            <w:r w:rsidRPr="00B5293B">
              <w:rPr>
                <w:color w:val="000000"/>
                <w:kern w:val="0"/>
                <w:sz w:val="21"/>
              </w:rPr>
              <w:t>QS-FX132</w:t>
            </w:r>
            <w:r w:rsidR="00E97427">
              <w:rPr>
                <w:color w:val="000000"/>
                <w:kern w:val="0"/>
                <w:sz w:val="21"/>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0.09mg/kg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苯胺</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0.06mg/kg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苯并</w:t>
            </w:r>
            <w:r w:rsidRPr="00B5293B">
              <w:rPr>
                <w:color w:val="000000"/>
                <w:kern w:val="0"/>
                <w:sz w:val="21"/>
              </w:rPr>
              <w:t>[a]</w:t>
            </w:r>
            <w:r w:rsidRPr="00B5293B">
              <w:rPr>
                <w:rFonts w:ascii="宋体" w:hAnsi="宋体" w:cs="宋体"/>
                <w:color w:val="000000"/>
                <w:kern w:val="0"/>
                <w:sz w:val="21"/>
              </w:rPr>
              <w:t>蒽</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苯并</w:t>
            </w:r>
            <w:r w:rsidRPr="00B5293B">
              <w:rPr>
                <w:color w:val="000000"/>
                <w:kern w:val="0"/>
                <w:sz w:val="21"/>
              </w:rPr>
              <w:t>[a]</w:t>
            </w:r>
            <w:r w:rsidRPr="00B5293B">
              <w:rPr>
                <w:rFonts w:ascii="宋体" w:hAnsi="宋体" w:cs="宋体"/>
                <w:color w:val="000000"/>
                <w:kern w:val="0"/>
                <w:sz w:val="21"/>
              </w:rPr>
              <w:t>芘</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苯并</w:t>
            </w:r>
            <w:r w:rsidRPr="00B5293B">
              <w:rPr>
                <w:color w:val="000000"/>
                <w:kern w:val="0"/>
                <w:sz w:val="21"/>
              </w:rPr>
              <w:t>[b]</w:t>
            </w:r>
            <w:r w:rsidRPr="00B5293B">
              <w:rPr>
                <w:rFonts w:ascii="宋体" w:hAnsi="宋体" w:cs="宋体"/>
                <w:color w:val="000000"/>
                <w:kern w:val="0"/>
                <w:sz w:val="21"/>
              </w:rPr>
              <w:t>荧蒽</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0.2mg/kg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苯并</w:t>
            </w:r>
            <w:r w:rsidRPr="00B5293B">
              <w:rPr>
                <w:color w:val="000000"/>
                <w:kern w:val="0"/>
                <w:sz w:val="21"/>
              </w:rPr>
              <w:t>[k]</w:t>
            </w:r>
            <w:r w:rsidRPr="00B5293B">
              <w:rPr>
                <w:rFonts w:ascii="宋体" w:hAnsi="宋体" w:cs="宋体"/>
                <w:color w:val="000000"/>
                <w:kern w:val="0"/>
                <w:sz w:val="21"/>
              </w:rPr>
              <w:t>荧蒽</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䓛</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二苯并</w:t>
            </w:r>
            <w:r w:rsidRPr="00B5293B">
              <w:rPr>
                <w:color w:val="000000"/>
                <w:kern w:val="0"/>
                <w:sz w:val="21"/>
              </w:rPr>
              <w:t>[a, h]</w:t>
            </w:r>
            <w:r w:rsidRPr="00B5293B">
              <w:rPr>
                <w:rFonts w:ascii="宋体" w:hAnsi="宋体" w:cs="宋体"/>
                <w:color w:val="000000"/>
                <w:kern w:val="0"/>
                <w:sz w:val="21"/>
              </w:rPr>
              <w:t>蒽</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茚并</w:t>
            </w:r>
            <w:r w:rsidRPr="00B5293B">
              <w:rPr>
                <w:color w:val="000000"/>
                <w:kern w:val="0"/>
                <w:sz w:val="21"/>
              </w:rPr>
              <w:t>[1,2,3-cd]</w:t>
            </w:r>
            <w:r w:rsidRPr="00B5293B">
              <w:rPr>
                <w:rFonts w:ascii="宋体" w:hAnsi="宋体" w:cs="宋体"/>
                <w:color w:val="000000"/>
                <w:kern w:val="0"/>
                <w:sz w:val="21"/>
              </w:rPr>
              <w:t>芘</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0.1mg/kg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萘</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0.09mg/kg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2-</w:t>
            </w:r>
            <w:r w:rsidRPr="00B5293B">
              <w:rPr>
                <w:rFonts w:ascii="宋体" w:hAnsi="宋体"/>
                <w:color w:val="000000"/>
                <w:kern w:val="0"/>
                <w:sz w:val="21"/>
              </w:rPr>
              <w:t>氯酚</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0.06mg/kg</w:t>
            </w:r>
          </w:p>
        </w:tc>
      </w:tr>
      <w:tr w:rsidR="00B5293B" w:rsidRPr="00B5293B" w:rsidTr="00B5293B">
        <w:trPr>
          <w:trHeight w:val="340"/>
        </w:trPr>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挥发性有机物</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四氯化碳</w:t>
            </w:r>
          </w:p>
        </w:tc>
        <w:tc>
          <w:tcPr>
            <w:tcW w:w="14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土壤和沉积物</w:t>
            </w:r>
            <w:r w:rsidRPr="00B5293B">
              <w:rPr>
                <w:color w:val="000000"/>
                <w:kern w:val="0"/>
                <w:sz w:val="21"/>
              </w:rPr>
              <w:t xml:space="preserve"> </w:t>
            </w:r>
            <w:r w:rsidRPr="00B5293B">
              <w:rPr>
                <w:rFonts w:ascii="宋体" w:hAnsi="宋体" w:cs="宋体"/>
                <w:color w:val="000000"/>
                <w:kern w:val="0"/>
                <w:sz w:val="21"/>
              </w:rPr>
              <w:t>挥发性有机物的测定</w:t>
            </w:r>
            <w:r w:rsidRPr="00B5293B">
              <w:rPr>
                <w:color w:val="000000"/>
                <w:kern w:val="0"/>
                <w:sz w:val="21"/>
              </w:rPr>
              <w:t xml:space="preserve"> </w:t>
            </w:r>
            <w:r w:rsidRPr="00B5293B">
              <w:rPr>
                <w:rFonts w:ascii="宋体" w:hAnsi="宋体" w:cs="宋体"/>
                <w:color w:val="000000"/>
                <w:kern w:val="0"/>
                <w:sz w:val="21"/>
              </w:rPr>
              <w:t>吹扫捕集气相色谱</w:t>
            </w:r>
            <w:r w:rsidRPr="00B5293B">
              <w:rPr>
                <w:color w:val="000000"/>
                <w:kern w:val="0"/>
                <w:sz w:val="21"/>
              </w:rPr>
              <w:t>—</w:t>
            </w:r>
            <w:r w:rsidRPr="00B5293B">
              <w:rPr>
                <w:rFonts w:ascii="宋体" w:hAnsi="宋体" w:cs="宋体"/>
                <w:color w:val="000000"/>
                <w:kern w:val="0"/>
                <w:sz w:val="21"/>
              </w:rPr>
              <w:t>质谱法</w:t>
            </w:r>
            <w:r w:rsidRPr="00B5293B">
              <w:rPr>
                <w:color w:val="000000"/>
                <w:kern w:val="0"/>
                <w:sz w:val="21"/>
              </w:rPr>
              <w:t xml:space="preserve"> HJ 605-2011</w:t>
            </w:r>
          </w:p>
        </w:tc>
        <w:tc>
          <w:tcPr>
            <w:tcW w:w="10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ISQ 7000</w:t>
            </w:r>
            <w:r w:rsidRPr="00B5293B">
              <w:rPr>
                <w:rFonts w:ascii="宋体" w:hAnsi="宋体"/>
                <w:color w:val="000000"/>
                <w:kern w:val="0"/>
                <w:sz w:val="21"/>
              </w:rPr>
              <w:t>气相色谱质谱联用仪</w:t>
            </w:r>
            <w:r w:rsidR="00E97427">
              <w:rPr>
                <w:color w:val="000000"/>
                <w:kern w:val="0"/>
                <w:sz w:val="21"/>
              </w:rPr>
              <w:t>（</w:t>
            </w:r>
            <w:r w:rsidRPr="00B5293B">
              <w:rPr>
                <w:color w:val="000000"/>
                <w:kern w:val="0"/>
                <w:sz w:val="21"/>
              </w:rPr>
              <w:t>QS-FX133</w:t>
            </w:r>
            <w:r w:rsidR="00E97427">
              <w:rPr>
                <w:color w:val="000000"/>
                <w:kern w:val="0"/>
                <w:sz w:val="21"/>
              </w:rPr>
              <w:t>）</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1.3×10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氯仿</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氯甲烷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1.0×10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w:t>
            </w:r>
            <w:r w:rsidRPr="00B5293B">
              <w:rPr>
                <w:rFonts w:ascii="宋体" w:hAnsi="宋体"/>
                <w:color w:val="000000"/>
                <w:kern w:val="0"/>
                <w:sz w:val="21"/>
              </w:rPr>
              <w:t>二氯乙烷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w:t>
            </w:r>
            <w:r w:rsidRPr="00B5293B">
              <w:rPr>
                <w:rFonts w:ascii="宋体" w:hAnsi="宋体"/>
                <w:color w:val="000000"/>
                <w:kern w:val="0"/>
                <w:sz w:val="21"/>
              </w:rPr>
              <w:t>二氯乙烷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1.3×10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w:t>
            </w:r>
            <w:r w:rsidRPr="00B5293B">
              <w:rPr>
                <w:rFonts w:ascii="宋体" w:hAnsi="宋体"/>
                <w:color w:val="000000"/>
                <w:kern w:val="0"/>
                <w:sz w:val="21"/>
              </w:rPr>
              <w:t>二氯乙烯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1.0×10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顺</w:t>
            </w:r>
            <w:r w:rsidRPr="00B5293B">
              <w:rPr>
                <w:color w:val="000000"/>
                <w:kern w:val="0"/>
                <w:sz w:val="21"/>
              </w:rPr>
              <w:t>-1,2-</w:t>
            </w:r>
            <w:r w:rsidRPr="00B5293B">
              <w:rPr>
                <w:rFonts w:ascii="宋体" w:hAnsi="宋体" w:cs="宋体"/>
                <w:color w:val="000000"/>
                <w:kern w:val="0"/>
                <w:sz w:val="21"/>
              </w:rPr>
              <w:t>二氯乙烯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1.3×10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反</w:t>
            </w:r>
            <w:r w:rsidRPr="00B5293B">
              <w:rPr>
                <w:color w:val="000000"/>
                <w:kern w:val="0"/>
                <w:sz w:val="21"/>
              </w:rPr>
              <w:t>-1,2-</w:t>
            </w:r>
            <w:r w:rsidRPr="00B5293B">
              <w:rPr>
                <w:rFonts w:ascii="宋体" w:hAnsi="宋体" w:cs="宋体"/>
                <w:color w:val="000000"/>
                <w:kern w:val="0"/>
                <w:sz w:val="21"/>
              </w:rPr>
              <w:t>二氯乙烯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1.4×10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二氯甲烷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1.5×10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w:t>
            </w:r>
            <w:r w:rsidRPr="00B5293B">
              <w:rPr>
                <w:rFonts w:ascii="宋体" w:hAnsi="宋体"/>
                <w:color w:val="000000"/>
                <w:kern w:val="0"/>
                <w:sz w:val="21"/>
              </w:rPr>
              <w:t>二氯丙烷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1,1,1,2-</w:t>
            </w:r>
            <w:r w:rsidRPr="00B5293B">
              <w:rPr>
                <w:rFonts w:ascii="宋体" w:hAnsi="宋体"/>
                <w:color w:val="000000"/>
                <w:kern w:val="0"/>
                <w:sz w:val="21"/>
              </w:rPr>
              <w:t>四氯乙烷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1,1,2,2-</w:t>
            </w:r>
            <w:r w:rsidRPr="00B5293B">
              <w:rPr>
                <w:rFonts w:ascii="宋体" w:hAnsi="宋体"/>
                <w:color w:val="000000"/>
                <w:kern w:val="0"/>
                <w:sz w:val="21"/>
              </w:rPr>
              <w:t>四氯乙烷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四氯乙烯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1.4×10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1,1,1-</w:t>
            </w:r>
            <w:r w:rsidRPr="00B5293B">
              <w:rPr>
                <w:rFonts w:ascii="宋体" w:hAnsi="宋体"/>
                <w:color w:val="000000"/>
                <w:kern w:val="0"/>
                <w:sz w:val="21"/>
              </w:rPr>
              <w:t>三氯乙烷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1.3×10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1,1,2-</w:t>
            </w:r>
            <w:r w:rsidRPr="00B5293B">
              <w:rPr>
                <w:rFonts w:ascii="宋体" w:hAnsi="宋体"/>
                <w:color w:val="000000"/>
                <w:kern w:val="0"/>
                <w:sz w:val="21"/>
              </w:rPr>
              <w:t>三氯乙烷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三氯乙烯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1,2,3-</w:t>
            </w:r>
            <w:r w:rsidRPr="00B5293B">
              <w:rPr>
                <w:rFonts w:ascii="宋体" w:hAnsi="宋体"/>
                <w:color w:val="000000"/>
                <w:kern w:val="0"/>
                <w:sz w:val="21"/>
              </w:rPr>
              <w:t>三氯丙烷</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1.9×10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氯苯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w:t>
            </w:r>
            <w:r w:rsidRPr="00B5293B">
              <w:rPr>
                <w:rFonts w:ascii="宋体" w:hAnsi="宋体"/>
                <w:color w:val="000000"/>
                <w:kern w:val="0"/>
                <w:sz w:val="21"/>
              </w:rPr>
              <w:t>二氯苯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1.5×10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1,4-</w:t>
            </w:r>
            <w:r w:rsidRPr="00B5293B">
              <w:rPr>
                <w:rFonts w:ascii="宋体" w:hAnsi="宋体"/>
                <w:color w:val="000000"/>
                <w:kern w:val="0"/>
                <w:sz w:val="21"/>
              </w:rPr>
              <w:t>二氯苯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1.5×10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乙苯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1.1×10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甲苯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1.3×10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间</w:t>
            </w:r>
            <w:r w:rsidRPr="00B5293B">
              <w:rPr>
                <w:color w:val="000000"/>
                <w:kern w:val="0"/>
                <w:sz w:val="21"/>
              </w:rPr>
              <w:t>,</w:t>
            </w:r>
            <w:r w:rsidRPr="00B5293B">
              <w:rPr>
                <w:rFonts w:ascii="宋体" w:hAnsi="宋体" w:cs="宋体"/>
                <w:color w:val="000000"/>
                <w:kern w:val="0"/>
                <w:sz w:val="21"/>
              </w:rPr>
              <w:t>对二甲苯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邻二甲苯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1.2×10</w:t>
            </w:r>
            <w:r w:rsidRPr="00B5293B">
              <w:rPr>
                <w:color w:val="000000"/>
                <w:kern w:val="0"/>
                <w:sz w:val="21"/>
                <w:vertAlign w:val="superscript"/>
              </w:rPr>
              <w:t>-3</w:t>
            </w:r>
            <w:r w:rsidRPr="00B5293B">
              <w:rPr>
                <w:color w:val="000000"/>
                <w:kern w:val="0"/>
                <w:sz w:val="21"/>
              </w:rPr>
              <w:t>mg/kg</w:t>
            </w:r>
          </w:p>
        </w:tc>
      </w:tr>
      <w:tr w:rsidR="00B5293B" w:rsidRPr="00B5293B" w:rsidTr="00B5293B">
        <w:trPr>
          <w:trHeight w:val="340"/>
        </w:trPr>
        <w:tc>
          <w:tcPr>
            <w:tcW w:w="395"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rFonts w:ascii="宋体" w:hAnsi="宋体" w:cs="宋体"/>
                <w:color w:val="000000"/>
                <w:kern w:val="0"/>
                <w:sz w:val="21"/>
              </w:rPr>
            </w:pPr>
            <w:r w:rsidRPr="00B5293B">
              <w:rPr>
                <w:rFonts w:ascii="宋体" w:hAnsi="宋体" w:cs="宋体" w:hint="eastAsia"/>
                <w:color w:val="000000"/>
                <w:kern w:val="0"/>
                <w:sz w:val="21"/>
              </w:rPr>
              <w:t>氯乙烯</w:t>
            </w: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rFonts w:ascii="宋体" w:hAnsi="宋体" w:cs="宋体"/>
                <w:color w:val="000000"/>
                <w:kern w:val="0"/>
                <w:sz w:val="21"/>
              </w:rPr>
            </w:pPr>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rsidR="00B5293B" w:rsidRPr="00B5293B" w:rsidRDefault="00B5293B" w:rsidP="00B5293B">
            <w:pPr>
              <w:widowControl/>
              <w:spacing w:line="240" w:lineRule="auto"/>
              <w:ind w:firstLineChars="0" w:firstLine="0"/>
              <w:jc w:val="left"/>
              <w:rPr>
                <w:color w:val="000000"/>
                <w:kern w:val="0"/>
                <w:sz w:val="21"/>
              </w:rPr>
            </w:pP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5293B" w:rsidRPr="00B5293B" w:rsidRDefault="00B5293B" w:rsidP="00B5293B">
            <w:pPr>
              <w:widowControl/>
              <w:spacing w:line="240" w:lineRule="auto"/>
              <w:ind w:firstLineChars="0" w:firstLine="0"/>
              <w:jc w:val="center"/>
              <w:rPr>
                <w:color w:val="000000"/>
                <w:kern w:val="0"/>
                <w:sz w:val="21"/>
              </w:rPr>
            </w:pPr>
            <w:r w:rsidRPr="00B5293B">
              <w:rPr>
                <w:color w:val="000000"/>
                <w:kern w:val="0"/>
                <w:sz w:val="21"/>
              </w:rPr>
              <w:t>1.0×10</w:t>
            </w:r>
            <w:r w:rsidRPr="00B5293B">
              <w:rPr>
                <w:color w:val="000000"/>
                <w:kern w:val="0"/>
                <w:sz w:val="21"/>
                <w:vertAlign w:val="superscript"/>
              </w:rPr>
              <w:t>-3</w:t>
            </w:r>
            <w:r w:rsidRPr="00B5293B">
              <w:rPr>
                <w:color w:val="000000"/>
                <w:kern w:val="0"/>
                <w:sz w:val="21"/>
              </w:rPr>
              <w:t>mg/kg</w:t>
            </w:r>
          </w:p>
        </w:tc>
      </w:tr>
    </w:tbl>
    <w:p w:rsidR="00E538D0" w:rsidRPr="002E33A4" w:rsidRDefault="00E538D0" w:rsidP="00E538D0">
      <w:pPr>
        <w:ind w:firstLine="480"/>
      </w:pPr>
      <w:r>
        <w:rPr>
          <w:rFonts w:hint="eastAsia"/>
        </w:rPr>
        <w:t>（</w:t>
      </w:r>
      <w:r>
        <w:rPr>
          <w:rFonts w:hint="eastAsia"/>
        </w:rPr>
        <w:t>5</w:t>
      </w:r>
      <w:r>
        <w:rPr>
          <w:rFonts w:hint="eastAsia"/>
        </w:rPr>
        <w:t>）评价方法</w:t>
      </w:r>
    </w:p>
    <w:p w:rsidR="002E33A4" w:rsidRDefault="00B61D4A">
      <w:pPr>
        <w:ind w:firstLine="480"/>
      </w:pPr>
      <w:r>
        <w:rPr>
          <w:rFonts w:hint="eastAsia"/>
        </w:rPr>
        <w:t>按照《</w:t>
      </w:r>
      <w:r w:rsidRPr="00B61D4A">
        <w:rPr>
          <w:rFonts w:hint="eastAsia"/>
        </w:rPr>
        <w:t>环境影响评价技术导则土壤环境</w:t>
      </w:r>
      <w:r w:rsidRPr="00B61D4A">
        <w:rPr>
          <w:rFonts w:hint="eastAsia"/>
        </w:rPr>
        <w:t xml:space="preserve"> </w:t>
      </w:r>
      <w:r w:rsidR="00E97427">
        <w:rPr>
          <w:rFonts w:hint="eastAsia"/>
        </w:rPr>
        <w:t>（</w:t>
      </w:r>
      <w:r w:rsidRPr="00B61D4A">
        <w:rPr>
          <w:rFonts w:hint="eastAsia"/>
        </w:rPr>
        <w:t>试行</w:t>
      </w:r>
      <w:r w:rsidR="00E97427">
        <w:rPr>
          <w:rFonts w:hint="eastAsia"/>
        </w:rPr>
        <w:t>）</w:t>
      </w:r>
      <w:r w:rsidRPr="00B61D4A">
        <w:rPr>
          <w:rFonts w:hint="eastAsia"/>
        </w:rPr>
        <w:t xml:space="preserve"> </w:t>
      </w:r>
      <w:r>
        <w:rPr>
          <w:rFonts w:hint="eastAsia"/>
        </w:rPr>
        <w:t>》</w:t>
      </w:r>
      <w:r w:rsidR="00E97427">
        <w:rPr>
          <w:rFonts w:hint="eastAsia"/>
        </w:rPr>
        <w:t>（</w:t>
      </w:r>
      <w:r w:rsidRPr="00B61D4A">
        <w:rPr>
          <w:rFonts w:hint="eastAsia"/>
        </w:rPr>
        <w:t xml:space="preserve"> H7964-2018</w:t>
      </w:r>
      <w:r w:rsidR="00E97427">
        <w:rPr>
          <w:rFonts w:hint="eastAsia"/>
        </w:rPr>
        <w:t>）</w:t>
      </w:r>
      <w:r>
        <w:rPr>
          <w:rFonts w:hint="eastAsia"/>
        </w:rPr>
        <w:t>，采用标准指数法进行评价。</w:t>
      </w:r>
    </w:p>
    <w:p w:rsidR="002E7213" w:rsidRPr="00B61D4A" w:rsidRDefault="00AD3E62">
      <w:pPr>
        <w:ind w:firstLine="480"/>
      </w:pPr>
      <w:r>
        <w:rPr>
          <w:rFonts w:hint="eastAsia"/>
        </w:rPr>
        <w:t>（</w:t>
      </w:r>
      <w:r>
        <w:rPr>
          <w:rFonts w:hint="eastAsia"/>
        </w:rPr>
        <w:t>6</w:t>
      </w:r>
      <w:r>
        <w:rPr>
          <w:rFonts w:hint="eastAsia"/>
        </w:rPr>
        <w:t>）监测结果分析</w:t>
      </w:r>
    </w:p>
    <w:p w:rsidR="002E7213" w:rsidRDefault="00B32F2B">
      <w:pPr>
        <w:ind w:firstLine="480"/>
      </w:pPr>
      <w:r>
        <w:rPr>
          <w:rFonts w:hint="eastAsia"/>
        </w:rPr>
        <w:t>土壤环境质量现状监测结果分析一览表见下表：</w:t>
      </w:r>
    </w:p>
    <w:p w:rsidR="00B32F2B" w:rsidRPr="00B32F2B" w:rsidRDefault="00291F70" w:rsidP="00291F70">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12</w:t>
      </w:r>
      <w:r w:rsidR="00A524F9">
        <w:fldChar w:fldCharType="end"/>
      </w:r>
      <w:r>
        <w:rPr>
          <w:rFonts w:hint="eastAsia"/>
        </w:rPr>
        <w:t xml:space="preserve">  </w:t>
      </w:r>
      <w:r>
        <w:rPr>
          <w:rFonts w:hint="eastAsia"/>
        </w:rPr>
        <w:t>坝址处</w:t>
      </w:r>
      <w:r w:rsidRPr="00291F70">
        <w:rPr>
          <w:rFonts w:hint="eastAsia"/>
        </w:rPr>
        <w:t>土壤环境质量现状监测结果分析一览表</w:t>
      </w:r>
    </w:p>
    <w:tbl>
      <w:tblPr>
        <w:tblW w:w="8220" w:type="dxa"/>
        <w:tblInd w:w="93" w:type="dxa"/>
        <w:tblLook w:val="04A0" w:firstRow="1" w:lastRow="0" w:firstColumn="1" w:lastColumn="0" w:noHBand="0" w:noVBand="1"/>
      </w:tblPr>
      <w:tblGrid>
        <w:gridCol w:w="1080"/>
        <w:gridCol w:w="2595"/>
        <w:gridCol w:w="1515"/>
        <w:gridCol w:w="1515"/>
        <w:gridCol w:w="1515"/>
      </w:tblGrid>
      <w:tr w:rsidR="00291F70" w:rsidRPr="00291F70" w:rsidTr="00291F70">
        <w:trPr>
          <w:trHeight w:val="105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422"/>
              <w:jc w:val="center"/>
              <w:rPr>
                <w:b/>
                <w:bCs/>
                <w:color w:val="000000"/>
                <w:kern w:val="0"/>
                <w:sz w:val="21"/>
              </w:rPr>
            </w:pPr>
            <w:r w:rsidRPr="00291F70">
              <w:rPr>
                <w:b/>
                <w:bCs/>
                <w:color w:val="000000"/>
                <w:kern w:val="0"/>
                <w:sz w:val="21"/>
              </w:rPr>
              <w:t>检测项目</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b/>
                <w:bCs/>
                <w:color w:val="000000"/>
                <w:kern w:val="0"/>
                <w:sz w:val="21"/>
              </w:rPr>
            </w:pPr>
            <w:r w:rsidRPr="00291F70">
              <w:rPr>
                <w:b/>
                <w:bCs/>
                <w:color w:val="000000"/>
                <w:kern w:val="0"/>
                <w:sz w:val="21"/>
              </w:rPr>
              <w:t>检测结果</w:t>
            </w:r>
            <w:r w:rsidRPr="00291F70">
              <w:rPr>
                <w:b/>
                <w:bCs/>
                <w:color w:val="000000"/>
                <w:kern w:val="0"/>
                <w:sz w:val="21"/>
              </w:rPr>
              <w:t>1#</w:t>
            </w:r>
            <w:r w:rsidR="00E97427">
              <w:rPr>
                <w:b/>
                <w:bCs/>
                <w:color w:val="000000"/>
                <w:kern w:val="0"/>
                <w:sz w:val="21"/>
              </w:rPr>
              <w:t>（</w:t>
            </w:r>
            <w:r w:rsidRPr="00291F70">
              <w:rPr>
                <w:b/>
                <w:bCs/>
                <w:color w:val="000000"/>
                <w:kern w:val="0"/>
                <w:sz w:val="21"/>
              </w:rPr>
              <w:t>坝址处</w:t>
            </w:r>
            <w:r w:rsidR="00E97427">
              <w:rPr>
                <w:b/>
                <w:bCs/>
                <w:color w:val="000000"/>
                <w:kern w:val="0"/>
                <w:sz w:val="21"/>
              </w:rPr>
              <w:t>）</w:t>
            </w:r>
            <w:r w:rsidRPr="00291F70">
              <w:rPr>
                <w:b/>
                <w:bCs/>
                <w:color w:val="000000"/>
                <w:kern w:val="0"/>
                <w:sz w:val="21"/>
              </w:rPr>
              <w:t>15cm</w:t>
            </w:r>
            <w:r w:rsidRPr="00291F70">
              <w:rPr>
                <w:b/>
                <w:bCs/>
                <w:color w:val="000000"/>
                <w:kern w:val="0"/>
                <w:sz w:val="21"/>
              </w:rPr>
              <w:t>深度（单位：</w:t>
            </w:r>
            <w:r w:rsidRPr="00291F70">
              <w:rPr>
                <w:b/>
                <w:bCs/>
                <w:color w:val="000000"/>
                <w:kern w:val="0"/>
                <w:sz w:val="21"/>
              </w:rPr>
              <w:t>mg/kg</w:t>
            </w:r>
            <w:r w:rsidRPr="00291F70">
              <w:rPr>
                <w:b/>
                <w:bCs/>
                <w:color w:val="000000"/>
                <w:kern w:val="0"/>
                <w:sz w:val="21"/>
              </w:rPr>
              <w: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436A18">
            <w:pPr>
              <w:widowControl/>
              <w:spacing w:line="240" w:lineRule="auto"/>
              <w:ind w:firstLineChars="0" w:firstLine="0"/>
              <w:jc w:val="center"/>
              <w:rPr>
                <w:b/>
                <w:bCs/>
                <w:color w:val="000000"/>
                <w:kern w:val="0"/>
                <w:sz w:val="21"/>
              </w:rPr>
            </w:pPr>
            <w:r w:rsidRPr="00291F70">
              <w:rPr>
                <w:b/>
                <w:bCs/>
                <w:color w:val="000000"/>
                <w:kern w:val="0"/>
                <w:sz w:val="21"/>
              </w:rPr>
              <w:t>标准值</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占标率</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15.4</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0.257 </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汞</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1.04</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≤38mg/kg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0.027 </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镉</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0.26</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0.004 </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铅</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39.3</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≤800mg/kg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0.049 </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六价铬</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0.5L</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≤5.7mg/kg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0.044 </w:t>
            </w:r>
          </w:p>
        </w:tc>
      </w:tr>
      <w:tr w:rsidR="00291F70" w:rsidRPr="00291F70" w:rsidTr="00291F70">
        <w:trPr>
          <w:trHeight w:val="270"/>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铜</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24</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≤18000mg/kg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0.001 </w:t>
            </w:r>
          </w:p>
        </w:tc>
      </w:tr>
      <w:tr w:rsidR="00291F70" w:rsidRPr="00291F70" w:rsidTr="00291F70">
        <w:trPr>
          <w:trHeight w:val="285"/>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镍</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38</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≤900mg/kg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0.042 </w:t>
            </w:r>
          </w:p>
        </w:tc>
      </w:tr>
      <w:tr w:rsidR="00291F70" w:rsidRPr="00291F70" w:rsidTr="00291F70">
        <w:trPr>
          <w:trHeight w:val="285"/>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lastRenderedPageBreak/>
              <w:t>挥发性有机物</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四氯化碳</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0.000232 </w:t>
            </w:r>
          </w:p>
        </w:tc>
      </w:tr>
      <w:tr w:rsidR="00291F70" w:rsidRPr="00291F70" w:rsidTr="00291F70">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氯仿</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≤0.9mg/kg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0.000611 </w:t>
            </w:r>
          </w:p>
        </w:tc>
      </w:tr>
      <w:tr w:rsidR="00291F70" w:rsidRPr="00291F70" w:rsidTr="00291F70">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氯甲烷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≤37mg/kg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0.000014 </w:t>
            </w:r>
          </w:p>
        </w:tc>
      </w:tr>
      <w:tr w:rsidR="00291F70" w:rsidRPr="00291F70" w:rsidTr="00291F70">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w:t>
            </w:r>
            <w:r w:rsidRPr="00291F70">
              <w:rPr>
                <w:color w:val="000000"/>
                <w:kern w:val="0"/>
                <w:sz w:val="21"/>
              </w:rPr>
              <w:t>二氯乙烷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≤9mg/kg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0.000067 </w:t>
            </w:r>
          </w:p>
        </w:tc>
      </w:tr>
      <w:tr w:rsidR="00291F70" w:rsidRPr="00291F70" w:rsidTr="00291F70">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w:t>
            </w:r>
            <w:r w:rsidRPr="00291F70">
              <w:rPr>
                <w:color w:val="000000"/>
                <w:kern w:val="0"/>
                <w:sz w:val="21"/>
              </w:rPr>
              <w:t>二氯乙烷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0.000130 </w:t>
            </w:r>
          </w:p>
        </w:tc>
      </w:tr>
      <w:tr w:rsidR="00291F70" w:rsidRPr="00291F70" w:rsidTr="00291F70">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w:t>
            </w:r>
            <w:r w:rsidRPr="00291F70">
              <w:rPr>
                <w:color w:val="000000"/>
                <w:kern w:val="0"/>
                <w:sz w:val="21"/>
              </w:rPr>
              <w:t>二氯乙烯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≤66mg/kg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0.000008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顺</w:t>
            </w:r>
            <w:r w:rsidRPr="00291F70">
              <w:rPr>
                <w:color w:val="000000"/>
                <w:kern w:val="0"/>
                <w:sz w:val="21"/>
              </w:rPr>
              <w:t>-1,2-</w:t>
            </w:r>
            <w:r w:rsidRPr="00291F70">
              <w:rPr>
                <w:color w:val="000000"/>
                <w:kern w:val="0"/>
                <w:sz w:val="21"/>
              </w:rPr>
              <w:t>二氯乙烯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1.3×10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≤596mg/kg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反</w:t>
            </w:r>
            <w:r w:rsidRPr="00291F70">
              <w:rPr>
                <w:color w:val="000000"/>
                <w:kern w:val="0"/>
                <w:sz w:val="21"/>
              </w:rPr>
              <w:t>-1,2-</w:t>
            </w:r>
            <w:r w:rsidRPr="00291F70">
              <w:rPr>
                <w:color w:val="000000"/>
                <w:kern w:val="0"/>
                <w:sz w:val="21"/>
              </w:rPr>
              <w:t>二氯乙烯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1.4×10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≤54mg/kg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0.000013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二氯甲烷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≤616mg/kg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w:t>
            </w:r>
            <w:r w:rsidRPr="00291F70">
              <w:rPr>
                <w:color w:val="000000"/>
                <w:kern w:val="0"/>
                <w:sz w:val="21"/>
              </w:rPr>
              <w:t>二氯丙烷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0.000110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1,1,1,2-</w:t>
            </w:r>
            <w:r w:rsidRPr="00291F70">
              <w:rPr>
                <w:color w:val="000000"/>
                <w:kern w:val="0"/>
                <w:sz w:val="21"/>
              </w:rPr>
              <w:t>四氯乙烷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0.000060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1,1,2,2-</w:t>
            </w:r>
            <w:r w:rsidRPr="00291F70">
              <w:rPr>
                <w:color w:val="000000"/>
                <w:kern w:val="0"/>
                <w:sz w:val="21"/>
              </w:rPr>
              <w:t>四氯乙烷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0.000088 </w:t>
            </w:r>
          </w:p>
        </w:tc>
      </w:tr>
      <w:tr w:rsidR="00291F70" w:rsidRPr="00291F70" w:rsidTr="00EA174B">
        <w:trPr>
          <w:trHeight w:val="285"/>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挥发性有机物</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四氯乙烯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1.4×10-3L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≤53mg/kg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0.000013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1,1,1-</w:t>
            </w:r>
            <w:r w:rsidRPr="00291F70">
              <w:rPr>
                <w:color w:val="000000"/>
                <w:kern w:val="0"/>
                <w:sz w:val="21"/>
              </w:rPr>
              <w:t>三氯乙烷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1.3×10-3L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≤840mg/kg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1,1,2-</w:t>
            </w:r>
            <w:r w:rsidRPr="00291F70">
              <w:rPr>
                <w:color w:val="000000"/>
                <w:kern w:val="0"/>
                <w:sz w:val="21"/>
              </w:rPr>
              <w:t>三氯乙烷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0.000214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三氯乙烯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0.000214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1,2,3-</w:t>
            </w:r>
            <w:r w:rsidRPr="00291F70">
              <w:rPr>
                <w:color w:val="000000"/>
                <w:kern w:val="0"/>
                <w:sz w:val="21"/>
              </w:rPr>
              <w:t>三氯丙烷</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0.001200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1.9×10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≤4mg/kg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0.000238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氯苯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≤270mg/kg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0.000002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w:t>
            </w:r>
            <w:r w:rsidRPr="00291F70">
              <w:rPr>
                <w:color w:val="000000"/>
                <w:kern w:val="0"/>
                <w:sz w:val="21"/>
              </w:rPr>
              <w:t>二氯苯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≤560mg/kg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1,4-</w:t>
            </w:r>
            <w:r w:rsidRPr="00291F70">
              <w:rPr>
                <w:color w:val="000000"/>
                <w:kern w:val="0"/>
                <w:sz w:val="21"/>
              </w:rPr>
              <w:t>二氯苯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0.000038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乙苯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≤28mg/kg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0.000214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1.1×10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≤1290mg/kg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0.000000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甲苯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1.3×10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≤1200mg/kg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间</w:t>
            </w:r>
            <w:r w:rsidRPr="00291F70">
              <w:rPr>
                <w:color w:val="000000"/>
                <w:kern w:val="0"/>
                <w:sz w:val="21"/>
              </w:rPr>
              <w:t>,</w:t>
            </w:r>
            <w:r w:rsidRPr="00291F70">
              <w:rPr>
                <w:color w:val="000000"/>
                <w:kern w:val="0"/>
                <w:sz w:val="21"/>
              </w:rPr>
              <w:t>对二甲苯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≤570mg/kg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邻二甲苯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≤640mg/kg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0.000001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氯乙烯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1.0×10</w:t>
            </w:r>
            <w:r w:rsidRPr="00291F70">
              <w:rPr>
                <w:color w:val="000000"/>
                <w:kern w:val="0"/>
                <w:sz w:val="21"/>
                <w:vertAlign w:val="superscript"/>
              </w:rPr>
              <w:t>-3</w:t>
            </w:r>
            <w:r w:rsidRPr="00291F70">
              <w:rPr>
                <w:color w:val="000000"/>
                <w:kern w:val="0"/>
                <w:sz w:val="21"/>
              </w:rPr>
              <w:t>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≤0.43mg/kg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0.001163 </w:t>
            </w:r>
          </w:p>
        </w:tc>
      </w:tr>
      <w:tr w:rsidR="00291F70" w:rsidRPr="00291F70" w:rsidTr="00EA174B">
        <w:trPr>
          <w:trHeight w:val="285"/>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半挥发性有机物</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硝基苯</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0.09L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≤76mg/kg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0.000296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苯胺</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0.06L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≤260mg/kg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0.000058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苯并</w:t>
            </w:r>
            <w:r w:rsidRPr="00291F70">
              <w:rPr>
                <w:color w:val="000000"/>
                <w:kern w:val="0"/>
                <w:sz w:val="21"/>
              </w:rPr>
              <w:t>[a]</w:t>
            </w:r>
            <w:r w:rsidRPr="00291F70">
              <w:rPr>
                <w:color w:val="000000"/>
                <w:kern w:val="0"/>
                <w:sz w:val="21"/>
              </w:rPr>
              <w:t>蒽</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0.001667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苯并</w:t>
            </w:r>
            <w:r w:rsidRPr="00291F70">
              <w:rPr>
                <w:color w:val="000000"/>
                <w:kern w:val="0"/>
                <w:sz w:val="21"/>
              </w:rPr>
              <w:t>[a]</w:t>
            </w:r>
            <w:r w:rsidRPr="00291F70">
              <w:rPr>
                <w:color w:val="000000"/>
                <w:kern w:val="0"/>
                <w:sz w:val="21"/>
              </w:rPr>
              <w:t>芘</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0.016667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苯并</w:t>
            </w:r>
            <w:r w:rsidRPr="00291F70">
              <w:rPr>
                <w:color w:val="000000"/>
                <w:kern w:val="0"/>
                <w:sz w:val="21"/>
              </w:rPr>
              <w:t>[b]</w:t>
            </w:r>
            <w:r w:rsidRPr="00291F70">
              <w:rPr>
                <w:color w:val="000000"/>
                <w:kern w:val="0"/>
                <w:sz w:val="21"/>
              </w:rPr>
              <w:t>荧蒽</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0.2L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0.003333 </w:t>
            </w:r>
          </w:p>
        </w:tc>
      </w:tr>
      <w:tr w:rsidR="00291F70" w:rsidRPr="00291F70" w:rsidTr="00EA174B">
        <w:trPr>
          <w:trHeight w:val="540"/>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苯并</w:t>
            </w:r>
            <w:r w:rsidRPr="00291F70">
              <w:rPr>
                <w:color w:val="000000"/>
                <w:kern w:val="0"/>
                <w:sz w:val="21"/>
              </w:rPr>
              <w:t>[k]</w:t>
            </w:r>
            <w:r w:rsidRPr="00291F70">
              <w:rPr>
                <w:color w:val="000000"/>
                <w:kern w:val="0"/>
                <w:sz w:val="21"/>
              </w:rPr>
              <w:t>荧蒽</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≤151mg/kg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0.000166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䓛</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≤1293mg/kg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0.000019 </w:t>
            </w:r>
          </w:p>
        </w:tc>
      </w:tr>
      <w:tr w:rsidR="00291F70" w:rsidRPr="00291F70" w:rsidTr="00EA174B">
        <w:trPr>
          <w:trHeight w:val="55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二苯并</w:t>
            </w:r>
            <w:r w:rsidRPr="00291F70">
              <w:rPr>
                <w:color w:val="000000"/>
                <w:kern w:val="0"/>
                <w:sz w:val="21"/>
              </w:rPr>
              <w:t>[a, h]</w:t>
            </w:r>
            <w:r w:rsidRPr="00291F70">
              <w:rPr>
                <w:color w:val="000000"/>
                <w:kern w:val="0"/>
                <w:sz w:val="21"/>
              </w:rPr>
              <w:t>蒽</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0.016667 </w:t>
            </w:r>
          </w:p>
        </w:tc>
      </w:tr>
      <w:tr w:rsidR="00291F70" w:rsidRPr="00291F70" w:rsidTr="00EA174B">
        <w:trPr>
          <w:trHeight w:val="55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茚并</w:t>
            </w:r>
            <w:r w:rsidRPr="00291F70">
              <w:rPr>
                <w:color w:val="000000"/>
                <w:kern w:val="0"/>
                <w:sz w:val="21"/>
              </w:rPr>
              <w:t>[1,2,3-cd]</w:t>
            </w:r>
            <w:r w:rsidRPr="00291F70">
              <w:rPr>
                <w:color w:val="000000"/>
                <w:kern w:val="0"/>
                <w:sz w:val="21"/>
              </w:rPr>
              <w:t>芘</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0.1L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≤15mg/kg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0.001667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萘</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0.09L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≤70mg/kg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0.000321 </w:t>
            </w:r>
          </w:p>
        </w:tc>
      </w:tr>
      <w:tr w:rsidR="00291F70" w:rsidRPr="00291F70" w:rsidTr="00EA174B">
        <w:trPr>
          <w:trHeight w:val="285"/>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91F70" w:rsidRPr="00291F70" w:rsidRDefault="00291F70" w:rsidP="00291F70">
            <w:pPr>
              <w:widowControl/>
              <w:spacing w:line="240" w:lineRule="auto"/>
              <w:ind w:firstLineChars="0" w:firstLine="0"/>
              <w:jc w:val="left"/>
              <w:rPr>
                <w:color w:val="000000"/>
                <w:kern w:val="0"/>
                <w:sz w:val="21"/>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w:t>
            </w:r>
            <w:r w:rsidRPr="00291F70">
              <w:rPr>
                <w:color w:val="000000"/>
                <w:kern w:val="0"/>
                <w:sz w:val="21"/>
              </w:rPr>
              <w:t>氯酚</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0.06L</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≤2256mg/kg</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91F70" w:rsidRPr="00291F70" w:rsidRDefault="00291F70" w:rsidP="00291F70">
            <w:pPr>
              <w:widowControl/>
              <w:spacing w:line="240" w:lineRule="auto"/>
              <w:ind w:firstLineChars="0" w:firstLine="0"/>
              <w:jc w:val="center"/>
              <w:rPr>
                <w:color w:val="000000"/>
                <w:kern w:val="0"/>
                <w:sz w:val="21"/>
              </w:rPr>
            </w:pPr>
            <w:r w:rsidRPr="00291F70">
              <w:rPr>
                <w:color w:val="000000"/>
                <w:kern w:val="0"/>
                <w:sz w:val="21"/>
              </w:rPr>
              <w:t xml:space="preserve">0.000007 </w:t>
            </w:r>
          </w:p>
        </w:tc>
      </w:tr>
    </w:tbl>
    <w:p w:rsidR="00AA3C1A" w:rsidRDefault="00AA3C1A" w:rsidP="00AA3C1A">
      <w:pPr>
        <w:ind w:firstLineChars="0" w:firstLine="0"/>
      </w:pPr>
      <w:r w:rsidRPr="00AA3C1A">
        <w:rPr>
          <w:rFonts w:hint="eastAsia"/>
          <w:sz w:val="21"/>
        </w:rPr>
        <w:t>注：未检出按照检出限的一半进行评价。</w:t>
      </w:r>
    </w:p>
    <w:p w:rsidR="00291F70" w:rsidRDefault="00291F70" w:rsidP="00291F70">
      <w:pPr>
        <w:ind w:firstLine="480"/>
      </w:pPr>
      <w:r>
        <w:rPr>
          <w:rFonts w:hint="eastAsia"/>
        </w:rPr>
        <w:t>根据土壤现状检测结果，库区及周边土壤</w:t>
      </w:r>
      <w:r w:rsidRPr="00291F70">
        <w:rPr>
          <w:rFonts w:hint="eastAsia"/>
        </w:rPr>
        <w:t>6.5&lt; pH</w:t>
      </w:r>
      <w:r w:rsidRPr="00291F70">
        <w:rPr>
          <w:rFonts w:hint="eastAsia"/>
        </w:rPr>
        <w:t>≤</w:t>
      </w:r>
      <w:r w:rsidRPr="00291F70">
        <w:rPr>
          <w:rFonts w:hint="eastAsia"/>
        </w:rPr>
        <w:t>7.5</w:t>
      </w:r>
      <w:r>
        <w:rPr>
          <w:rFonts w:hint="eastAsia"/>
        </w:rPr>
        <w:t>，其现状监测结果与评价一览表见下表：</w:t>
      </w:r>
    </w:p>
    <w:p w:rsidR="002E33A4" w:rsidRDefault="00291F70" w:rsidP="00291F70">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13</w:t>
      </w:r>
      <w:r w:rsidR="00A524F9">
        <w:fldChar w:fldCharType="end"/>
      </w:r>
      <w:r>
        <w:rPr>
          <w:rFonts w:hint="eastAsia"/>
        </w:rPr>
        <w:t xml:space="preserve">  </w:t>
      </w:r>
      <w:r>
        <w:rPr>
          <w:rFonts w:hint="eastAsia"/>
        </w:rPr>
        <w:t>库区及周边</w:t>
      </w:r>
      <w:r w:rsidRPr="00291F70">
        <w:rPr>
          <w:rFonts w:hint="eastAsia"/>
        </w:rPr>
        <w:t>土壤环境质量现状监测结果分析一览表</w:t>
      </w:r>
    </w:p>
    <w:tbl>
      <w:tblPr>
        <w:tblW w:w="5000" w:type="pct"/>
        <w:tblLook w:val="04A0" w:firstRow="1" w:lastRow="0" w:firstColumn="1" w:lastColumn="0" w:noHBand="0" w:noVBand="1"/>
      </w:tblPr>
      <w:tblGrid>
        <w:gridCol w:w="1161"/>
        <w:gridCol w:w="716"/>
        <w:gridCol w:w="719"/>
        <w:gridCol w:w="724"/>
        <w:gridCol w:w="1045"/>
        <w:gridCol w:w="1056"/>
        <w:gridCol w:w="1013"/>
        <w:gridCol w:w="1045"/>
        <w:gridCol w:w="1043"/>
      </w:tblGrid>
      <w:tr w:rsidR="00475718" w:rsidRPr="00475718" w:rsidTr="00475718">
        <w:trPr>
          <w:trHeight w:val="340"/>
        </w:trPr>
        <w:tc>
          <w:tcPr>
            <w:tcW w:w="4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采样日期</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检测项目</w:t>
            </w:r>
          </w:p>
        </w:tc>
        <w:tc>
          <w:tcPr>
            <w:tcW w:w="4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标准值</w:t>
            </w: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w:t>
            </w:r>
            <w:r w:rsidR="00E97427">
              <w:rPr>
                <w:color w:val="000000"/>
                <w:kern w:val="0"/>
                <w:sz w:val="21"/>
              </w:rPr>
              <w:t>（</w:t>
            </w:r>
            <w:r w:rsidRPr="00475718">
              <w:rPr>
                <w:color w:val="000000"/>
                <w:kern w:val="0"/>
                <w:sz w:val="21"/>
              </w:rPr>
              <w:t>石柱埫</w:t>
            </w:r>
            <w:r w:rsidR="00E97427">
              <w:rPr>
                <w:color w:val="000000"/>
                <w:kern w:val="0"/>
                <w:sz w:val="21"/>
              </w:rPr>
              <w:t>）</w:t>
            </w:r>
            <w:r w:rsidRPr="00475718">
              <w:rPr>
                <w:color w:val="000000"/>
                <w:kern w:val="0"/>
                <w:sz w:val="21"/>
              </w:rPr>
              <w:t>15cm</w:t>
            </w:r>
            <w:r w:rsidRPr="00475718">
              <w:rPr>
                <w:color w:val="000000"/>
                <w:kern w:val="0"/>
                <w:sz w:val="21"/>
              </w:rPr>
              <w:t>深度</w:t>
            </w:r>
          </w:p>
        </w:tc>
        <w:tc>
          <w:tcPr>
            <w:tcW w:w="1899"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3#</w:t>
            </w:r>
            <w:r w:rsidR="00E97427">
              <w:rPr>
                <w:color w:val="000000"/>
                <w:kern w:val="0"/>
                <w:sz w:val="21"/>
              </w:rPr>
              <w:t>（</w:t>
            </w:r>
            <w:r w:rsidRPr="00475718">
              <w:rPr>
                <w:color w:val="000000"/>
                <w:kern w:val="0"/>
                <w:sz w:val="21"/>
              </w:rPr>
              <w:t>古家砭</w:t>
            </w:r>
            <w:r w:rsidR="00E97427">
              <w:rPr>
                <w:color w:val="000000"/>
                <w:kern w:val="0"/>
                <w:sz w:val="21"/>
              </w:rPr>
              <w:t>）</w:t>
            </w:r>
            <w:r w:rsidRPr="00475718">
              <w:rPr>
                <w:color w:val="000000"/>
                <w:kern w:val="0"/>
                <w:sz w:val="21"/>
              </w:rPr>
              <w:t>15cm</w:t>
            </w:r>
            <w:r w:rsidRPr="00475718">
              <w:rPr>
                <w:color w:val="000000"/>
                <w:kern w:val="0"/>
                <w:sz w:val="21"/>
              </w:rPr>
              <w:t>深度</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6"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检测结果</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占标率</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超标倍数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检测结果</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占标率</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超标率</w:t>
            </w:r>
          </w:p>
        </w:tc>
      </w:tr>
      <w:tr w:rsidR="00475718" w:rsidRPr="00475718" w:rsidTr="00475718">
        <w:trPr>
          <w:trHeight w:val="340"/>
        </w:trPr>
        <w:tc>
          <w:tcPr>
            <w:tcW w:w="4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2021.07.21</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pH</w:t>
            </w:r>
            <w:r w:rsidRPr="00475718">
              <w:rPr>
                <w:color w:val="000000"/>
                <w:kern w:val="0"/>
                <w:sz w:val="21"/>
              </w:rPr>
              <w:t>值</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6.86</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6.93</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含盐量</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1.32</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1.43</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c>
          <w:tcPr>
            <w:tcW w:w="63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砷</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30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13</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0.43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20.1</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0.67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汞</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2.4</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0.473</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0.20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0.798</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0.33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镉</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FB75DC" w:rsidRDefault="00475718" w:rsidP="00475718">
            <w:pPr>
              <w:widowControl/>
              <w:spacing w:line="240" w:lineRule="auto"/>
              <w:ind w:firstLineChars="0" w:firstLine="0"/>
              <w:jc w:val="center"/>
              <w:rPr>
                <w:kern w:val="0"/>
                <w:sz w:val="21"/>
              </w:rPr>
            </w:pPr>
            <w:r w:rsidRPr="00FB75DC">
              <w:rPr>
                <w:kern w:val="0"/>
                <w:sz w:val="21"/>
              </w:rPr>
              <w:t>0.3</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FB75DC" w:rsidRDefault="00475718" w:rsidP="00FB75DC">
            <w:pPr>
              <w:widowControl/>
              <w:spacing w:line="240" w:lineRule="auto"/>
              <w:ind w:firstLineChars="0" w:firstLine="0"/>
              <w:jc w:val="center"/>
              <w:rPr>
                <w:kern w:val="0"/>
                <w:sz w:val="21"/>
              </w:rPr>
            </w:pPr>
            <w:r w:rsidRPr="00FB75DC">
              <w:rPr>
                <w:kern w:val="0"/>
                <w:sz w:val="21"/>
              </w:rPr>
              <w:t>0.</w:t>
            </w:r>
            <w:r w:rsidR="00FB75DC" w:rsidRPr="00FB75DC">
              <w:rPr>
                <w:rFonts w:hint="eastAsia"/>
                <w:kern w:val="0"/>
                <w:sz w:val="21"/>
              </w:rPr>
              <w:t>2</w:t>
            </w:r>
            <w:r w:rsidRPr="00FB75DC">
              <w:rPr>
                <w:kern w:val="0"/>
                <w:sz w:val="21"/>
              </w:rPr>
              <w:t>7</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FB75DC" w:rsidRDefault="00FB75DC" w:rsidP="00475718">
            <w:pPr>
              <w:widowControl/>
              <w:spacing w:line="240" w:lineRule="auto"/>
              <w:ind w:firstLineChars="0" w:firstLine="0"/>
              <w:jc w:val="center"/>
              <w:rPr>
                <w:kern w:val="0"/>
                <w:sz w:val="21"/>
              </w:rPr>
            </w:pPr>
            <w:r w:rsidRPr="00FB75DC">
              <w:rPr>
                <w:rFonts w:hint="eastAsia"/>
                <w:kern w:val="0"/>
                <w:sz w:val="21"/>
              </w:rPr>
              <w:t>0.90</w:t>
            </w:r>
            <w:r w:rsidR="00475718" w:rsidRPr="00FB75DC">
              <w:rPr>
                <w:kern w:val="0"/>
                <w:sz w:val="21"/>
              </w:rPr>
              <w:t xml:space="preserve">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FB75DC" w:rsidRDefault="00FB75DC" w:rsidP="00475718">
            <w:pPr>
              <w:widowControl/>
              <w:spacing w:line="240" w:lineRule="auto"/>
              <w:ind w:firstLineChars="0" w:firstLine="0"/>
              <w:jc w:val="center"/>
              <w:rPr>
                <w:kern w:val="0"/>
                <w:sz w:val="21"/>
              </w:rPr>
            </w:pPr>
            <w:r w:rsidRPr="00FB75DC">
              <w:rPr>
                <w:rFonts w:hint="eastAsia"/>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FB75DC" w:rsidRDefault="00475718" w:rsidP="00475718">
            <w:pPr>
              <w:widowControl/>
              <w:spacing w:line="240" w:lineRule="auto"/>
              <w:ind w:firstLineChars="0" w:firstLine="0"/>
              <w:jc w:val="center"/>
              <w:rPr>
                <w:kern w:val="0"/>
                <w:sz w:val="21"/>
              </w:rPr>
            </w:pPr>
            <w:r w:rsidRPr="00FB75DC">
              <w:rPr>
                <w:kern w:val="0"/>
                <w:sz w:val="21"/>
              </w:rPr>
              <w:t>0.3</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1.00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铅</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120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31.4</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0.26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58.9</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0.49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铜</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100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27</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0.27</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24</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0.24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镍</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100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36</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0.36</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45</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0.45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铬</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200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70</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0.35</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81</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0.41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r w:rsidR="00475718" w:rsidRPr="00475718" w:rsidTr="00475718">
        <w:trPr>
          <w:trHeight w:val="340"/>
        </w:trPr>
        <w:tc>
          <w:tcPr>
            <w:tcW w:w="488" w:type="pct"/>
            <w:vMerge/>
            <w:tcBorders>
              <w:top w:val="single" w:sz="4" w:space="0" w:color="000000"/>
              <w:left w:val="single" w:sz="4" w:space="0" w:color="000000"/>
              <w:bottom w:val="single" w:sz="4" w:space="0" w:color="000000"/>
              <w:right w:val="single" w:sz="4" w:space="0" w:color="000000"/>
            </w:tcBorders>
            <w:vAlign w:val="center"/>
            <w:hideMark/>
          </w:tcPr>
          <w:p w:rsidR="00475718" w:rsidRPr="00475718" w:rsidRDefault="00475718" w:rsidP="00475718">
            <w:pPr>
              <w:widowControl/>
              <w:spacing w:line="240" w:lineRule="auto"/>
              <w:ind w:firstLineChars="0" w:firstLine="0"/>
              <w:jc w:val="left"/>
              <w:rPr>
                <w:color w:val="000000"/>
                <w:kern w:val="0"/>
                <w:sz w:val="21"/>
              </w:rPr>
            </w:pP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锌</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250</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84</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0.34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244</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 xml:space="preserve">0.98 </w:t>
            </w:r>
          </w:p>
        </w:tc>
        <w:tc>
          <w:tcPr>
            <w:tcW w:w="6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5718" w:rsidRPr="00475718" w:rsidRDefault="00475718" w:rsidP="00475718">
            <w:pPr>
              <w:widowControl/>
              <w:spacing w:line="240" w:lineRule="auto"/>
              <w:ind w:firstLineChars="0" w:firstLine="0"/>
              <w:jc w:val="center"/>
              <w:rPr>
                <w:color w:val="000000"/>
                <w:kern w:val="0"/>
                <w:sz w:val="21"/>
              </w:rPr>
            </w:pPr>
            <w:r w:rsidRPr="00475718">
              <w:rPr>
                <w:color w:val="000000"/>
                <w:kern w:val="0"/>
                <w:sz w:val="21"/>
              </w:rPr>
              <w:t>0</w:t>
            </w:r>
          </w:p>
        </w:tc>
      </w:tr>
    </w:tbl>
    <w:p w:rsidR="002E33A4" w:rsidRDefault="00FB75DC">
      <w:pPr>
        <w:ind w:firstLine="480"/>
      </w:pPr>
      <w:r>
        <w:rPr>
          <w:rFonts w:hint="eastAsia"/>
        </w:rPr>
        <w:t>由上表可以看出，坝址处土壤能够满足</w:t>
      </w:r>
      <w:r w:rsidRPr="004E7A12">
        <w:rPr>
          <w:rFonts w:hint="eastAsia"/>
        </w:rPr>
        <w:t>《土壤环境质量</w:t>
      </w:r>
      <w:r w:rsidRPr="004E7A12">
        <w:rPr>
          <w:rFonts w:hint="eastAsia"/>
        </w:rPr>
        <w:t xml:space="preserve"> </w:t>
      </w:r>
      <w:r w:rsidRPr="004E7A12">
        <w:rPr>
          <w:rFonts w:hint="eastAsia"/>
        </w:rPr>
        <w:t>建设用地土壤污染风险管控标准》（</w:t>
      </w:r>
      <w:r w:rsidRPr="004E7A12">
        <w:rPr>
          <w:rFonts w:hint="eastAsia"/>
        </w:rPr>
        <w:t>GB36600-2018</w:t>
      </w:r>
      <w:r w:rsidRPr="004E7A12">
        <w:rPr>
          <w:rFonts w:hint="eastAsia"/>
        </w:rPr>
        <w:t>）中第二类用地风险筛选值的要求，</w:t>
      </w:r>
      <w:r>
        <w:rPr>
          <w:rFonts w:hint="eastAsia"/>
        </w:rPr>
        <w:t>水库淹没区及其他区域能够满足</w:t>
      </w:r>
      <w:r w:rsidRPr="004E7A12">
        <w:rPr>
          <w:rFonts w:hint="eastAsia"/>
        </w:rPr>
        <w:t>《土壤环境质量</w:t>
      </w:r>
      <w:r w:rsidRPr="004E7A12">
        <w:rPr>
          <w:rFonts w:hint="eastAsia"/>
        </w:rPr>
        <w:t xml:space="preserve"> </w:t>
      </w:r>
      <w:r w:rsidRPr="004E7A12">
        <w:rPr>
          <w:rFonts w:hint="eastAsia"/>
        </w:rPr>
        <w:t>农用地土壤污染风险管控标准》（</w:t>
      </w:r>
      <w:r w:rsidRPr="004E7A12">
        <w:rPr>
          <w:rFonts w:hint="eastAsia"/>
        </w:rPr>
        <w:t>GB 15618</w:t>
      </w:r>
      <w:r w:rsidRPr="004E7A12">
        <w:rPr>
          <w:rFonts w:hint="eastAsia"/>
        </w:rPr>
        <w:t>—</w:t>
      </w:r>
      <w:r w:rsidRPr="004E7A12">
        <w:rPr>
          <w:rFonts w:hint="eastAsia"/>
        </w:rPr>
        <w:t>2018</w:t>
      </w:r>
      <w:r>
        <w:rPr>
          <w:rFonts w:hint="eastAsia"/>
        </w:rPr>
        <w:t>）中其他作物筛选值标准要求，建设项目所在区域土壤环境质量良好。</w:t>
      </w:r>
    </w:p>
    <w:p w:rsidR="006175A6" w:rsidRDefault="009B4BA7">
      <w:pPr>
        <w:pStyle w:val="3"/>
      </w:pPr>
      <w:r>
        <w:rPr>
          <w:rFonts w:hint="eastAsia"/>
        </w:rPr>
        <w:t>声环境质量现状调查与评价</w:t>
      </w:r>
    </w:p>
    <w:p w:rsidR="00475718" w:rsidRDefault="004D0F0F" w:rsidP="004D0F0F">
      <w:pPr>
        <w:ind w:firstLine="480"/>
      </w:pPr>
      <w:r>
        <w:rPr>
          <w:rFonts w:hint="eastAsia"/>
        </w:rPr>
        <w:t>根据《</w:t>
      </w:r>
      <w:r w:rsidRPr="004D0F0F">
        <w:rPr>
          <w:rFonts w:hint="eastAsia"/>
        </w:rPr>
        <w:t>环境影响评价技术导则声环境</w:t>
      </w:r>
      <w:r>
        <w:rPr>
          <w:rFonts w:hint="eastAsia"/>
        </w:rPr>
        <w:t>》</w:t>
      </w:r>
      <w:r w:rsidR="00E97427">
        <w:rPr>
          <w:rFonts w:hint="eastAsia"/>
        </w:rPr>
        <w:t>（</w:t>
      </w:r>
      <w:r w:rsidRPr="004D0F0F">
        <w:rPr>
          <w:rFonts w:hint="eastAsia"/>
        </w:rPr>
        <w:t>HJ2. 4 -2009</w:t>
      </w:r>
      <w:r w:rsidR="00E97427">
        <w:rPr>
          <w:rFonts w:hint="eastAsia"/>
        </w:rPr>
        <w:t>）</w:t>
      </w:r>
      <w:r>
        <w:rPr>
          <w:rFonts w:hint="eastAsia"/>
        </w:rPr>
        <w:t>，评价范围内没有明显的声源</w:t>
      </w:r>
      <w:r w:rsidR="00E97427">
        <w:rPr>
          <w:rFonts w:hint="eastAsia"/>
        </w:rPr>
        <w:t>（</w:t>
      </w:r>
      <w:r>
        <w:rPr>
          <w:rFonts w:hint="eastAsia"/>
        </w:rPr>
        <w:t>如工业噪声、交通运输噪声、建设施工噪声、社会生活噪声等</w:t>
      </w:r>
      <w:r w:rsidR="00E97427">
        <w:rPr>
          <w:rFonts w:hint="eastAsia"/>
        </w:rPr>
        <w:t>）</w:t>
      </w:r>
      <w:r>
        <w:rPr>
          <w:rFonts w:hint="eastAsia"/>
        </w:rPr>
        <w:t>，且声级较低时，可选择有代表性的区域布设测点。</w:t>
      </w:r>
      <w:r w:rsidR="006D1B7B">
        <w:rPr>
          <w:rFonts w:hint="eastAsia"/>
        </w:rPr>
        <w:t>项目所在区域属于</w:t>
      </w:r>
      <w:r>
        <w:rPr>
          <w:rFonts w:hint="eastAsia"/>
        </w:rPr>
        <w:t>山谷地区，现状无明显声源，故本项目在坝址处布设了</w:t>
      </w:r>
      <w:r w:rsidR="00FB75DC">
        <w:rPr>
          <w:rFonts w:hint="eastAsia"/>
        </w:rPr>
        <w:t>1</w:t>
      </w:r>
      <w:r w:rsidR="00FB75DC">
        <w:rPr>
          <w:rFonts w:hint="eastAsia"/>
        </w:rPr>
        <w:t>个声环境点位，监测环境噪声。</w:t>
      </w:r>
    </w:p>
    <w:p w:rsidR="00FB75DC" w:rsidRPr="00FB75DC" w:rsidRDefault="00FB75DC" w:rsidP="004D0F0F">
      <w:pPr>
        <w:ind w:firstLine="480"/>
      </w:pPr>
      <w:r>
        <w:rPr>
          <w:rFonts w:hint="eastAsia"/>
        </w:rPr>
        <w:t>（</w:t>
      </w:r>
      <w:r>
        <w:rPr>
          <w:rFonts w:hint="eastAsia"/>
        </w:rPr>
        <w:t>1</w:t>
      </w:r>
      <w:r>
        <w:rPr>
          <w:rFonts w:hint="eastAsia"/>
        </w:rPr>
        <w:t>）监测因子</w:t>
      </w:r>
      <w:r w:rsidR="00D25F07" w:rsidRPr="00D25F07">
        <w:rPr>
          <w:rFonts w:hint="eastAsia"/>
        </w:rPr>
        <w:t>与监测分析方法</w:t>
      </w:r>
    </w:p>
    <w:p w:rsidR="00D25F07" w:rsidRDefault="00D25F07" w:rsidP="00D25F07">
      <w:pPr>
        <w:ind w:firstLine="480"/>
      </w:pPr>
      <w:r>
        <w:rPr>
          <w:rFonts w:hint="eastAsia"/>
        </w:rPr>
        <w:t>监测因子：等效连续</w:t>
      </w:r>
      <w:r>
        <w:rPr>
          <w:rFonts w:hint="eastAsia"/>
        </w:rPr>
        <w:t>A</w:t>
      </w:r>
      <w:r>
        <w:rPr>
          <w:rFonts w:hint="eastAsia"/>
        </w:rPr>
        <w:t>声级。</w:t>
      </w:r>
    </w:p>
    <w:p w:rsidR="00475718" w:rsidRDefault="00D25F07" w:rsidP="00D25F07">
      <w:pPr>
        <w:ind w:firstLine="480"/>
      </w:pPr>
      <w:r>
        <w:rPr>
          <w:rFonts w:hint="eastAsia"/>
        </w:rPr>
        <w:lastRenderedPageBreak/>
        <w:t>监测方法：按《声环境质量标准》（</w:t>
      </w:r>
      <w:r>
        <w:rPr>
          <w:rFonts w:hint="eastAsia"/>
        </w:rPr>
        <w:t>GB3096-2008</w:t>
      </w:r>
      <w:r>
        <w:rPr>
          <w:rFonts w:hint="eastAsia"/>
        </w:rPr>
        <w:t>）的规定，采用符合国家计量规定的声级计进行监测。监测期间天气良好，无雨雪、无雷电天气，风速小于</w:t>
      </w:r>
      <w:r>
        <w:rPr>
          <w:rFonts w:hint="eastAsia"/>
        </w:rPr>
        <w:t>5m/s</w:t>
      </w:r>
      <w:r>
        <w:rPr>
          <w:rFonts w:hint="eastAsia"/>
        </w:rPr>
        <w:t>，传声器设置户外</w:t>
      </w:r>
      <w:r>
        <w:rPr>
          <w:rFonts w:hint="eastAsia"/>
        </w:rPr>
        <w:t>1m</w:t>
      </w:r>
      <w:r>
        <w:rPr>
          <w:rFonts w:hint="eastAsia"/>
        </w:rPr>
        <w:t>处，高度为</w:t>
      </w:r>
      <w:r>
        <w:rPr>
          <w:rFonts w:hint="eastAsia"/>
        </w:rPr>
        <w:t>1.2m</w:t>
      </w:r>
      <w:r>
        <w:rPr>
          <w:rFonts w:hint="eastAsia"/>
        </w:rPr>
        <w:t>以上。</w:t>
      </w:r>
    </w:p>
    <w:p w:rsidR="00475718" w:rsidRDefault="00D25F07" w:rsidP="00475718">
      <w:pPr>
        <w:ind w:firstLine="480"/>
      </w:pPr>
      <w:r>
        <w:rPr>
          <w:rFonts w:hint="eastAsia"/>
        </w:rPr>
        <w:t>（</w:t>
      </w:r>
      <w:r>
        <w:rPr>
          <w:rFonts w:hint="eastAsia"/>
        </w:rPr>
        <w:t>2</w:t>
      </w:r>
      <w:r>
        <w:rPr>
          <w:rFonts w:hint="eastAsia"/>
        </w:rPr>
        <w:t>）监测频次</w:t>
      </w:r>
    </w:p>
    <w:p w:rsidR="00475718" w:rsidRDefault="00D25F07" w:rsidP="00475718">
      <w:pPr>
        <w:ind w:firstLine="480"/>
      </w:pPr>
      <w:r w:rsidRPr="00D25F07">
        <w:rPr>
          <w:rFonts w:hint="eastAsia"/>
        </w:rPr>
        <w:t>连续监测</w:t>
      </w:r>
      <w:r w:rsidRPr="00D25F07">
        <w:rPr>
          <w:rFonts w:hint="eastAsia"/>
        </w:rPr>
        <w:t>2</w:t>
      </w:r>
      <w:r w:rsidRPr="00D25F07">
        <w:rPr>
          <w:rFonts w:hint="eastAsia"/>
        </w:rPr>
        <w:t>天，昼、夜各一次，昼间监测时间段：</w:t>
      </w:r>
      <w:r w:rsidRPr="00D25F07">
        <w:rPr>
          <w:rFonts w:hint="eastAsia"/>
        </w:rPr>
        <w:t>6:00</w:t>
      </w:r>
      <w:r w:rsidRPr="00D25F07">
        <w:rPr>
          <w:rFonts w:hint="eastAsia"/>
        </w:rPr>
        <w:t>～</w:t>
      </w:r>
      <w:r w:rsidRPr="00D25F07">
        <w:rPr>
          <w:rFonts w:hint="eastAsia"/>
        </w:rPr>
        <w:t>22:00</w:t>
      </w:r>
      <w:r w:rsidRPr="00D25F07">
        <w:rPr>
          <w:rFonts w:hint="eastAsia"/>
        </w:rPr>
        <w:t>，夜间监测时间：</w:t>
      </w:r>
      <w:r w:rsidRPr="00D25F07">
        <w:rPr>
          <w:rFonts w:hint="eastAsia"/>
        </w:rPr>
        <w:t>22:00</w:t>
      </w:r>
      <w:r w:rsidRPr="00D25F07">
        <w:rPr>
          <w:rFonts w:hint="eastAsia"/>
        </w:rPr>
        <w:t>～次日</w:t>
      </w:r>
      <w:r w:rsidRPr="00D25F07">
        <w:rPr>
          <w:rFonts w:hint="eastAsia"/>
        </w:rPr>
        <w:t>06:00</w:t>
      </w:r>
      <w:r w:rsidRPr="00D25F07">
        <w:rPr>
          <w:rFonts w:hint="eastAsia"/>
        </w:rPr>
        <w:t>。</w:t>
      </w:r>
    </w:p>
    <w:p w:rsidR="00D25F07" w:rsidRDefault="00D25F07" w:rsidP="00475718">
      <w:pPr>
        <w:ind w:firstLine="480"/>
      </w:pPr>
      <w:r>
        <w:rPr>
          <w:rFonts w:hint="eastAsia"/>
        </w:rPr>
        <w:t>（</w:t>
      </w:r>
      <w:r>
        <w:rPr>
          <w:rFonts w:hint="eastAsia"/>
        </w:rPr>
        <w:t>3</w:t>
      </w:r>
      <w:r>
        <w:rPr>
          <w:rFonts w:hint="eastAsia"/>
        </w:rPr>
        <w:t>）</w:t>
      </w:r>
      <w:r w:rsidRPr="00D25F07">
        <w:rPr>
          <w:rFonts w:hint="eastAsia"/>
        </w:rPr>
        <w:t>评价方法与标准</w:t>
      </w:r>
    </w:p>
    <w:p w:rsidR="00475718" w:rsidRDefault="00D25F07" w:rsidP="00475718">
      <w:pPr>
        <w:ind w:firstLine="480"/>
      </w:pPr>
      <w:r w:rsidRPr="00D25F07">
        <w:rPr>
          <w:rFonts w:hint="eastAsia"/>
        </w:rPr>
        <w:t>项目所在地边界噪声现状值按《声环境质量标准》（</w:t>
      </w:r>
      <w:r w:rsidRPr="00D25F07">
        <w:rPr>
          <w:rFonts w:hint="eastAsia"/>
        </w:rPr>
        <w:t>GB3096-2008</w:t>
      </w:r>
      <w:r w:rsidRPr="00D25F07">
        <w:rPr>
          <w:rFonts w:hint="eastAsia"/>
        </w:rPr>
        <w:t>）中的</w:t>
      </w:r>
      <w:r>
        <w:rPr>
          <w:rFonts w:hint="eastAsia"/>
        </w:rPr>
        <w:t>1</w:t>
      </w:r>
      <w:r w:rsidRPr="00D25F07">
        <w:rPr>
          <w:rFonts w:hint="eastAsia"/>
        </w:rPr>
        <w:t>类标准（昼间</w:t>
      </w:r>
      <w:r>
        <w:rPr>
          <w:rFonts w:hint="eastAsia"/>
        </w:rPr>
        <w:t>5</w:t>
      </w:r>
      <w:r w:rsidRPr="00D25F07">
        <w:rPr>
          <w:rFonts w:hint="eastAsia"/>
        </w:rPr>
        <w:t>5dB</w:t>
      </w:r>
      <w:r w:rsidRPr="00D25F07">
        <w:rPr>
          <w:rFonts w:hint="eastAsia"/>
        </w:rPr>
        <w:t>（</w:t>
      </w:r>
      <w:r w:rsidRPr="00D25F07">
        <w:rPr>
          <w:rFonts w:hint="eastAsia"/>
        </w:rPr>
        <w:t>A</w:t>
      </w:r>
      <w:r w:rsidRPr="00D25F07">
        <w:rPr>
          <w:rFonts w:hint="eastAsia"/>
        </w:rPr>
        <w:t>）、夜间</w:t>
      </w:r>
      <w:r>
        <w:rPr>
          <w:rFonts w:hint="eastAsia"/>
        </w:rPr>
        <w:t>4</w:t>
      </w:r>
      <w:r w:rsidRPr="00D25F07">
        <w:rPr>
          <w:rFonts w:hint="eastAsia"/>
        </w:rPr>
        <w:t>5dB</w:t>
      </w:r>
      <w:r w:rsidRPr="00D25F07">
        <w:rPr>
          <w:rFonts w:hint="eastAsia"/>
        </w:rPr>
        <w:t>（</w:t>
      </w:r>
      <w:r w:rsidRPr="00D25F07">
        <w:rPr>
          <w:rFonts w:hint="eastAsia"/>
        </w:rPr>
        <w:t>A</w:t>
      </w:r>
      <w:r w:rsidRPr="00D25F07">
        <w:rPr>
          <w:rFonts w:hint="eastAsia"/>
        </w:rPr>
        <w:t>））评价。</w:t>
      </w:r>
    </w:p>
    <w:p w:rsidR="00D25F07" w:rsidRPr="00D25F07" w:rsidRDefault="00D25F07" w:rsidP="00475718">
      <w:pPr>
        <w:ind w:firstLine="480"/>
      </w:pPr>
      <w:r>
        <w:rPr>
          <w:rFonts w:hint="eastAsia"/>
        </w:rPr>
        <w:t>（</w:t>
      </w:r>
      <w:r>
        <w:rPr>
          <w:rFonts w:hint="eastAsia"/>
        </w:rPr>
        <w:t>4</w:t>
      </w:r>
      <w:r>
        <w:rPr>
          <w:rFonts w:hint="eastAsia"/>
        </w:rPr>
        <w:t>）</w:t>
      </w:r>
      <w:r w:rsidRPr="00D25F07">
        <w:rPr>
          <w:rFonts w:hint="eastAsia"/>
        </w:rPr>
        <w:t>监测结果与评价</w:t>
      </w:r>
    </w:p>
    <w:p w:rsidR="00475718" w:rsidRDefault="00D25F07" w:rsidP="00475718">
      <w:pPr>
        <w:ind w:firstLine="480"/>
      </w:pPr>
      <w:r>
        <w:rPr>
          <w:rFonts w:hint="eastAsia"/>
        </w:rPr>
        <w:t>拟建工程</w:t>
      </w:r>
      <w:r w:rsidRPr="00D25F07">
        <w:rPr>
          <w:rFonts w:hint="eastAsia"/>
        </w:rPr>
        <w:t>噪声监测统计结果见</w:t>
      </w:r>
      <w:r>
        <w:rPr>
          <w:rFonts w:hint="eastAsia"/>
        </w:rPr>
        <w:t>下表：</w:t>
      </w:r>
    </w:p>
    <w:p w:rsidR="00D25F07" w:rsidRPr="00D25F07" w:rsidRDefault="00E8247D" w:rsidP="00E8247D">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5.3</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14</w:t>
      </w:r>
      <w:r w:rsidR="00A524F9">
        <w:fldChar w:fldCharType="end"/>
      </w:r>
      <w:r>
        <w:rPr>
          <w:rFonts w:hint="eastAsia"/>
        </w:rPr>
        <w:t xml:space="preserve">  </w:t>
      </w:r>
      <w:r>
        <w:rPr>
          <w:rFonts w:hint="eastAsia"/>
        </w:rPr>
        <w:t>噪声监测结果统计一览表</w:t>
      </w:r>
    </w:p>
    <w:tbl>
      <w:tblPr>
        <w:tblW w:w="833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072"/>
        <w:gridCol w:w="1377"/>
        <w:gridCol w:w="1277"/>
        <w:gridCol w:w="1692"/>
        <w:gridCol w:w="1479"/>
        <w:gridCol w:w="1439"/>
      </w:tblGrid>
      <w:tr w:rsidR="00E8247D" w:rsidRPr="00E8247D" w:rsidTr="00E8247D">
        <w:trPr>
          <w:trHeight w:val="340"/>
        </w:trPr>
        <w:tc>
          <w:tcPr>
            <w:tcW w:w="1072" w:type="dxa"/>
            <w:vMerge w:val="restart"/>
            <w:tcBorders>
              <w:top w:val="single" w:sz="4" w:space="0" w:color="000000"/>
              <w:left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采样日期</w:t>
            </w:r>
          </w:p>
        </w:tc>
        <w:tc>
          <w:tcPr>
            <w:tcW w:w="1377" w:type="dxa"/>
            <w:vMerge w:val="restart"/>
            <w:tcBorders>
              <w:top w:val="single" w:sz="4" w:space="0" w:color="000000"/>
              <w:left w:val="nil"/>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点位号</w:t>
            </w:r>
          </w:p>
        </w:tc>
        <w:tc>
          <w:tcPr>
            <w:tcW w:w="1277" w:type="dxa"/>
            <w:vMerge w:val="restart"/>
            <w:tcBorders>
              <w:top w:val="single" w:sz="4" w:space="0" w:color="000000"/>
              <w:left w:val="nil"/>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时间</w:t>
            </w: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实测值</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标准值</w:t>
            </w:r>
          </w:p>
        </w:tc>
        <w:tc>
          <w:tcPr>
            <w:tcW w:w="1439" w:type="dxa"/>
            <w:vMerge w:val="restart"/>
            <w:tcBorders>
              <w:top w:val="single" w:sz="4" w:space="0" w:color="000000"/>
              <w:left w:val="nil"/>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达标情况</w:t>
            </w:r>
          </w:p>
        </w:tc>
      </w:tr>
      <w:tr w:rsidR="00E8247D" w:rsidRPr="00E8247D" w:rsidTr="00E8247D">
        <w:trPr>
          <w:trHeight w:val="516"/>
        </w:trPr>
        <w:tc>
          <w:tcPr>
            <w:tcW w:w="1072" w:type="dxa"/>
            <w:vMerge/>
            <w:tcBorders>
              <w:left w:val="single" w:sz="4" w:space="0" w:color="000000"/>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377" w:type="dxa"/>
            <w:vMerge/>
            <w:tcBorders>
              <w:left w:val="nil"/>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277" w:type="dxa"/>
            <w:vMerge/>
            <w:tcBorders>
              <w:left w:val="nil"/>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LeqdB</w:t>
            </w:r>
            <w:r w:rsidRPr="00E8247D">
              <w:rPr>
                <w:kern w:val="0"/>
                <w:sz w:val="21"/>
              </w:rPr>
              <w:t>（</w:t>
            </w:r>
            <w:r w:rsidRPr="00E8247D">
              <w:rPr>
                <w:kern w:val="0"/>
                <w:sz w:val="21"/>
              </w:rPr>
              <w:t>A</w:t>
            </w:r>
            <w:r w:rsidRPr="00E8247D">
              <w:rPr>
                <w:kern w:val="0"/>
                <w:sz w:val="21"/>
              </w:rPr>
              <w:t>）</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LeqdB</w:t>
            </w:r>
            <w:r w:rsidRPr="00E8247D">
              <w:rPr>
                <w:kern w:val="0"/>
                <w:sz w:val="21"/>
              </w:rPr>
              <w:t>（</w:t>
            </w:r>
            <w:r w:rsidRPr="00E8247D">
              <w:rPr>
                <w:kern w:val="0"/>
                <w:sz w:val="21"/>
              </w:rPr>
              <w:t>A</w:t>
            </w:r>
            <w:r w:rsidRPr="00E8247D">
              <w:rPr>
                <w:kern w:val="0"/>
                <w:sz w:val="21"/>
              </w:rPr>
              <w:t>）</w:t>
            </w:r>
          </w:p>
        </w:tc>
        <w:tc>
          <w:tcPr>
            <w:tcW w:w="1439" w:type="dxa"/>
            <w:vMerge/>
            <w:tcBorders>
              <w:left w:val="nil"/>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r>
      <w:tr w:rsidR="00E8247D" w:rsidRPr="00E8247D" w:rsidTr="004C7D01">
        <w:trPr>
          <w:trHeight w:val="340"/>
        </w:trPr>
        <w:tc>
          <w:tcPr>
            <w:tcW w:w="1072" w:type="dxa"/>
            <w:vMerge w:val="restart"/>
            <w:tcBorders>
              <w:top w:val="single" w:sz="4" w:space="0" w:color="000000"/>
              <w:left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sz w:val="21"/>
              </w:rPr>
              <w:t>2021.7.21</w:t>
            </w:r>
          </w:p>
        </w:tc>
        <w:tc>
          <w:tcPr>
            <w:tcW w:w="1377" w:type="dxa"/>
            <w:vMerge w:val="restart"/>
            <w:tcBorders>
              <w:top w:val="single" w:sz="4" w:space="0" w:color="000000"/>
              <w:left w:val="nil"/>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N1</w:t>
            </w:r>
            <w:r>
              <w:rPr>
                <w:rFonts w:hint="eastAsia"/>
                <w:kern w:val="0"/>
                <w:sz w:val="21"/>
              </w:rPr>
              <w:t>（坝址处）</w:t>
            </w:r>
          </w:p>
        </w:tc>
        <w:tc>
          <w:tcPr>
            <w:tcW w:w="1277"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昼间</w:t>
            </w: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TableParagraph"/>
              <w:rPr>
                <w:rFonts w:ascii="Times New Roman" w:hAnsi="Times New Roman" w:cs="Times New Roman"/>
                <w:sz w:val="21"/>
                <w:szCs w:val="21"/>
                <w:lang w:eastAsia="zh-CN"/>
              </w:rPr>
            </w:pPr>
            <w:r w:rsidRPr="00E8247D">
              <w:rPr>
                <w:rFonts w:ascii="Times New Roman" w:hAnsi="Times New Roman" w:cs="Times New Roman"/>
                <w:sz w:val="21"/>
                <w:szCs w:val="21"/>
                <w:lang w:eastAsia="zh-CN"/>
              </w:rPr>
              <w:t>51</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af0"/>
              <w:adjustRightInd w:val="0"/>
              <w:snapToGrid w:val="0"/>
            </w:pPr>
            <w:r w:rsidRPr="00E8247D">
              <w:t>55</w:t>
            </w:r>
          </w:p>
        </w:tc>
        <w:tc>
          <w:tcPr>
            <w:tcW w:w="143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达标</w:t>
            </w:r>
          </w:p>
        </w:tc>
      </w:tr>
      <w:tr w:rsidR="00E8247D" w:rsidRPr="00E8247D" w:rsidTr="004C7D01">
        <w:trPr>
          <w:trHeight w:val="340"/>
        </w:trPr>
        <w:tc>
          <w:tcPr>
            <w:tcW w:w="1072" w:type="dxa"/>
            <w:vMerge/>
            <w:tcBorders>
              <w:left w:val="single" w:sz="4" w:space="0" w:color="000000"/>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377" w:type="dxa"/>
            <w:vMerge/>
            <w:tcBorders>
              <w:left w:val="nil"/>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277"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夜间</w:t>
            </w: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TableParagraph"/>
              <w:rPr>
                <w:rFonts w:ascii="Times New Roman" w:hAnsi="Times New Roman" w:cs="Times New Roman"/>
                <w:sz w:val="21"/>
                <w:szCs w:val="21"/>
                <w:lang w:eastAsia="zh-CN"/>
              </w:rPr>
            </w:pPr>
            <w:r w:rsidRPr="00E8247D">
              <w:rPr>
                <w:rFonts w:ascii="Times New Roman" w:hAnsi="Times New Roman" w:cs="Times New Roman"/>
                <w:sz w:val="21"/>
                <w:szCs w:val="21"/>
                <w:lang w:eastAsia="zh-CN"/>
              </w:rPr>
              <w:t>44</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af0"/>
              <w:adjustRightInd w:val="0"/>
              <w:snapToGrid w:val="0"/>
            </w:pPr>
            <w:r w:rsidRPr="00E8247D">
              <w:t>45</w:t>
            </w:r>
          </w:p>
        </w:tc>
        <w:tc>
          <w:tcPr>
            <w:tcW w:w="143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达标</w:t>
            </w:r>
          </w:p>
        </w:tc>
      </w:tr>
      <w:tr w:rsidR="00E8247D" w:rsidRPr="00E8247D" w:rsidTr="004C7D01">
        <w:trPr>
          <w:trHeight w:val="340"/>
        </w:trPr>
        <w:tc>
          <w:tcPr>
            <w:tcW w:w="1072" w:type="dxa"/>
            <w:vMerge w:val="restart"/>
            <w:tcBorders>
              <w:top w:val="single" w:sz="4" w:space="0" w:color="000000"/>
              <w:left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r w:rsidRPr="00E8247D">
              <w:rPr>
                <w:sz w:val="21"/>
              </w:rPr>
              <w:t>2021.7.22</w:t>
            </w:r>
          </w:p>
        </w:tc>
        <w:tc>
          <w:tcPr>
            <w:tcW w:w="1377" w:type="dxa"/>
            <w:vMerge w:val="restart"/>
            <w:tcBorders>
              <w:top w:val="single" w:sz="4" w:space="0" w:color="000000"/>
              <w:left w:val="nil"/>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Pr>
                <w:kern w:val="0"/>
                <w:sz w:val="21"/>
              </w:rPr>
              <w:t>N</w:t>
            </w:r>
            <w:r>
              <w:rPr>
                <w:rFonts w:hint="eastAsia"/>
                <w:kern w:val="0"/>
                <w:sz w:val="21"/>
              </w:rPr>
              <w:t>1</w:t>
            </w:r>
            <w:r>
              <w:rPr>
                <w:rFonts w:hint="eastAsia"/>
                <w:kern w:val="0"/>
                <w:sz w:val="21"/>
              </w:rPr>
              <w:t>（坝址处）</w:t>
            </w:r>
          </w:p>
        </w:tc>
        <w:tc>
          <w:tcPr>
            <w:tcW w:w="1277"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昼间</w:t>
            </w: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TableParagraph"/>
              <w:rPr>
                <w:rFonts w:ascii="Times New Roman" w:hAnsi="Times New Roman" w:cs="Times New Roman"/>
                <w:sz w:val="21"/>
                <w:szCs w:val="21"/>
                <w:lang w:eastAsia="zh-CN"/>
              </w:rPr>
            </w:pPr>
            <w:r w:rsidRPr="00E8247D">
              <w:rPr>
                <w:rFonts w:ascii="Times New Roman" w:hAnsi="Times New Roman" w:cs="Times New Roman"/>
                <w:sz w:val="21"/>
                <w:szCs w:val="21"/>
                <w:lang w:eastAsia="zh-CN"/>
              </w:rPr>
              <w:t>50</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af0"/>
              <w:adjustRightInd w:val="0"/>
              <w:snapToGrid w:val="0"/>
            </w:pPr>
            <w:r w:rsidRPr="00E8247D">
              <w:t>55</w:t>
            </w:r>
          </w:p>
        </w:tc>
        <w:tc>
          <w:tcPr>
            <w:tcW w:w="143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达标</w:t>
            </w:r>
          </w:p>
        </w:tc>
      </w:tr>
      <w:tr w:rsidR="00E8247D" w:rsidRPr="00E8247D" w:rsidTr="004C7D01">
        <w:trPr>
          <w:trHeight w:val="340"/>
        </w:trPr>
        <w:tc>
          <w:tcPr>
            <w:tcW w:w="1072" w:type="dxa"/>
            <w:vMerge/>
            <w:tcBorders>
              <w:left w:val="single" w:sz="4" w:space="0" w:color="000000"/>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377" w:type="dxa"/>
            <w:vMerge/>
            <w:tcBorders>
              <w:left w:val="nil"/>
              <w:bottom w:val="single" w:sz="4" w:space="0" w:color="000000"/>
              <w:right w:val="single" w:sz="4" w:space="0" w:color="000000"/>
            </w:tcBorders>
            <w:vAlign w:val="center"/>
          </w:tcPr>
          <w:p w:rsidR="00E8247D" w:rsidRPr="00E8247D" w:rsidRDefault="00E8247D" w:rsidP="00E8247D">
            <w:pPr>
              <w:widowControl/>
              <w:adjustRightInd w:val="0"/>
              <w:snapToGrid w:val="0"/>
              <w:spacing w:line="240" w:lineRule="auto"/>
              <w:ind w:firstLineChars="0" w:firstLine="0"/>
              <w:jc w:val="center"/>
              <w:rPr>
                <w:sz w:val="21"/>
              </w:rPr>
            </w:pPr>
          </w:p>
        </w:tc>
        <w:tc>
          <w:tcPr>
            <w:tcW w:w="1277"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夜间</w:t>
            </w:r>
          </w:p>
        </w:tc>
        <w:tc>
          <w:tcPr>
            <w:tcW w:w="1692"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TableParagraph"/>
              <w:rPr>
                <w:rFonts w:ascii="Times New Roman" w:hAnsi="Times New Roman" w:cs="Times New Roman"/>
                <w:sz w:val="21"/>
                <w:szCs w:val="21"/>
                <w:lang w:eastAsia="zh-CN"/>
              </w:rPr>
            </w:pPr>
            <w:r w:rsidRPr="00E8247D">
              <w:rPr>
                <w:rFonts w:ascii="Times New Roman" w:hAnsi="Times New Roman" w:cs="Times New Roman"/>
                <w:sz w:val="21"/>
                <w:szCs w:val="21"/>
                <w:lang w:eastAsia="zh-CN"/>
              </w:rPr>
              <w:t>42</w:t>
            </w:r>
          </w:p>
        </w:tc>
        <w:tc>
          <w:tcPr>
            <w:tcW w:w="147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pStyle w:val="af0"/>
              <w:adjustRightInd w:val="0"/>
              <w:snapToGrid w:val="0"/>
            </w:pPr>
            <w:r w:rsidRPr="00E8247D">
              <w:t>45</w:t>
            </w:r>
          </w:p>
        </w:tc>
        <w:tc>
          <w:tcPr>
            <w:tcW w:w="1439" w:type="dxa"/>
            <w:tcBorders>
              <w:top w:val="single" w:sz="4" w:space="0" w:color="000000"/>
              <w:left w:val="nil"/>
              <w:bottom w:val="single" w:sz="4" w:space="0" w:color="000000"/>
              <w:right w:val="single" w:sz="4" w:space="0" w:color="000000"/>
            </w:tcBorders>
            <w:vAlign w:val="center"/>
            <w:hideMark/>
          </w:tcPr>
          <w:p w:rsidR="00E8247D" w:rsidRPr="00E8247D" w:rsidRDefault="00E8247D" w:rsidP="00E8247D">
            <w:pPr>
              <w:widowControl/>
              <w:adjustRightInd w:val="0"/>
              <w:snapToGrid w:val="0"/>
              <w:spacing w:line="240" w:lineRule="auto"/>
              <w:ind w:firstLineChars="0" w:firstLine="0"/>
              <w:jc w:val="center"/>
              <w:textAlignment w:val="center"/>
              <w:rPr>
                <w:sz w:val="21"/>
              </w:rPr>
            </w:pPr>
            <w:r w:rsidRPr="00E8247D">
              <w:rPr>
                <w:kern w:val="0"/>
                <w:sz w:val="21"/>
              </w:rPr>
              <w:t>达标</w:t>
            </w:r>
          </w:p>
        </w:tc>
      </w:tr>
    </w:tbl>
    <w:p w:rsidR="00D25F07" w:rsidRDefault="00E8247D" w:rsidP="00E8247D">
      <w:pPr>
        <w:tabs>
          <w:tab w:val="left" w:pos="3016"/>
        </w:tabs>
        <w:ind w:firstLine="480"/>
      </w:pPr>
      <w:r>
        <w:rPr>
          <w:rFonts w:hint="eastAsia"/>
        </w:rPr>
        <w:t>根据噪声监测结果可知，项目所在区域声环境质量能够满足</w:t>
      </w:r>
      <w:r w:rsidRPr="00D25F07">
        <w:rPr>
          <w:rFonts w:hint="eastAsia"/>
        </w:rPr>
        <w:t>《声环境质量标准》（</w:t>
      </w:r>
      <w:r w:rsidRPr="00D25F07">
        <w:rPr>
          <w:rFonts w:hint="eastAsia"/>
        </w:rPr>
        <w:t>GB3096-2008</w:t>
      </w:r>
      <w:r w:rsidRPr="00D25F07">
        <w:rPr>
          <w:rFonts w:hint="eastAsia"/>
        </w:rPr>
        <w:t>）中的</w:t>
      </w:r>
      <w:r>
        <w:rPr>
          <w:rFonts w:hint="eastAsia"/>
        </w:rPr>
        <w:t>1</w:t>
      </w:r>
      <w:r w:rsidRPr="00D25F07">
        <w:rPr>
          <w:rFonts w:hint="eastAsia"/>
        </w:rPr>
        <w:t>类标准</w:t>
      </w:r>
      <w:r>
        <w:rPr>
          <w:rFonts w:hint="eastAsia"/>
        </w:rPr>
        <w:t>，说明区域声环境质量现状良好。</w:t>
      </w:r>
      <w:r>
        <w:tab/>
      </w:r>
    </w:p>
    <w:p w:rsidR="00D25F07" w:rsidRDefault="00D25F07" w:rsidP="00475718">
      <w:pPr>
        <w:ind w:firstLine="480"/>
      </w:pPr>
    </w:p>
    <w:p w:rsidR="00475718" w:rsidRPr="00E8247D" w:rsidRDefault="00475718" w:rsidP="00475718">
      <w:pPr>
        <w:ind w:firstLine="480"/>
        <w:sectPr w:rsidR="00475718" w:rsidRPr="00E8247D">
          <w:pgSz w:w="11906" w:h="16838"/>
          <w:pgMar w:top="1440" w:right="1800" w:bottom="1440" w:left="1800" w:header="851" w:footer="992" w:gutter="0"/>
          <w:cols w:space="425"/>
          <w:docGrid w:type="lines" w:linePitch="312"/>
        </w:sectPr>
      </w:pPr>
    </w:p>
    <w:p w:rsidR="006175A6" w:rsidRDefault="009B4BA7">
      <w:pPr>
        <w:pStyle w:val="1"/>
      </w:pPr>
      <w:bookmarkStart w:id="62" w:name="_Toc80170110"/>
      <w:r>
        <w:rPr>
          <w:rFonts w:hint="eastAsia"/>
        </w:rPr>
        <w:lastRenderedPageBreak/>
        <w:t>环境影响预测与评价</w:t>
      </w:r>
      <w:bookmarkEnd w:id="62"/>
    </w:p>
    <w:p w:rsidR="006175A6" w:rsidRDefault="009B4BA7">
      <w:pPr>
        <w:pStyle w:val="2"/>
      </w:pPr>
      <w:bookmarkStart w:id="63" w:name="_Toc80170111"/>
      <w:r>
        <w:rPr>
          <w:rFonts w:hint="eastAsia"/>
        </w:rPr>
        <w:t>生态环境影响预测与评价</w:t>
      </w:r>
      <w:bookmarkEnd w:id="63"/>
    </w:p>
    <w:p w:rsidR="006175A6" w:rsidRDefault="009B4BA7">
      <w:pPr>
        <w:pStyle w:val="3"/>
      </w:pPr>
      <w:r>
        <w:rPr>
          <w:rFonts w:hint="eastAsia"/>
        </w:rPr>
        <w:t>自然生态体系影响评价</w:t>
      </w:r>
    </w:p>
    <w:p w:rsidR="006175A6" w:rsidRDefault="009B4BA7" w:rsidP="00B12CC0">
      <w:pPr>
        <w:pStyle w:val="4"/>
      </w:pPr>
      <w:r>
        <w:rPr>
          <w:rFonts w:hint="eastAsia"/>
        </w:rPr>
        <w:t>自然生态体系生产力影响评价</w:t>
      </w:r>
    </w:p>
    <w:p w:rsidR="006175A6" w:rsidRPr="00BD1BA6" w:rsidRDefault="009B4BA7">
      <w:pPr>
        <w:ind w:firstLine="480"/>
      </w:pPr>
      <w:r w:rsidRPr="00BD1BA6">
        <w:rPr>
          <w:rFonts w:hint="eastAsia"/>
        </w:rPr>
        <w:t>本工程对区域自然体系生态完整性的影响主要是由于水库淹没和永久占地引起的，工程淹没和永久占地对土地利用类型的改变是永久性的。永久占地</w:t>
      </w:r>
      <w:r w:rsidRPr="00BD1BA6">
        <w:rPr>
          <w:rFonts w:hint="eastAsia"/>
        </w:rPr>
        <w:t>38.13hm</w:t>
      </w:r>
      <w:r w:rsidRPr="00BD1BA6">
        <w:rPr>
          <w:rFonts w:hint="eastAsia"/>
          <w:vertAlign w:val="superscript"/>
        </w:rPr>
        <w:t>2</w:t>
      </w:r>
      <w:r w:rsidR="0071768F" w:rsidRPr="00BD1BA6">
        <w:rPr>
          <w:rFonts w:hint="eastAsia"/>
        </w:rPr>
        <w:t>，</w:t>
      </w:r>
      <w:r w:rsidR="009A726E" w:rsidRPr="00BD1BA6">
        <w:rPr>
          <w:rFonts w:hint="eastAsia"/>
        </w:rPr>
        <w:t>根据评价范围内地理空间信息分析，</w:t>
      </w:r>
      <w:r w:rsidRPr="00BD1BA6">
        <w:rPr>
          <w:rFonts w:hint="eastAsia"/>
        </w:rPr>
        <w:t>在工程建设完成后使评价区的各拼块类型发生变化，面积和生物量变化情况见下表。</w:t>
      </w:r>
    </w:p>
    <w:p w:rsidR="006175A6" w:rsidRPr="00BD1BA6" w:rsidRDefault="009B4BA7">
      <w:pPr>
        <w:pStyle w:val="a3"/>
      </w:pPr>
      <w:bookmarkStart w:id="64" w:name="_Ref80126622"/>
      <w:r w:rsidRPr="00BD1BA6">
        <w:rPr>
          <w:rFonts w:hint="eastAsia"/>
        </w:rPr>
        <w:t>表</w:t>
      </w:r>
      <w:r w:rsidRPr="00BD1BA6">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64"/>
      <w:r w:rsidRPr="00BD1BA6">
        <w:rPr>
          <w:rFonts w:hint="eastAsia"/>
        </w:rPr>
        <w:t xml:space="preserve">  </w:t>
      </w:r>
      <w:r w:rsidRPr="00BD1BA6">
        <w:rPr>
          <w:rFonts w:hint="eastAsia"/>
        </w:rPr>
        <w:t>工程影响区内生物量变化情况表</w:t>
      </w:r>
    </w:p>
    <w:tbl>
      <w:tblPr>
        <w:tblW w:w="5000" w:type="pct"/>
        <w:tblLook w:val="04A0" w:firstRow="1" w:lastRow="0" w:firstColumn="1" w:lastColumn="0" w:noHBand="0" w:noVBand="1"/>
      </w:tblPr>
      <w:tblGrid>
        <w:gridCol w:w="2517"/>
        <w:gridCol w:w="994"/>
        <w:gridCol w:w="992"/>
        <w:gridCol w:w="1179"/>
        <w:gridCol w:w="1420"/>
        <w:gridCol w:w="1420"/>
      </w:tblGrid>
      <w:tr w:rsidR="00BD1BA6" w:rsidRPr="00BD1BA6" w:rsidTr="00BD1BA6">
        <w:trPr>
          <w:trHeight w:val="340"/>
        </w:trPr>
        <w:tc>
          <w:tcPr>
            <w:tcW w:w="14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用地类型</w:t>
            </w:r>
          </w:p>
        </w:tc>
        <w:tc>
          <w:tcPr>
            <w:tcW w:w="1856"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面积（</w:t>
            </w:r>
            <w:r w:rsidRPr="00BD1BA6">
              <w:rPr>
                <w:color w:val="000000"/>
                <w:kern w:val="0"/>
                <w:sz w:val="21"/>
              </w:rPr>
              <w:t>hm</w:t>
            </w:r>
            <w:r w:rsidRPr="00BD1BA6">
              <w:rPr>
                <w:color w:val="000000"/>
                <w:kern w:val="0"/>
                <w:sz w:val="21"/>
                <w:vertAlign w:val="superscript"/>
              </w:rPr>
              <w:t>2</w:t>
            </w:r>
            <w:r w:rsidRPr="00BD1BA6">
              <w:rPr>
                <w:color w:val="000000"/>
                <w:kern w:val="0"/>
                <w:sz w:val="21"/>
              </w:rPr>
              <w:t>）</w:t>
            </w:r>
          </w:p>
        </w:tc>
        <w:tc>
          <w:tcPr>
            <w:tcW w:w="8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7B11BF" w:rsidP="00BD1BA6">
            <w:pPr>
              <w:widowControl/>
              <w:spacing w:line="240" w:lineRule="auto"/>
              <w:ind w:firstLineChars="0" w:firstLine="0"/>
              <w:jc w:val="center"/>
              <w:rPr>
                <w:color w:val="000000"/>
                <w:kern w:val="0"/>
                <w:sz w:val="21"/>
              </w:rPr>
            </w:pPr>
            <w:r>
              <w:rPr>
                <w:color w:val="000000"/>
                <w:kern w:val="0"/>
                <w:sz w:val="21"/>
              </w:rPr>
              <w:t>建成后</w:t>
            </w:r>
            <w:r w:rsidR="00BD1BA6" w:rsidRPr="00BD1BA6">
              <w:rPr>
                <w:color w:val="000000"/>
                <w:kern w:val="0"/>
                <w:sz w:val="21"/>
              </w:rPr>
              <w:t>平均净生产力</w:t>
            </w:r>
            <w:r w:rsidR="00BD1BA6" w:rsidRPr="00BD1BA6">
              <w:rPr>
                <w:color w:val="000000"/>
                <w:kern w:val="0"/>
                <w:sz w:val="21"/>
              </w:rPr>
              <w:t>[gC/</w:t>
            </w:r>
            <w:r w:rsidR="00E97427">
              <w:rPr>
                <w:color w:val="000000"/>
                <w:kern w:val="0"/>
                <w:sz w:val="21"/>
              </w:rPr>
              <w:t>（</w:t>
            </w:r>
            <w:r w:rsidR="00BD1BA6" w:rsidRPr="00BD1BA6">
              <w:rPr>
                <w:color w:val="000000"/>
                <w:kern w:val="0"/>
                <w:sz w:val="21"/>
              </w:rPr>
              <w:t>m</w:t>
            </w:r>
            <w:r w:rsidR="00BD1BA6" w:rsidRPr="00BD1BA6">
              <w:rPr>
                <w:color w:val="000000"/>
                <w:kern w:val="0"/>
                <w:sz w:val="21"/>
                <w:vertAlign w:val="superscript"/>
              </w:rPr>
              <w:t>2</w:t>
            </w:r>
            <w:r w:rsidR="00BD1BA6" w:rsidRPr="00BD1BA6">
              <w:rPr>
                <w:color w:val="000000"/>
                <w:kern w:val="0"/>
                <w:sz w:val="21"/>
              </w:rPr>
              <w:t>·a</w:t>
            </w:r>
            <w:r w:rsidR="00E97427">
              <w:rPr>
                <w:color w:val="000000"/>
                <w:kern w:val="0"/>
                <w:sz w:val="21"/>
              </w:rPr>
              <w:t>）</w:t>
            </w:r>
            <w:r w:rsidR="00BD1BA6" w:rsidRPr="00BD1BA6">
              <w:rPr>
                <w:color w:val="000000"/>
                <w:kern w:val="0"/>
                <w:sz w:val="21"/>
              </w:rPr>
              <w:t>]</w:t>
            </w:r>
          </w:p>
        </w:tc>
        <w:tc>
          <w:tcPr>
            <w:tcW w:w="8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生产力变化</w:t>
            </w:r>
            <w:r w:rsidR="00E97427">
              <w:rPr>
                <w:color w:val="000000"/>
                <w:kern w:val="0"/>
                <w:sz w:val="21"/>
              </w:rPr>
              <w:t>（</w:t>
            </w:r>
            <w:r w:rsidRPr="00BD1BA6">
              <w:rPr>
                <w:color w:val="000000"/>
                <w:kern w:val="0"/>
                <w:sz w:val="21"/>
              </w:rPr>
              <w:t>t/a</w:t>
            </w:r>
            <w:r w:rsidR="00E97427">
              <w:rPr>
                <w:color w:val="000000"/>
                <w:kern w:val="0"/>
                <w:sz w:val="21"/>
              </w:rPr>
              <w:t>）</w:t>
            </w:r>
          </w:p>
        </w:tc>
      </w:tr>
      <w:tr w:rsidR="00BD1BA6" w:rsidRPr="00BD1BA6" w:rsidTr="00BD1BA6">
        <w:trPr>
          <w:trHeight w:val="340"/>
        </w:trPr>
        <w:tc>
          <w:tcPr>
            <w:tcW w:w="1477" w:type="pct"/>
            <w:vMerge/>
            <w:tcBorders>
              <w:top w:val="single" w:sz="4" w:space="0" w:color="000000"/>
              <w:left w:val="single" w:sz="4" w:space="0" w:color="000000"/>
              <w:bottom w:val="single" w:sz="4" w:space="0" w:color="000000"/>
              <w:right w:val="single" w:sz="4" w:space="0" w:color="000000"/>
            </w:tcBorders>
            <w:vAlign w:val="center"/>
            <w:hideMark/>
          </w:tcPr>
          <w:p w:rsidR="00BD1BA6" w:rsidRPr="00BD1BA6" w:rsidRDefault="00BD1BA6" w:rsidP="00BD1BA6">
            <w:pPr>
              <w:widowControl/>
              <w:spacing w:line="240" w:lineRule="auto"/>
              <w:ind w:firstLineChars="0" w:firstLine="0"/>
              <w:jc w:val="center"/>
              <w:rPr>
                <w:color w:val="000000"/>
                <w:kern w:val="0"/>
                <w:sz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建成前</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建成后</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面积变化</w:t>
            </w:r>
          </w:p>
        </w:tc>
        <w:tc>
          <w:tcPr>
            <w:tcW w:w="833" w:type="pct"/>
            <w:vMerge/>
            <w:tcBorders>
              <w:top w:val="single" w:sz="4" w:space="0" w:color="000000"/>
              <w:left w:val="single" w:sz="4" w:space="0" w:color="000000"/>
              <w:bottom w:val="single" w:sz="4" w:space="0" w:color="000000"/>
              <w:right w:val="single" w:sz="4" w:space="0" w:color="000000"/>
            </w:tcBorders>
            <w:vAlign w:val="center"/>
            <w:hideMark/>
          </w:tcPr>
          <w:p w:rsidR="00BD1BA6" w:rsidRPr="00BD1BA6" w:rsidRDefault="00BD1BA6" w:rsidP="00BD1BA6">
            <w:pPr>
              <w:widowControl/>
              <w:spacing w:line="240" w:lineRule="auto"/>
              <w:ind w:firstLineChars="0" w:firstLine="0"/>
              <w:jc w:val="center"/>
              <w:rPr>
                <w:color w:val="000000"/>
                <w:kern w:val="0"/>
                <w:sz w:val="21"/>
              </w:rPr>
            </w:pPr>
          </w:p>
        </w:tc>
        <w:tc>
          <w:tcPr>
            <w:tcW w:w="833" w:type="pct"/>
            <w:vMerge/>
            <w:tcBorders>
              <w:top w:val="single" w:sz="4" w:space="0" w:color="000000"/>
              <w:left w:val="single" w:sz="4" w:space="0" w:color="000000"/>
              <w:bottom w:val="single" w:sz="4" w:space="0" w:color="000000"/>
              <w:right w:val="single" w:sz="4" w:space="0" w:color="000000"/>
            </w:tcBorders>
            <w:vAlign w:val="center"/>
            <w:hideMark/>
          </w:tcPr>
          <w:p w:rsidR="00BD1BA6" w:rsidRPr="00BD1BA6" w:rsidRDefault="00BD1BA6" w:rsidP="00BD1BA6">
            <w:pPr>
              <w:widowControl/>
              <w:spacing w:line="240" w:lineRule="auto"/>
              <w:ind w:firstLineChars="0" w:firstLine="0"/>
              <w:jc w:val="center"/>
              <w:rPr>
                <w:color w:val="000000"/>
                <w:kern w:val="0"/>
                <w:sz w:val="21"/>
              </w:rPr>
            </w:pP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马尾松、华山松亚热带针叶林</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1273.88</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1271.60</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-2.28</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975.3</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-22.2</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栓皮栎、苦槠、青冈亚热带阔叶林</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1170.69</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1168.93</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-1.76</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1043</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-18.4</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白栎、短柄树、芒草亚热带灌草丛</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615.28</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596.08</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-19.2</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742.8</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-142.6</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夏玉米、冬小麦等旱地栽培植被</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210.34</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210.34</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0</w:t>
            </w:r>
          </w:p>
        </w:tc>
        <w:tc>
          <w:tcPr>
            <w:tcW w:w="8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804</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0.0</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夏稻等水田栽培植被</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43.79</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43.79</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0</w:t>
            </w:r>
          </w:p>
        </w:tc>
        <w:tc>
          <w:tcPr>
            <w:tcW w:w="833" w:type="pct"/>
            <w:vMerge/>
            <w:tcBorders>
              <w:top w:val="single" w:sz="4" w:space="0" w:color="000000"/>
              <w:left w:val="single" w:sz="4" w:space="0" w:color="000000"/>
              <w:bottom w:val="single" w:sz="4" w:space="0" w:color="000000"/>
              <w:right w:val="single" w:sz="4" w:space="0" w:color="000000"/>
            </w:tcBorders>
            <w:vAlign w:val="center"/>
            <w:hideMark/>
          </w:tcPr>
          <w:p w:rsidR="00BD1BA6" w:rsidRPr="00BD1BA6" w:rsidRDefault="00BD1BA6" w:rsidP="00BD1BA6">
            <w:pPr>
              <w:widowControl/>
              <w:spacing w:line="240" w:lineRule="auto"/>
              <w:ind w:firstLineChars="0" w:firstLine="0"/>
              <w:jc w:val="center"/>
              <w:rPr>
                <w:color w:val="000000"/>
                <w:kern w:val="0"/>
                <w:sz w:val="21"/>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0.0</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空心莲子草等水生植被</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18.82</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4.75</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-14.07</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300</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-42.2</w:t>
            </w:r>
          </w:p>
        </w:tc>
      </w:tr>
      <w:tr w:rsidR="00BD1BA6" w:rsidRPr="00BD1BA6" w:rsidTr="00BD1BA6">
        <w:trPr>
          <w:trHeight w:val="340"/>
        </w:trPr>
        <w:tc>
          <w:tcPr>
            <w:tcW w:w="1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合计</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3332.81</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3295.50</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-37.31</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787.8</w:t>
            </w:r>
          </w:p>
        </w:tc>
        <w:tc>
          <w:tcPr>
            <w:tcW w:w="83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D1BA6" w:rsidRPr="00BD1BA6" w:rsidRDefault="00BD1BA6" w:rsidP="00BD1BA6">
            <w:pPr>
              <w:widowControl/>
              <w:spacing w:line="240" w:lineRule="auto"/>
              <w:ind w:firstLineChars="0" w:firstLine="0"/>
              <w:jc w:val="center"/>
              <w:rPr>
                <w:color w:val="000000"/>
                <w:kern w:val="0"/>
                <w:sz w:val="21"/>
              </w:rPr>
            </w:pPr>
            <w:r w:rsidRPr="00BD1BA6">
              <w:rPr>
                <w:color w:val="000000"/>
                <w:kern w:val="0"/>
                <w:sz w:val="21"/>
              </w:rPr>
              <w:t>-293.9</w:t>
            </w:r>
          </w:p>
        </w:tc>
      </w:tr>
    </w:tbl>
    <w:p w:rsidR="006175A6" w:rsidRPr="007B11BF" w:rsidRDefault="00C350A7">
      <w:pPr>
        <w:ind w:firstLine="480"/>
      </w:pPr>
      <w:r w:rsidRPr="007B11BF">
        <w:rPr>
          <w:rFonts w:hint="eastAsia"/>
        </w:rPr>
        <w:t>经计算，项目建成后平均净生产力为</w:t>
      </w:r>
      <w:r w:rsidR="007B11BF" w:rsidRPr="007B11BF">
        <w:rPr>
          <w:rFonts w:hint="eastAsia"/>
        </w:rPr>
        <w:t>943.0</w:t>
      </w:r>
      <w:r w:rsidR="007B11BF" w:rsidRPr="007B11BF">
        <w:rPr>
          <w:rFonts w:hint="eastAsia"/>
          <w:szCs w:val="24"/>
        </w:rPr>
        <w:t>8</w:t>
      </w:r>
      <w:r w:rsidR="007B11BF" w:rsidRPr="007B11BF">
        <w:rPr>
          <w:kern w:val="0"/>
          <w:szCs w:val="24"/>
        </w:rPr>
        <w:t xml:space="preserve"> gC/</w:t>
      </w:r>
      <w:r w:rsidR="00E97427">
        <w:rPr>
          <w:kern w:val="0"/>
          <w:szCs w:val="24"/>
        </w:rPr>
        <w:t>（</w:t>
      </w:r>
      <w:r w:rsidR="007B11BF" w:rsidRPr="007B11BF">
        <w:rPr>
          <w:kern w:val="0"/>
          <w:szCs w:val="24"/>
        </w:rPr>
        <w:t>m</w:t>
      </w:r>
      <w:r w:rsidR="007B11BF" w:rsidRPr="007B11BF">
        <w:rPr>
          <w:kern w:val="0"/>
          <w:szCs w:val="24"/>
          <w:vertAlign w:val="superscript"/>
        </w:rPr>
        <w:t>2</w:t>
      </w:r>
      <w:r w:rsidR="007B11BF" w:rsidRPr="007B11BF">
        <w:rPr>
          <w:kern w:val="0"/>
          <w:szCs w:val="24"/>
        </w:rPr>
        <w:t>·a</w:t>
      </w:r>
      <w:r w:rsidR="00E97427">
        <w:rPr>
          <w:kern w:val="0"/>
          <w:szCs w:val="24"/>
        </w:rPr>
        <w:t>）</w:t>
      </w:r>
      <w:r w:rsidRPr="007B11BF">
        <w:rPr>
          <w:rFonts w:hint="eastAsia"/>
        </w:rPr>
        <w:t>，平均净生产力</w:t>
      </w:r>
      <w:r w:rsidR="007B11BF" w:rsidRPr="007B11BF">
        <w:rPr>
          <w:rFonts w:hint="eastAsia"/>
        </w:rPr>
        <w:t>较以前</w:t>
      </w:r>
      <w:r w:rsidR="007B11BF" w:rsidRPr="007B11BF">
        <w:rPr>
          <w:rFonts w:hint="eastAsia"/>
        </w:rPr>
        <w:t>939.28</w:t>
      </w:r>
      <w:r w:rsidR="007B11BF" w:rsidRPr="007B11BF">
        <w:rPr>
          <w:kern w:val="0"/>
          <w:szCs w:val="24"/>
        </w:rPr>
        <w:t xml:space="preserve"> gC/</w:t>
      </w:r>
      <w:r w:rsidR="00E97427">
        <w:rPr>
          <w:kern w:val="0"/>
          <w:szCs w:val="24"/>
        </w:rPr>
        <w:t>（</w:t>
      </w:r>
      <w:r w:rsidR="007B11BF" w:rsidRPr="007B11BF">
        <w:rPr>
          <w:kern w:val="0"/>
          <w:szCs w:val="24"/>
        </w:rPr>
        <w:t>m</w:t>
      </w:r>
      <w:r w:rsidR="007B11BF" w:rsidRPr="007B11BF">
        <w:rPr>
          <w:kern w:val="0"/>
          <w:szCs w:val="24"/>
          <w:vertAlign w:val="superscript"/>
        </w:rPr>
        <w:t>2</w:t>
      </w:r>
      <w:r w:rsidR="007B11BF" w:rsidRPr="007B11BF">
        <w:rPr>
          <w:kern w:val="0"/>
          <w:szCs w:val="24"/>
        </w:rPr>
        <w:t>·a</w:t>
      </w:r>
      <w:r w:rsidR="00E97427">
        <w:rPr>
          <w:kern w:val="0"/>
          <w:szCs w:val="24"/>
        </w:rPr>
        <w:t>）</w:t>
      </w:r>
      <w:r w:rsidR="007B11BF" w:rsidRPr="007B11BF">
        <w:rPr>
          <w:kern w:val="0"/>
          <w:szCs w:val="24"/>
        </w:rPr>
        <w:t>有所增加</w:t>
      </w:r>
      <w:r w:rsidR="007B11BF" w:rsidRPr="007B11BF">
        <w:rPr>
          <w:rFonts w:hint="eastAsia"/>
          <w:kern w:val="0"/>
          <w:szCs w:val="24"/>
        </w:rPr>
        <w:t>，</w:t>
      </w:r>
      <w:r w:rsidR="007B11BF" w:rsidRPr="007B11BF">
        <w:rPr>
          <w:kern w:val="0"/>
          <w:szCs w:val="24"/>
        </w:rPr>
        <w:t>分析其原因是项目建成之后</w:t>
      </w:r>
      <w:r w:rsidR="007B11BF" w:rsidRPr="007B11BF">
        <w:rPr>
          <w:rFonts w:hint="eastAsia"/>
          <w:kern w:val="0"/>
          <w:szCs w:val="24"/>
        </w:rPr>
        <w:t>，</w:t>
      </w:r>
      <w:r w:rsidR="007B11BF" w:rsidRPr="007B11BF">
        <w:rPr>
          <w:kern w:val="0"/>
          <w:szCs w:val="24"/>
        </w:rPr>
        <w:t>导致针叶林</w:t>
      </w:r>
      <w:r w:rsidR="007B11BF" w:rsidRPr="007B11BF">
        <w:rPr>
          <w:rFonts w:hint="eastAsia"/>
          <w:kern w:val="0"/>
          <w:szCs w:val="24"/>
        </w:rPr>
        <w:t>、</w:t>
      </w:r>
      <w:r w:rsidR="007B11BF" w:rsidRPr="007B11BF">
        <w:rPr>
          <w:kern w:val="0"/>
          <w:szCs w:val="24"/>
        </w:rPr>
        <w:t>阔叶林等植被的相对比例增大</w:t>
      </w:r>
      <w:r w:rsidR="007B11BF" w:rsidRPr="007B11BF">
        <w:rPr>
          <w:rFonts w:hint="eastAsia"/>
          <w:kern w:val="0"/>
          <w:szCs w:val="24"/>
        </w:rPr>
        <w:t>，</w:t>
      </w:r>
      <w:r w:rsidR="007B11BF" w:rsidRPr="007B11BF">
        <w:rPr>
          <w:kern w:val="0"/>
          <w:szCs w:val="24"/>
        </w:rPr>
        <w:t>总面积减少</w:t>
      </w:r>
      <w:r w:rsidR="007B11BF" w:rsidRPr="007B11BF">
        <w:rPr>
          <w:rFonts w:hint="eastAsia"/>
          <w:kern w:val="0"/>
          <w:szCs w:val="24"/>
        </w:rPr>
        <w:t>，</w:t>
      </w:r>
      <w:r w:rsidR="007B11BF" w:rsidRPr="007B11BF">
        <w:rPr>
          <w:kern w:val="0"/>
          <w:szCs w:val="24"/>
        </w:rPr>
        <w:t>从而平均净生产力变大</w:t>
      </w:r>
      <w:r w:rsidR="007B11BF" w:rsidRPr="007B11BF">
        <w:rPr>
          <w:rFonts w:hint="eastAsia"/>
          <w:kern w:val="0"/>
          <w:szCs w:val="24"/>
        </w:rPr>
        <w:t>，</w:t>
      </w:r>
      <w:r w:rsidR="007B11BF" w:rsidRPr="007B11BF">
        <w:rPr>
          <w:kern w:val="0"/>
          <w:szCs w:val="24"/>
        </w:rPr>
        <w:t>项目建成之后</w:t>
      </w:r>
      <w:r w:rsidR="007B11BF" w:rsidRPr="007B11BF">
        <w:rPr>
          <w:rFonts w:hint="eastAsia"/>
          <w:kern w:val="0"/>
          <w:szCs w:val="24"/>
        </w:rPr>
        <w:t>，</w:t>
      </w:r>
      <w:r w:rsidR="007B11BF" w:rsidRPr="007B11BF">
        <w:rPr>
          <w:kern w:val="0"/>
          <w:szCs w:val="24"/>
        </w:rPr>
        <w:t>总的生产力有所降低，总体来说</w:t>
      </w:r>
      <w:r w:rsidR="007B11BF" w:rsidRPr="007B11BF">
        <w:rPr>
          <w:rFonts w:hint="eastAsia"/>
          <w:kern w:val="0"/>
          <w:szCs w:val="24"/>
        </w:rPr>
        <w:t>，</w:t>
      </w:r>
      <w:r w:rsidR="007B11BF" w:rsidRPr="007B11BF">
        <w:rPr>
          <w:kern w:val="0"/>
          <w:szCs w:val="24"/>
        </w:rPr>
        <w:t>项目建成之后</w:t>
      </w:r>
      <w:r w:rsidR="007B11BF" w:rsidRPr="007B11BF">
        <w:rPr>
          <w:rFonts w:hint="eastAsia"/>
          <w:kern w:val="0"/>
          <w:szCs w:val="24"/>
        </w:rPr>
        <w:t>，</w:t>
      </w:r>
      <w:r w:rsidR="007B11BF" w:rsidRPr="007B11BF">
        <w:rPr>
          <w:kern w:val="0"/>
          <w:szCs w:val="24"/>
        </w:rPr>
        <w:t>平均净生产力高于全球陆地水平</w:t>
      </w:r>
      <w:r w:rsidR="007B11BF" w:rsidRPr="007B11BF">
        <w:rPr>
          <w:rFonts w:hint="eastAsia"/>
        </w:rPr>
        <w:t>720 gC/</w:t>
      </w:r>
      <w:r w:rsidR="00E97427">
        <w:rPr>
          <w:rFonts w:hint="eastAsia"/>
        </w:rPr>
        <w:t>（</w:t>
      </w:r>
      <w:r w:rsidR="007B11BF" w:rsidRPr="007B11BF">
        <w:rPr>
          <w:rFonts w:hint="eastAsia"/>
        </w:rPr>
        <w:t>m</w:t>
      </w:r>
      <w:r w:rsidR="007B11BF" w:rsidRPr="007B11BF">
        <w:rPr>
          <w:rFonts w:hint="eastAsia"/>
          <w:vertAlign w:val="superscript"/>
        </w:rPr>
        <w:t>2</w:t>
      </w:r>
      <w:r w:rsidR="007B11BF" w:rsidRPr="007B11BF">
        <w:rPr>
          <w:rFonts w:hint="eastAsia"/>
        </w:rPr>
        <w:t>·</w:t>
      </w:r>
      <w:r w:rsidR="007B11BF" w:rsidRPr="007B11BF">
        <w:rPr>
          <w:rFonts w:hint="eastAsia"/>
        </w:rPr>
        <w:t>a</w:t>
      </w:r>
      <w:r w:rsidR="00E97427">
        <w:rPr>
          <w:rFonts w:hint="eastAsia"/>
        </w:rPr>
        <w:t>）</w:t>
      </w:r>
      <w:r w:rsidR="007B11BF" w:rsidRPr="007B11BF">
        <w:rPr>
          <w:rFonts w:hint="eastAsia"/>
        </w:rPr>
        <w:t>，</w:t>
      </w:r>
      <w:r w:rsidR="009B4BA7" w:rsidRPr="007B11BF">
        <w:rPr>
          <w:rFonts w:hint="eastAsia"/>
        </w:rPr>
        <w:t>说明两河口水库工程库区和坝区建设对自然体系生产力的影响是能够承受的。</w:t>
      </w:r>
    </w:p>
    <w:p w:rsidR="006175A6" w:rsidRDefault="009B4BA7">
      <w:pPr>
        <w:pStyle w:val="4"/>
      </w:pPr>
      <w:r>
        <w:rPr>
          <w:rFonts w:hint="eastAsia"/>
        </w:rPr>
        <w:t>自然生态体系的稳定状况</w:t>
      </w:r>
    </w:p>
    <w:p w:rsidR="006175A6" w:rsidRPr="007B11BF" w:rsidRDefault="009B4BA7">
      <w:pPr>
        <w:ind w:firstLine="480"/>
      </w:pPr>
      <w:r w:rsidRPr="007B11BF">
        <w:rPr>
          <w:rFonts w:hint="eastAsia"/>
        </w:rPr>
        <w:t>生态体系的稳定状况包括两个特征，即回复和阻抗。回复稳定性与高亚稳定</w:t>
      </w:r>
      <w:r w:rsidRPr="007B11BF">
        <w:rPr>
          <w:rFonts w:hint="eastAsia"/>
        </w:rPr>
        <w:lastRenderedPageBreak/>
        <w:t>元素</w:t>
      </w:r>
      <w:r w:rsidR="00E97427">
        <w:rPr>
          <w:rFonts w:hint="eastAsia"/>
        </w:rPr>
        <w:t>（</w:t>
      </w:r>
      <w:r w:rsidRPr="007B11BF">
        <w:rPr>
          <w:rFonts w:hint="eastAsia"/>
        </w:rPr>
        <w:t>如植被</w:t>
      </w:r>
      <w:r w:rsidR="00E97427">
        <w:rPr>
          <w:rFonts w:hint="eastAsia"/>
        </w:rPr>
        <w:t>）</w:t>
      </w:r>
      <w:r w:rsidRPr="007B11BF">
        <w:rPr>
          <w:rFonts w:hint="eastAsia"/>
        </w:rPr>
        <w:t>的数量和生产能力较为密切，阻抗稳定性与景观异质性关系紧密。</w:t>
      </w:r>
    </w:p>
    <w:p w:rsidR="006175A6" w:rsidRPr="007B11BF" w:rsidRDefault="009B4BA7">
      <w:pPr>
        <w:ind w:firstLine="480"/>
      </w:pPr>
      <w:r w:rsidRPr="007B11BF">
        <w:rPr>
          <w:rFonts w:hint="eastAsia"/>
        </w:rPr>
        <w:t>工程建成后，各种土地类型发生变化，水域面积增加，其它土地类型减少，</w:t>
      </w:r>
      <w:r w:rsidRPr="007B11BF">
        <w:rPr>
          <w:rFonts w:hint="eastAsia"/>
        </w:rPr>
        <w:t xml:space="preserve"> </w:t>
      </w:r>
      <w:r w:rsidRPr="007B11BF">
        <w:rPr>
          <w:rFonts w:hint="eastAsia"/>
        </w:rPr>
        <w:t>从</w:t>
      </w:r>
      <w:r w:rsidR="007B11BF" w:rsidRPr="007B11BF">
        <w:fldChar w:fldCharType="begin"/>
      </w:r>
      <w:r w:rsidR="007B11BF" w:rsidRPr="007B11BF">
        <w:instrText xml:space="preserve"> </w:instrText>
      </w:r>
      <w:r w:rsidR="007B11BF" w:rsidRPr="007B11BF">
        <w:rPr>
          <w:rFonts w:hint="eastAsia"/>
        </w:rPr>
        <w:instrText>REF _Ref80126622 \h</w:instrText>
      </w:r>
      <w:r w:rsidR="007B11BF" w:rsidRPr="007B11BF">
        <w:instrText xml:space="preserve"> </w:instrText>
      </w:r>
      <w:r w:rsidR="007B11BF" w:rsidRPr="007B11BF">
        <w:fldChar w:fldCharType="separate"/>
      </w:r>
      <w:r w:rsidR="00E97427" w:rsidRPr="00BD1BA6">
        <w:rPr>
          <w:rFonts w:hint="eastAsia"/>
        </w:rPr>
        <w:t>表</w:t>
      </w:r>
      <w:r w:rsidR="00E97427" w:rsidRPr="00BD1BA6">
        <w:rPr>
          <w:rFonts w:hint="eastAsia"/>
        </w:rPr>
        <w:t xml:space="preserve"> </w:t>
      </w:r>
      <w:r w:rsidR="00E97427">
        <w:rPr>
          <w:noProof/>
        </w:rPr>
        <w:t>6.1</w:t>
      </w:r>
      <w:r w:rsidR="00E97427">
        <w:noBreakHyphen/>
      </w:r>
      <w:r w:rsidR="00E97427">
        <w:rPr>
          <w:noProof/>
        </w:rPr>
        <w:t>1</w:t>
      </w:r>
      <w:r w:rsidR="007B11BF" w:rsidRPr="007B11BF">
        <w:fldChar w:fldCharType="end"/>
      </w:r>
      <w:r w:rsidRPr="007B11BF">
        <w:rPr>
          <w:rFonts w:hint="eastAsia"/>
        </w:rPr>
        <w:t>可以看出，该工程实施导致有林地</w:t>
      </w:r>
      <w:r w:rsidR="00E97427">
        <w:rPr>
          <w:rFonts w:hint="eastAsia"/>
        </w:rPr>
        <w:t>（</w:t>
      </w:r>
      <w:r w:rsidRPr="007B11BF">
        <w:rPr>
          <w:rFonts w:hint="eastAsia"/>
        </w:rPr>
        <w:t>包括灌丛</w:t>
      </w:r>
      <w:r w:rsidR="00E97427">
        <w:rPr>
          <w:rFonts w:hint="eastAsia"/>
        </w:rPr>
        <w:t>）</w:t>
      </w:r>
      <w:r w:rsidRPr="007B11BF">
        <w:rPr>
          <w:rFonts w:hint="eastAsia"/>
        </w:rPr>
        <w:t>减少</w:t>
      </w:r>
      <w:r w:rsidR="007B11BF" w:rsidRPr="007B11BF">
        <w:rPr>
          <w:rFonts w:hint="eastAsia"/>
        </w:rPr>
        <w:t>4.04</w:t>
      </w:r>
      <w:r w:rsidRPr="007B11BF">
        <w:rPr>
          <w:rFonts w:hint="eastAsia"/>
        </w:rPr>
        <w:t>hm</w:t>
      </w:r>
      <w:r w:rsidRPr="007B11BF">
        <w:rPr>
          <w:rFonts w:hint="eastAsia"/>
          <w:vertAlign w:val="superscript"/>
        </w:rPr>
        <w:t>2</w:t>
      </w:r>
      <w:r w:rsidRPr="007B11BF">
        <w:rPr>
          <w:rFonts w:hint="eastAsia"/>
        </w:rPr>
        <w:t>，占评价范围</w:t>
      </w:r>
      <w:r w:rsidR="00E97427">
        <w:rPr>
          <w:rFonts w:hint="eastAsia"/>
        </w:rPr>
        <w:t>（</w:t>
      </w:r>
      <w:r w:rsidR="007B11BF" w:rsidRPr="007B11BF">
        <w:rPr>
          <w:rFonts w:hint="eastAsia"/>
        </w:rPr>
        <w:t>3362.40</w:t>
      </w:r>
      <w:r w:rsidRPr="007B11BF">
        <w:rPr>
          <w:rFonts w:hint="eastAsia"/>
        </w:rPr>
        <w:t>hm</w:t>
      </w:r>
      <w:r w:rsidRPr="007B11BF">
        <w:rPr>
          <w:rFonts w:hint="eastAsia"/>
          <w:vertAlign w:val="superscript"/>
        </w:rPr>
        <w:t>2</w:t>
      </w:r>
      <w:r w:rsidR="00E97427">
        <w:rPr>
          <w:rFonts w:hint="eastAsia"/>
        </w:rPr>
        <w:t>）</w:t>
      </w:r>
      <w:r w:rsidRPr="007B11BF">
        <w:rPr>
          <w:rFonts w:hint="eastAsia"/>
        </w:rPr>
        <w:t>的</w:t>
      </w:r>
      <w:r w:rsidR="007B11BF" w:rsidRPr="007B11BF">
        <w:rPr>
          <w:rFonts w:hint="eastAsia"/>
        </w:rPr>
        <w:t>0.12</w:t>
      </w:r>
      <w:r w:rsidRPr="007B11BF">
        <w:rPr>
          <w:rFonts w:hint="eastAsia"/>
        </w:rPr>
        <w:t>%</w:t>
      </w:r>
      <w:r w:rsidRPr="007B11BF">
        <w:rPr>
          <w:rFonts w:hint="eastAsia"/>
        </w:rPr>
        <w:t>，对景观的影响较小，各种植被类型的面积和比例与现状仍然相当，模地依然是林地，生态系统保持稳定。工程建设造成施工区生态系统生物量减少，工程建成后评价区生产力减少平均生产力减少</w:t>
      </w:r>
      <w:r w:rsidR="007B11BF" w:rsidRPr="007B11BF">
        <w:rPr>
          <w:rFonts w:hint="eastAsia"/>
        </w:rPr>
        <w:t>293.9</w:t>
      </w:r>
      <w:r w:rsidRPr="007B11BF">
        <w:rPr>
          <w:rFonts w:hint="eastAsia"/>
        </w:rPr>
        <w:t>t/a</w:t>
      </w:r>
      <w:r w:rsidRPr="007B11BF">
        <w:rPr>
          <w:rFonts w:hint="eastAsia"/>
        </w:rPr>
        <w:t>，工程引起的干扰是可以承受的，生态系统的稳定性没有发生大的改变。</w:t>
      </w:r>
    </w:p>
    <w:p w:rsidR="006175A6" w:rsidRDefault="009B4BA7">
      <w:pPr>
        <w:pStyle w:val="3"/>
      </w:pPr>
      <w:r>
        <w:rPr>
          <w:rFonts w:hint="eastAsia"/>
        </w:rPr>
        <w:t>对陆生植物的影响分析</w:t>
      </w:r>
    </w:p>
    <w:p w:rsidR="006175A6" w:rsidRDefault="009B4BA7">
      <w:pPr>
        <w:pStyle w:val="4"/>
      </w:pPr>
      <w:r>
        <w:rPr>
          <w:rFonts w:hint="eastAsia"/>
        </w:rPr>
        <w:t>水库淹没、蓄水对陆生植物的影响</w:t>
      </w:r>
    </w:p>
    <w:p w:rsidR="006175A6" w:rsidRDefault="009B4BA7">
      <w:pPr>
        <w:ind w:firstLine="480"/>
      </w:pPr>
      <w:r>
        <w:rPr>
          <w:rFonts w:hint="eastAsia"/>
        </w:rPr>
        <w:t>两河口水库淹没部分耕地和林地，部分植被将失去生长环境。据测算，两河口水库淹没占</w:t>
      </w:r>
      <w:r w:rsidRPr="00D43EA2">
        <w:rPr>
          <w:rFonts w:hint="eastAsia"/>
        </w:rPr>
        <w:t>地</w:t>
      </w:r>
      <w:r w:rsidRPr="00D43EA2">
        <w:rPr>
          <w:rFonts w:hint="eastAsia"/>
        </w:rPr>
        <w:t>32.9</w:t>
      </w:r>
      <w:r w:rsidR="008E4ACE" w:rsidRPr="00D43EA2">
        <w:rPr>
          <w:rFonts w:hint="eastAsia"/>
        </w:rPr>
        <w:t>8</w:t>
      </w:r>
      <w:r w:rsidRPr="00D43EA2">
        <w:rPr>
          <w:rFonts w:hint="eastAsia"/>
        </w:rPr>
        <w:t>m</w:t>
      </w:r>
      <w:r w:rsidRPr="00D43EA2">
        <w:rPr>
          <w:rFonts w:hint="eastAsia"/>
          <w:vertAlign w:val="superscript"/>
        </w:rPr>
        <w:t>2</w:t>
      </w:r>
      <w:r w:rsidRPr="00D43EA2">
        <w:rPr>
          <w:rFonts w:hint="eastAsia"/>
        </w:rPr>
        <w:t>，工程永久占地约</w:t>
      </w:r>
      <w:r w:rsidR="008E4ACE" w:rsidRPr="00D43EA2">
        <w:rPr>
          <w:rFonts w:hint="eastAsia"/>
        </w:rPr>
        <w:t>38.13</w:t>
      </w:r>
      <w:r w:rsidRPr="00D43EA2">
        <w:rPr>
          <w:rFonts w:hint="eastAsia"/>
        </w:rPr>
        <w:t>hm</w:t>
      </w:r>
      <w:r w:rsidRPr="00D43EA2">
        <w:rPr>
          <w:rFonts w:hint="eastAsia"/>
          <w:vertAlign w:val="superscript"/>
        </w:rPr>
        <w:t>2</w:t>
      </w:r>
      <w:r w:rsidRPr="00D43EA2">
        <w:rPr>
          <w:rFonts w:hint="eastAsia"/>
        </w:rPr>
        <w:t>。淹没占地中其中林地</w:t>
      </w:r>
      <w:r w:rsidR="008E4ACE" w:rsidRPr="00D43EA2">
        <w:rPr>
          <w:rFonts w:hint="eastAsia"/>
        </w:rPr>
        <w:t>4.04</w:t>
      </w:r>
      <w:r w:rsidRPr="00D43EA2">
        <w:rPr>
          <w:rFonts w:hint="eastAsia"/>
        </w:rPr>
        <w:t>hm</w:t>
      </w:r>
      <w:r w:rsidRPr="00D43EA2">
        <w:rPr>
          <w:rFonts w:hint="eastAsia"/>
          <w:vertAlign w:val="superscript"/>
        </w:rPr>
        <w:t>2</w:t>
      </w:r>
      <w:r w:rsidRPr="00D43EA2">
        <w:rPr>
          <w:rFonts w:hint="eastAsia"/>
        </w:rPr>
        <w:t>，园地</w:t>
      </w:r>
      <w:r w:rsidR="008E4ACE" w:rsidRPr="00D43EA2">
        <w:rPr>
          <w:rFonts w:hint="eastAsia"/>
        </w:rPr>
        <w:t>19.2</w:t>
      </w:r>
      <w:r w:rsidRPr="00D43EA2">
        <w:rPr>
          <w:rFonts w:hint="eastAsia"/>
        </w:rPr>
        <w:t>hm</w:t>
      </w:r>
      <w:r w:rsidRPr="00D43EA2">
        <w:rPr>
          <w:rFonts w:hint="eastAsia"/>
          <w:vertAlign w:val="superscript"/>
        </w:rPr>
        <w:t>2</w:t>
      </w:r>
      <w:r w:rsidRPr="00D43EA2">
        <w:rPr>
          <w:rFonts w:hint="eastAsia"/>
        </w:rPr>
        <w:t>，水域及河滩地</w:t>
      </w:r>
      <w:r w:rsidR="008E4ACE" w:rsidRPr="00D43EA2">
        <w:rPr>
          <w:rFonts w:hint="eastAsia"/>
        </w:rPr>
        <w:t>14.07</w:t>
      </w:r>
      <w:r w:rsidRPr="00D43EA2">
        <w:rPr>
          <w:rFonts w:hint="eastAsia"/>
        </w:rPr>
        <w:t>hm</w:t>
      </w:r>
      <w:r w:rsidRPr="00D43EA2">
        <w:rPr>
          <w:rFonts w:hint="eastAsia"/>
          <w:vertAlign w:val="superscript"/>
        </w:rPr>
        <w:t>2</w:t>
      </w:r>
      <w:r w:rsidRPr="00D43EA2">
        <w:rPr>
          <w:rFonts w:hint="eastAsia"/>
        </w:rPr>
        <w:t>，住宅用地</w:t>
      </w:r>
      <w:r w:rsidRPr="00D43EA2">
        <w:rPr>
          <w:rFonts w:hint="eastAsia"/>
        </w:rPr>
        <w:t>1.28hm</w:t>
      </w:r>
      <w:r w:rsidRPr="00D43EA2">
        <w:rPr>
          <w:rFonts w:hint="eastAsia"/>
          <w:vertAlign w:val="superscript"/>
        </w:rPr>
        <w:t>2</w:t>
      </w:r>
      <w:r w:rsidRPr="00D43EA2">
        <w:rPr>
          <w:rFonts w:hint="eastAsia"/>
        </w:rPr>
        <w:t>，交通设施用地</w:t>
      </w:r>
      <w:r w:rsidR="008E4ACE" w:rsidRPr="00D43EA2">
        <w:rPr>
          <w:rFonts w:hint="eastAsia"/>
        </w:rPr>
        <w:t>0.82</w:t>
      </w:r>
      <w:r w:rsidRPr="00D43EA2">
        <w:rPr>
          <w:rFonts w:hint="eastAsia"/>
        </w:rPr>
        <w:t>hm</w:t>
      </w:r>
      <w:r w:rsidRPr="00D43EA2">
        <w:rPr>
          <w:rFonts w:hint="eastAsia"/>
          <w:vertAlign w:val="superscript"/>
        </w:rPr>
        <w:t>2</w:t>
      </w:r>
      <w:r w:rsidRPr="00D43EA2">
        <w:rPr>
          <w:rFonts w:hint="eastAsia"/>
        </w:rPr>
        <w:t>。淹没</w:t>
      </w:r>
      <w:r>
        <w:rPr>
          <w:rFonts w:hint="eastAsia"/>
        </w:rPr>
        <w:t>区植被主要受人为开发的影响，淹没范围生物多样性较低，生产力不高。特别是受淹没影响的森林植被均为一般一般常见种，淹没线以上地带可见到相似的群落。在周边邻近区域均有分布，且受淹没影响的物种均为普生性的，适应性强，不会因淹没而导致种群消失或绝灭。</w:t>
      </w:r>
    </w:p>
    <w:p w:rsidR="006175A6" w:rsidRDefault="009B4BA7">
      <w:pPr>
        <w:ind w:firstLine="480"/>
      </w:pPr>
      <w:r>
        <w:rPr>
          <w:rFonts w:hint="eastAsia"/>
        </w:rPr>
        <w:t>两河口水库蓄水后，将有利于沿岸一些植物物种和植被的恢复，喜阳偏中生前植物可以扩散到灌丛和草丛群落中，随着适中生环境的植物种类增多，偏干的生境可能逐渐向暖中生转化，这就更有利于生境的变化，并进一步促进植物群落向森林方向演替。此外，水库建成蓄水后，随着地方经济的发展，交通方便，便对库区人工森林植被的更新提供有力条件，同时局部气候的改变，对森林植被的生长和正向演替将产生有利影响。</w:t>
      </w:r>
    </w:p>
    <w:p w:rsidR="006175A6" w:rsidRDefault="009B4BA7">
      <w:pPr>
        <w:pStyle w:val="4"/>
      </w:pPr>
      <w:r>
        <w:rPr>
          <w:rFonts w:hint="eastAsia"/>
        </w:rPr>
        <w:t>对外交通对陆生植被的影响</w:t>
      </w:r>
    </w:p>
    <w:p w:rsidR="006175A6" w:rsidRDefault="009B4BA7">
      <w:pPr>
        <w:ind w:firstLine="480"/>
      </w:pPr>
      <w:r>
        <w:rPr>
          <w:rFonts w:hint="eastAsia"/>
        </w:rPr>
        <w:t>两河口水库工程建设将淹没农村道路</w:t>
      </w:r>
      <w:r>
        <w:rPr>
          <w:rFonts w:hint="eastAsia"/>
        </w:rPr>
        <w:t>2.0km</w:t>
      </w:r>
      <w:r>
        <w:rPr>
          <w:rFonts w:hint="eastAsia"/>
        </w:rPr>
        <w:t>，项目建设需对河道右岸淹没的乡村道路进行移民还建，还建公路长度</w:t>
      </w:r>
      <w:r>
        <w:rPr>
          <w:rFonts w:hint="eastAsia"/>
        </w:rPr>
        <w:t>2.0km</w:t>
      </w:r>
      <w:r>
        <w:rPr>
          <w:rFonts w:hint="eastAsia"/>
        </w:rPr>
        <w:t>。公路的改建与复建将对局部植被带来影响。在公路改建与复建过程中，一部分植被必然被毁坏，特别是在公路建设工程中，工程建设引起的浸没、坍岸、滑坡可能增多，对植被生存威胁较大。但总体来看，这些公路植被类型以人工林和灌草丛为主，因而对该区域植被及生物多样性影响较小。</w:t>
      </w:r>
    </w:p>
    <w:p w:rsidR="006175A6" w:rsidRDefault="009B4BA7">
      <w:pPr>
        <w:pStyle w:val="4"/>
      </w:pPr>
      <w:r>
        <w:rPr>
          <w:rFonts w:hint="eastAsia"/>
        </w:rPr>
        <w:lastRenderedPageBreak/>
        <w:t>永久工程及施工临时用地占地对陆生植被的影响</w:t>
      </w:r>
    </w:p>
    <w:p w:rsidR="006175A6" w:rsidRDefault="009B4BA7">
      <w:pPr>
        <w:ind w:firstLine="480"/>
      </w:pPr>
      <w:r>
        <w:rPr>
          <w:rFonts w:hint="eastAsia"/>
        </w:rPr>
        <w:t>永久工程包括大坝、泄水建筑物、进水口等，临时用地包括施工期生产、生活及施工临时道路、临时弃渣场等占地。该工程永久占地及施工期临时用地范围以一些较常见的植被类型如马尾松林、杉树林、栓皮栎、马桑灌丛、黄栌灌丛、蔷薇灌丛、火棘灌丛、白茅灌草丛、连翘灌丛、五节芒灌草丛等为主。工程的实施，会造成局部植被的破坏，但不会导致物种的消失，对该地域生物多样性影响甚微。施工结束后，通过对这些迹地的生态绿化恢复，能使迹地植被得到有效恢复，因此，该工程永久占地及施工期临时用地对植被影响较小。</w:t>
      </w:r>
    </w:p>
    <w:p w:rsidR="006175A6" w:rsidRDefault="009B4BA7">
      <w:pPr>
        <w:pStyle w:val="4"/>
      </w:pPr>
      <w:r>
        <w:rPr>
          <w:rFonts w:hint="eastAsia"/>
        </w:rPr>
        <w:t>减水河段植物的影响</w:t>
      </w:r>
    </w:p>
    <w:p w:rsidR="006175A6" w:rsidRDefault="009B4BA7">
      <w:pPr>
        <w:ind w:firstLine="480"/>
      </w:pPr>
      <w:r>
        <w:rPr>
          <w:rFonts w:hint="eastAsia"/>
        </w:rPr>
        <w:t>两河口水库蓄水后，将在坝址和两河口入汇口之间形成减水河段，河段减水后，对陆生生态的影响主要表现在对河道两岸部分区域内植被的影响，河水是河岸区域植被的主要补水水源，如果补给水量达不到植被需水下限，将会造成植被物种的改变。由喜水植物向旱作植物转变。该工程在坝体中设有生态放水孔，保证下游生态流量</w:t>
      </w:r>
      <w:r>
        <w:t>0.312</w:t>
      </w:r>
      <w:r>
        <w:rPr>
          <w:rFonts w:hint="eastAsia"/>
        </w:rPr>
        <w:t>m</w:t>
      </w:r>
      <w:r>
        <w:rPr>
          <w:rFonts w:hint="eastAsia"/>
          <w:vertAlign w:val="superscript"/>
        </w:rPr>
        <w:t>3</w:t>
      </w:r>
      <w:r>
        <w:rPr>
          <w:rFonts w:hint="eastAsia"/>
        </w:rPr>
        <w:t>/s</w:t>
      </w:r>
      <w:r>
        <w:rPr>
          <w:rFonts w:hint="eastAsia"/>
        </w:rPr>
        <w:t>，可以减轻工程引水对河流两岸植被的影响。</w:t>
      </w:r>
    </w:p>
    <w:p w:rsidR="006175A6" w:rsidRDefault="009B4BA7">
      <w:pPr>
        <w:pStyle w:val="3"/>
      </w:pPr>
      <w:r>
        <w:rPr>
          <w:rFonts w:hint="eastAsia"/>
        </w:rPr>
        <w:t>对陆生动物的影响分析</w:t>
      </w:r>
    </w:p>
    <w:p w:rsidR="006175A6" w:rsidRDefault="009B4BA7">
      <w:pPr>
        <w:pStyle w:val="4"/>
      </w:pPr>
      <w:r>
        <w:rPr>
          <w:rFonts w:hint="eastAsia"/>
        </w:rPr>
        <w:t>施工期</w:t>
      </w:r>
    </w:p>
    <w:p w:rsidR="006175A6" w:rsidRDefault="009B4BA7">
      <w:pPr>
        <w:ind w:firstLine="480"/>
      </w:pPr>
      <w:r>
        <w:rPr>
          <w:rFonts w:hint="eastAsia"/>
        </w:rPr>
        <w:t>随着两河口水库工程的施工，施工区的公路将改扩建，施工机械和施工人员进场，石料、土料堆积场及施工噪声均破坏了现有野生动物的生存环境，导致动物栖息环境发生改变，对该区域的野生动物将产生不利影响，但不利影响的大小取决于各类动物的栖息环境、生活习惯、居留情况以及工程对生态环境影响大小等多方面因素。</w:t>
      </w:r>
    </w:p>
    <w:p w:rsidR="006175A6" w:rsidRDefault="009B4BA7">
      <w:pPr>
        <w:ind w:firstLine="480"/>
      </w:pPr>
      <w:r>
        <w:rPr>
          <w:rFonts w:hint="eastAsia"/>
        </w:rPr>
        <w:t>（</w:t>
      </w:r>
      <w:r>
        <w:rPr>
          <w:rFonts w:hint="eastAsia"/>
        </w:rPr>
        <w:t>1</w:t>
      </w:r>
      <w:r>
        <w:rPr>
          <w:rFonts w:hint="eastAsia"/>
        </w:rPr>
        <w:t>）对两栖动物和爬行动物的影响：</w:t>
      </w:r>
    </w:p>
    <w:p w:rsidR="006175A6" w:rsidRDefault="009B4BA7">
      <w:pPr>
        <w:ind w:firstLine="480"/>
      </w:pPr>
      <w:r>
        <w:rPr>
          <w:rFonts w:hint="eastAsia"/>
        </w:rPr>
        <w:t>中华蟾蜍、中国林蛙等物种主要栖息在阴暗潮湿的林间草丛、农田、河沟、村舍附近，以昆虫为食；蜥蜴类、蛇类等主要栖息在中低山和丘陵的落叶阔叶林、针阔混交林、阴暗潮湿的林间灌丛、农田等处，以昆虫、蛙类、鸟、鼠为食。两栖类虽然是水陆两栖，但产卵、受精、孵化等生活都离不开水。</w:t>
      </w:r>
    </w:p>
    <w:p w:rsidR="006175A6" w:rsidRDefault="009B4BA7">
      <w:pPr>
        <w:ind w:firstLine="480"/>
      </w:pPr>
      <w:r>
        <w:rPr>
          <w:rFonts w:hint="eastAsia"/>
        </w:rPr>
        <w:t>施工期间，对水体的扰动、山体的开挖机各类废水的排放等会局部破坏坝址河段的生境，导致水体浑浊及其理化性质的改变，从而造成两栖类和爬行类动物</w:t>
      </w:r>
      <w:r>
        <w:rPr>
          <w:rFonts w:hint="eastAsia"/>
        </w:rPr>
        <w:lastRenderedPageBreak/>
        <w:t>生存环境的破坏，迫使其迁移，它们将放弃这块栖息地，暂时嵌入草丛寻找新的栖身之所。由于该工程施工位置相对集中，影响的区域有限，且施工区附近类似生境较多，因此不会对其生存造成威胁。</w:t>
      </w:r>
    </w:p>
    <w:p w:rsidR="006175A6" w:rsidRDefault="009B4BA7">
      <w:pPr>
        <w:ind w:firstLine="480"/>
      </w:pPr>
      <w:r>
        <w:rPr>
          <w:rFonts w:hint="eastAsia"/>
        </w:rPr>
        <w:t>评价区内两栖动物和爬行动物没有国家级保护动物分布，省级重点保护动物有</w:t>
      </w:r>
      <w:r>
        <w:rPr>
          <w:rFonts w:hint="eastAsia"/>
        </w:rPr>
        <w:t>5</w:t>
      </w:r>
      <w:r>
        <w:rPr>
          <w:rFonts w:hint="eastAsia"/>
        </w:rPr>
        <w:t>种：即中华蟾蜍、中国林蛙、泽陆蛙、绿臭蛙、饰纹姬蛙。水库蓄水和工程施工会对部分保护动物生存环境造成破坏，迫使其迁移，它们将放弃这块栖息地，暂时嵌入草丛寻找新的栖身之所，由于评价区范围内类似的生境较多，因此不会对其生产造成威胁。</w:t>
      </w:r>
    </w:p>
    <w:p w:rsidR="006175A6" w:rsidRDefault="009B4BA7">
      <w:pPr>
        <w:ind w:firstLine="480"/>
      </w:pPr>
      <w:r>
        <w:rPr>
          <w:rFonts w:hint="eastAsia"/>
        </w:rPr>
        <w:t>（</w:t>
      </w:r>
      <w:r>
        <w:rPr>
          <w:rFonts w:hint="eastAsia"/>
        </w:rPr>
        <w:t>2</w:t>
      </w:r>
      <w:r>
        <w:rPr>
          <w:rFonts w:hint="eastAsia"/>
        </w:rPr>
        <w:t>）对鸟类和兽类的影响</w:t>
      </w:r>
    </w:p>
    <w:p w:rsidR="006175A6" w:rsidRDefault="009B4BA7">
      <w:pPr>
        <w:ind w:firstLine="480"/>
      </w:pPr>
      <w:r>
        <w:rPr>
          <w:rFonts w:hint="eastAsia"/>
        </w:rPr>
        <w:t>施工期间，施工区域和临时征地区域的鸟类和兽类将被迫离开它们原来的领域，邻近区域的鸟类和中大型兽类，由于受到施工噪声的惊吓，也将原理原来的栖息地，使它们的活动和摄食范围缩减，但鸟类和兽类的活动范围大，迁移能力强，且受工程施工影响的区域相对较小，因此不会对其生存造成威胁。评价范围内国家Ⅱ级重点保护野生鸟类有短耳鸮，这些保护鸟类的飞行能力强、视力敏锐，主要在海拔较高的林中活动，水库淹没和工程施工对它们影响甚微。</w:t>
      </w:r>
    </w:p>
    <w:p w:rsidR="006175A6" w:rsidRDefault="009B4BA7">
      <w:pPr>
        <w:ind w:firstLine="480"/>
      </w:pPr>
      <w:r>
        <w:rPr>
          <w:rFonts w:hint="eastAsia"/>
        </w:rPr>
        <w:t>省级保护鸟类和兽类有</w:t>
      </w:r>
      <w:r>
        <w:rPr>
          <w:rFonts w:hint="eastAsia"/>
        </w:rPr>
        <w:t>18</w:t>
      </w:r>
      <w:r>
        <w:rPr>
          <w:rFonts w:hint="eastAsia"/>
        </w:rPr>
        <w:t>种：鸢、灰胸竹鸡、雉鸡、鹌鹑、山斑鸠、珠颈斑鸠、小杜鹃、金腰燕、大嘴乌鸦、喜鹊、灰喜鹊、大山雀、黄腹山雀、短趾百灵、麻雀、金翅雀、黄冠啄木鸟、大斑啄木鸟。受影响较大的主要为生活在两河口水库两岸林地和灌丛中的鸟类和兽类，但因鸟类和兽类活动范围大，迁移能力强，且水库淹没和施工影响的区域相对较小，因此不会对其生存造成威胁。另外人为活动的增加会对生活在施工区附近的保护动物的栖息活动行程较严重的干扰。</w:t>
      </w:r>
    </w:p>
    <w:p w:rsidR="006175A6" w:rsidRDefault="009B4BA7">
      <w:pPr>
        <w:pStyle w:val="4"/>
      </w:pPr>
      <w:r>
        <w:rPr>
          <w:rFonts w:hint="eastAsia"/>
        </w:rPr>
        <w:t>运行期</w:t>
      </w:r>
    </w:p>
    <w:p w:rsidR="006175A6" w:rsidRDefault="009B4BA7">
      <w:pPr>
        <w:ind w:firstLine="480"/>
      </w:pPr>
      <w:r>
        <w:rPr>
          <w:rFonts w:hint="eastAsia"/>
        </w:rPr>
        <w:t>两河口水库建成蓄水后，由于水库淹没、工程占地等因素，将使陆生动物分布区有所缩小，但库区周边的生态环境与淹没区（现状）具有很高的一致性，陆生动物迁移后，仍有广阔的生存空间。</w:t>
      </w:r>
    </w:p>
    <w:p w:rsidR="006175A6" w:rsidRDefault="009B4BA7">
      <w:pPr>
        <w:ind w:firstLine="480"/>
      </w:pPr>
      <w:r>
        <w:rPr>
          <w:rFonts w:hint="eastAsia"/>
        </w:rPr>
        <w:t>（</w:t>
      </w:r>
      <w:r>
        <w:rPr>
          <w:rFonts w:hint="eastAsia"/>
        </w:rPr>
        <w:t>1</w:t>
      </w:r>
      <w:r>
        <w:rPr>
          <w:rFonts w:hint="eastAsia"/>
        </w:rPr>
        <w:t>）对两栖动物和爬行动物的影响</w:t>
      </w:r>
    </w:p>
    <w:p w:rsidR="006175A6" w:rsidRDefault="009B4BA7">
      <w:pPr>
        <w:ind w:firstLine="480"/>
      </w:pPr>
      <w:r>
        <w:rPr>
          <w:rFonts w:hint="eastAsia"/>
        </w:rPr>
        <w:t>两河口水库建成后，由于水面的上升和水域面积的扩大，会淹没河岸两边动物的栖息地，使其被迫迁移，由于库区周边类似生境较多，因此，不会引起物种</w:t>
      </w:r>
      <w:r>
        <w:rPr>
          <w:rFonts w:hint="eastAsia"/>
        </w:rPr>
        <w:lastRenderedPageBreak/>
        <w:t>和生物多样性的减少。同时，由于库区的形成，使原来流动的河水变成缓流和静止的湖泊，这为静水型两栖动物提供了适宜的生活环境，将对其产生有利的影响，其种群数量将会增加；而喜欢急流型的动物则相对减少，它们会向库尾迁移，因此，该水库的修建会改变区域两栖类和爬行类动物的空间分布，不会对其生存造成威胁。</w:t>
      </w:r>
    </w:p>
    <w:p w:rsidR="006175A6" w:rsidRDefault="009B4BA7">
      <w:pPr>
        <w:ind w:firstLine="480"/>
      </w:pPr>
      <w:r>
        <w:rPr>
          <w:rFonts w:hint="eastAsia"/>
        </w:rPr>
        <w:t>（</w:t>
      </w:r>
      <w:r>
        <w:rPr>
          <w:rFonts w:hint="eastAsia"/>
        </w:rPr>
        <w:t>2</w:t>
      </w:r>
      <w:r>
        <w:rPr>
          <w:rFonts w:hint="eastAsia"/>
        </w:rPr>
        <w:t>）对鸟类和兽类的影响</w:t>
      </w:r>
    </w:p>
    <w:p w:rsidR="006175A6" w:rsidRDefault="009B4BA7">
      <w:pPr>
        <w:ind w:firstLine="480"/>
      </w:pPr>
      <w:r>
        <w:rPr>
          <w:rFonts w:hint="eastAsia"/>
        </w:rPr>
        <w:t>鸟类的活动范围大，飞翔能力强，该工程淹没对其造成的影响程度极小，水库建成后，会为水禽、亚水禽等鸟类提供良好的生存环境和丰富的食物来源，其种类和数量也将明显增加。</w:t>
      </w:r>
    </w:p>
    <w:p w:rsidR="006175A6" w:rsidRDefault="009B4BA7">
      <w:pPr>
        <w:ind w:firstLine="480"/>
      </w:pPr>
      <w:r>
        <w:rPr>
          <w:rFonts w:hint="eastAsia"/>
        </w:rPr>
        <w:t>工程运行后，啮齿目、食虫目小型兽类的原分布区将减小，这类动物在非淹没区的密度将会有所上升，特别是那些作为自然瘟疫性疾病传播源的小型兽类，将增加与人类的接触频率，有可能将对当地居民的健康构成威胁。这些鼠形兽中，已知与流行性出血热有关的鼠类有杜鼠、黄胸鼠；已知与钩端螺旋体病有关的鼠类有杜鼠。流行性出血热病和钩端螺旋体病是湖北省自然瘟疫源性疾病中主要的两种疾病，应引起有关部门的高度重视。</w:t>
      </w:r>
    </w:p>
    <w:p w:rsidR="006175A6" w:rsidRDefault="009B4BA7">
      <w:pPr>
        <w:ind w:firstLine="480"/>
      </w:pPr>
      <w:r>
        <w:rPr>
          <w:rFonts w:hint="eastAsia"/>
        </w:rPr>
        <w:t>该工程评价区内的各种重点保护鸟类和重点保护兽类多分布在淹没线以上，它们的活动范围大，植被类型和人为干扰是决定这些动物对生境选择的主要因子，该工程产生的淹没影响不会造成它们生境的改变，因此，对其影响较小。</w:t>
      </w:r>
    </w:p>
    <w:p w:rsidR="006175A6" w:rsidRDefault="009B4BA7">
      <w:pPr>
        <w:pStyle w:val="3"/>
      </w:pPr>
      <w:r>
        <w:rPr>
          <w:rFonts w:hint="eastAsia"/>
        </w:rPr>
        <w:t>对水生生物的影响分析</w:t>
      </w:r>
    </w:p>
    <w:p w:rsidR="006175A6" w:rsidRDefault="009B4BA7">
      <w:pPr>
        <w:ind w:firstLine="480"/>
      </w:pPr>
      <w:r>
        <w:rPr>
          <w:rFonts w:hint="eastAsia"/>
        </w:rPr>
        <w:t>由于大坝阻隔河道，将原本连续的河流生态系统分割为坝上、坝下多个孤立系统，截断鱼类等水生生物的自然通道，使河道下泄水流的流速、水深、浑浊度和悬浮物质等水流系统发生变化，导致鱼类等水生生物生境突变并产生累积效应，影响水生生物多样性。</w:t>
      </w:r>
    </w:p>
    <w:p w:rsidR="006175A6" w:rsidRDefault="009B4BA7">
      <w:pPr>
        <w:ind w:firstLine="480"/>
      </w:pPr>
      <w:r>
        <w:rPr>
          <w:rFonts w:hint="eastAsia"/>
        </w:rPr>
        <w:t>评价区门家河多年平均流量为</w:t>
      </w:r>
      <w:r>
        <w:rPr>
          <w:rFonts w:hint="eastAsia"/>
        </w:rPr>
        <w:t>1.56m</w:t>
      </w:r>
      <w:r>
        <w:rPr>
          <w:rFonts w:hint="eastAsia"/>
          <w:vertAlign w:val="superscript"/>
        </w:rPr>
        <w:t>3</w:t>
      </w:r>
      <w:r>
        <w:rPr>
          <w:rFonts w:hint="eastAsia"/>
        </w:rPr>
        <w:t>/s</w:t>
      </w:r>
      <w:r>
        <w:rPr>
          <w:rFonts w:hint="eastAsia"/>
        </w:rPr>
        <w:t>，流量小，河道纵坡陡，水流急、水温低、水体透明度高，为典型的山区溪流性水生生境。因门家河流量小，水生生物种类数量较少、水生维管束植物贫乏，鱼类较少。两河口水库工程实施后，会在大坝上设置生态放水口，这样可以保证河道不断流。</w:t>
      </w:r>
    </w:p>
    <w:p w:rsidR="006175A6" w:rsidRDefault="009B4BA7">
      <w:pPr>
        <w:pStyle w:val="4"/>
      </w:pPr>
      <w:r>
        <w:rPr>
          <w:rFonts w:hint="eastAsia"/>
        </w:rPr>
        <w:t>施工期</w:t>
      </w:r>
    </w:p>
    <w:p w:rsidR="006175A6" w:rsidRDefault="009B4BA7">
      <w:pPr>
        <w:ind w:firstLine="480"/>
      </w:pPr>
      <w:r>
        <w:rPr>
          <w:rFonts w:hint="eastAsia"/>
        </w:rPr>
        <w:t>（</w:t>
      </w:r>
      <w:r>
        <w:rPr>
          <w:rFonts w:hint="eastAsia"/>
        </w:rPr>
        <w:t>1</w:t>
      </w:r>
      <w:r>
        <w:rPr>
          <w:rFonts w:hint="eastAsia"/>
        </w:rPr>
        <w:t>）对浮游生物和底栖动物的影响</w:t>
      </w:r>
    </w:p>
    <w:p w:rsidR="006175A6" w:rsidRDefault="009B4BA7">
      <w:pPr>
        <w:ind w:firstLine="480"/>
      </w:pPr>
      <w:r>
        <w:rPr>
          <w:rFonts w:hint="eastAsia"/>
        </w:rPr>
        <w:lastRenderedPageBreak/>
        <w:t>施工期间，施工废水</w:t>
      </w:r>
      <w:r w:rsidR="00E97427">
        <w:rPr>
          <w:rFonts w:hint="eastAsia"/>
        </w:rPr>
        <w:t>（</w:t>
      </w:r>
      <w:r>
        <w:rPr>
          <w:rFonts w:hint="eastAsia"/>
        </w:rPr>
        <w:t>含悬浮物、石油类等污染物</w:t>
      </w:r>
      <w:r w:rsidR="00E97427">
        <w:rPr>
          <w:rFonts w:hint="eastAsia"/>
        </w:rPr>
        <w:t>）</w:t>
      </w:r>
      <w:r>
        <w:rPr>
          <w:rFonts w:hint="eastAsia"/>
        </w:rPr>
        <w:t>及生活污水的排放等，施工期间若施工废水及生活污水随意排放则会对门家河水质造成一定程度的污染，而且大量碱性水泥的使用，会改变水体的酸碱度，将使施工区下游近距离河段的浮游生物和底栖动物的种类组成和优势种的数量在一段时间内受到影响，非耐污种的数量下降，耐污种的优势度增加。但废水一般都经过处理后灌溉绿化，因此其对水生生物的影响十分有限，且仅限于施工区附近，随施工期的结束而结束，在施工期通过采取严格的污水处理措施，能将这种影响降到最低，不会影响各物种生存。</w:t>
      </w:r>
    </w:p>
    <w:p w:rsidR="006175A6" w:rsidRDefault="009B4BA7">
      <w:pPr>
        <w:ind w:firstLine="480"/>
      </w:pPr>
      <w:r>
        <w:rPr>
          <w:rFonts w:hint="eastAsia"/>
        </w:rPr>
        <w:t>（</w:t>
      </w:r>
      <w:r>
        <w:rPr>
          <w:rFonts w:hint="eastAsia"/>
        </w:rPr>
        <w:t>2</w:t>
      </w:r>
      <w:r>
        <w:rPr>
          <w:rFonts w:hint="eastAsia"/>
        </w:rPr>
        <w:t>）对鱼类的影响</w:t>
      </w:r>
    </w:p>
    <w:p w:rsidR="006175A6" w:rsidRDefault="009B4BA7">
      <w:pPr>
        <w:ind w:firstLine="480"/>
      </w:pPr>
      <w:r>
        <w:rPr>
          <w:rFonts w:hint="eastAsia"/>
        </w:rPr>
        <w:t>门家河干流中数种鱼类多为喜欢洁净溪流生活的鱼类，由于施工区干流下游水质变差，浮游生物、底栖动物等饵料生物量的变化，改变了原有鱼类的生存、生长和繁衍条件，鱼类选择水而迁移到其他地方，施工区域鱼类密度将有所降低。</w:t>
      </w:r>
    </w:p>
    <w:p w:rsidR="006175A6" w:rsidRDefault="009B4BA7">
      <w:pPr>
        <w:ind w:firstLine="480"/>
      </w:pPr>
      <w:r>
        <w:rPr>
          <w:rFonts w:hint="eastAsia"/>
        </w:rPr>
        <w:t>根据调查，施工期间施工单位开工前做好施工规划的前期工作，加强施工人员的各类卫生管理</w:t>
      </w:r>
      <w:r w:rsidR="00E97427">
        <w:rPr>
          <w:rFonts w:hint="eastAsia"/>
        </w:rPr>
        <w:t>（</w:t>
      </w:r>
      <w:r>
        <w:rPr>
          <w:rFonts w:hint="eastAsia"/>
        </w:rPr>
        <w:t>如个人卫生、粪便和生活污水</w:t>
      </w:r>
      <w:r w:rsidR="00E97427">
        <w:rPr>
          <w:rFonts w:hint="eastAsia"/>
        </w:rPr>
        <w:t>）</w:t>
      </w:r>
      <w:r>
        <w:rPr>
          <w:rFonts w:hint="eastAsia"/>
        </w:rPr>
        <w:t>，避免生活污水的直接排放，减少水体污染，保护水生生物的物种多样性。整个施工对评价区水生生物影响较小。</w:t>
      </w:r>
    </w:p>
    <w:p w:rsidR="006175A6" w:rsidRDefault="009B4BA7">
      <w:pPr>
        <w:ind w:firstLine="480"/>
      </w:pPr>
      <w:r>
        <w:rPr>
          <w:rFonts w:hint="eastAsia"/>
        </w:rPr>
        <w:t>此外，工程建设人员的人为破坏如捕鱼也会对鱼类资源造成不利影响，应加强管理，杜绝非法捕鱼活动。</w:t>
      </w:r>
    </w:p>
    <w:p w:rsidR="006175A6" w:rsidRDefault="009B4BA7">
      <w:pPr>
        <w:pStyle w:val="4"/>
      </w:pPr>
      <w:r>
        <w:rPr>
          <w:rFonts w:hint="eastAsia"/>
        </w:rPr>
        <w:t>运行期</w:t>
      </w:r>
    </w:p>
    <w:p w:rsidR="006175A6" w:rsidRDefault="009B4BA7">
      <w:pPr>
        <w:ind w:firstLine="480"/>
      </w:pPr>
      <w:r>
        <w:rPr>
          <w:rFonts w:hint="eastAsia"/>
        </w:rPr>
        <w:t>筑坝建库蓄水后，水位上升至</w:t>
      </w:r>
      <w:r>
        <w:rPr>
          <w:rFonts w:hint="eastAsia"/>
        </w:rPr>
        <w:t>1058m</w:t>
      </w:r>
      <w:r>
        <w:rPr>
          <w:rFonts w:hint="eastAsia"/>
        </w:rPr>
        <w:t>，水环境由河流变为水库，发生巨大变化，主要表现在以下几个方面：</w:t>
      </w:r>
    </w:p>
    <w:p w:rsidR="006175A6" w:rsidRDefault="009B4BA7">
      <w:pPr>
        <w:ind w:firstLine="480"/>
      </w:pPr>
      <w:r>
        <w:rPr>
          <w:rFonts w:hint="eastAsia"/>
        </w:rPr>
        <w:t>（</w:t>
      </w:r>
      <w:r>
        <w:rPr>
          <w:rFonts w:hint="eastAsia"/>
        </w:rPr>
        <w:t>1</w:t>
      </w:r>
      <w:r>
        <w:rPr>
          <w:rFonts w:hint="eastAsia"/>
        </w:rPr>
        <w:t>）坝址上游水文发生变化</w:t>
      </w:r>
    </w:p>
    <w:p w:rsidR="006175A6" w:rsidRDefault="009B4BA7">
      <w:pPr>
        <w:ind w:firstLine="480"/>
      </w:pPr>
      <w:r>
        <w:rPr>
          <w:rFonts w:hint="eastAsia"/>
        </w:rPr>
        <w:t>上游河水入库后，水流速度逐渐减弱，变为缓流状态甚至静流状态：蓄水使河段水位抬高，水深加大，成库后，库区内水文由原来的河流态转变为湖泊态，且水位随水库的调节起伏变化较大。</w:t>
      </w:r>
    </w:p>
    <w:p w:rsidR="006175A6" w:rsidRDefault="009B4BA7">
      <w:pPr>
        <w:ind w:firstLine="480"/>
      </w:pPr>
      <w:r>
        <w:rPr>
          <w:rFonts w:hint="eastAsia"/>
        </w:rPr>
        <w:t>（</w:t>
      </w:r>
      <w:r>
        <w:rPr>
          <w:rFonts w:hint="eastAsia"/>
        </w:rPr>
        <w:t>2</w:t>
      </w:r>
      <w:r>
        <w:rPr>
          <w:rFonts w:hint="eastAsia"/>
        </w:rPr>
        <w:t>）库区内营养物质不断积累</w:t>
      </w:r>
    </w:p>
    <w:p w:rsidR="006175A6" w:rsidRDefault="009B4BA7">
      <w:pPr>
        <w:ind w:firstLine="480"/>
      </w:pPr>
      <w:r>
        <w:rPr>
          <w:rFonts w:hint="eastAsia"/>
        </w:rPr>
        <w:t>首先是库区内蓄水前的陆生植被淹没后腐烂，在微生物作用下分解成氮、磷等营养物质，这是库区内内源性营养物质。其次，由上游河道及汇水区进入库区的腐屑和营养盐等构成外源性营养物质。这些物质或沉于库底或溶于水中，可供</w:t>
      </w:r>
      <w:r>
        <w:rPr>
          <w:rFonts w:hint="eastAsia"/>
        </w:rPr>
        <w:lastRenderedPageBreak/>
        <w:t>浮游植物利用。</w:t>
      </w:r>
    </w:p>
    <w:p w:rsidR="006175A6" w:rsidRDefault="009B4BA7">
      <w:pPr>
        <w:ind w:firstLine="480"/>
      </w:pPr>
      <w:r>
        <w:rPr>
          <w:rFonts w:hint="eastAsia"/>
        </w:rPr>
        <w:t>（</w:t>
      </w:r>
      <w:r>
        <w:rPr>
          <w:rFonts w:hint="eastAsia"/>
        </w:rPr>
        <w:t>3</w:t>
      </w:r>
      <w:r>
        <w:rPr>
          <w:rFonts w:hint="eastAsia"/>
        </w:rPr>
        <w:t>）水温发生变化</w:t>
      </w:r>
    </w:p>
    <w:p w:rsidR="006175A6" w:rsidRDefault="009B4BA7">
      <w:pPr>
        <w:ind w:firstLine="480"/>
      </w:pPr>
      <w:r>
        <w:rPr>
          <w:rFonts w:hint="eastAsia"/>
        </w:rPr>
        <w:t>建岸后，水库蓄水量明显变化，热容量相应增大，水温比河流稳定。此外，由于库区水深，在水库垂直方向发生水温的季节变化：夏季水温呈正成层分布，上、下层水温相差明显；冬季呈逆成层分布；春、秋两季由于库区内水的对流参混作用，上、下层水温相差不大。</w:t>
      </w:r>
    </w:p>
    <w:p w:rsidR="006175A6" w:rsidRDefault="009B4BA7">
      <w:pPr>
        <w:ind w:firstLine="480"/>
      </w:pPr>
      <w:r>
        <w:rPr>
          <w:rFonts w:hint="eastAsia"/>
        </w:rPr>
        <w:t>上述变化都将对水生生物产生重大影响，主要表现为：</w:t>
      </w:r>
    </w:p>
    <w:p w:rsidR="006175A6" w:rsidRDefault="009B4BA7">
      <w:pPr>
        <w:pStyle w:val="ae"/>
        <w:numPr>
          <w:ilvl w:val="0"/>
          <w:numId w:val="5"/>
        </w:numPr>
        <w:ind w:firstLineChars="0"/>
      </w:pPr>
      <w:r>
        <w:rPr>
          <w:rFonts w:hint="eastAsia"/>
        </w:rPr>
        <w:t>对两河口水库库区浮游生物的影响</w:t>
      </w:r>
    </w:p>
    <w:p w:rsidR="006175A6" w:rsidRDefault="009B4BA7">
      <w:pPr>
        <w:ind w:firstLine="480"/>
      </w:pPr>
      <w:r>
        <w:rPr>
          <w:rFonts w:hint="eastAsia"/>
        </w:rPr>
        <w:t>建库后，由于库区营养物质增加，水温比较稳定并有升高，这种环境的改变更有利于浮游植物的生长发育，因此，在生长期内，多种浮游植物在库区出现。原河流中占优势的硅藻，种类数将比原有水平增加，数量及生物量将会明显增多。绿藻、蓝藻的种类都会增加，数量及生物量也将相应增大。例外，由于春、秋两季水流的对流作用，含营养物质较多的下层水到上层，为在光照层生长繁殖的浮游植物创造有利条件。在春季，首先硅藻的种类和数量将迅速增加，相继其他各门藻类开始生长繁殖。可以预测，库区内浮游植物的数量及生物量将在每年的春季出现峰值。秋季气温、水温低，浮游植物的数量及生物量不会出现峰值。水库建成后，水库的浮游生物的终了组成和现存量将会比原河道的明显增加，特别是一些较大的库湾，浮游藻类可能会以硅藻为主的河流类型特征，逐步变为以绿藻为主的湖泊类型特征。</w:t>
      </w:r>
    </w:p>
    <w:p w:rsidR="006175A6" w:rsidRDefault="009B4BA7">
      <w:pPr>
        <w:ind w:firstLine="480"/>
      </w:pPr>
      <w:r>
        <w:rPr>
          <w:rFonts w:hint="eastAsia"/>
        </w:rPr>
        <w:t>在河流中，种类和数量都很少的枝角类和桡足类，在水库中都会增加。轮虫的种类和数量将有更大的发展。原生动物在水库中种类和数量将会增加，并随库龄增加将形成一大类群，每年春季，浮游生物的数量及生物量也将出现峰。</w:t>
      </w:r>
    </w:p>
    <w:p w:rsidR="006175A6" w:rsidRDefault="009B4BA7">
      <w:pPr>
        <w:pStyle w:val="ae"/>
        <w:numPr>
          <w:ilvl w:val="0"/>
          <w:numId w:val="5"/>
        </w:numPr>
        <w:ind w:firstLineChars="0"/>
      </w:pPr>
      <w:r>
        <w:rPr>
          <w:rFonts w:hint="eastAsia"/>
        </w:rPr>
        <w:t>对两河口水库库区鱼类资源的影响</w:t>
      </w:r>
    </w:p>
    <w:p w:rsidR="006175A6" w:rsidRDefault="009B4BA7">
      <w:pPr>
        <w:ind w:firstLine="480"/>
      </w:pPr>
      <w:r>
        <w:rPr>
          <w:rFonts w:hint="eastAsia"/>
        </w:rPr>
        <w:t>筑坝建库后，将使水体的底质、流速、流量、透明度、水温等一系列的水文因素发生变化，这些变化直接导致了鱼类栖息环境的变化，其结果使鱼类资源受到显著的影响：</w:t>
      </w:r>
    </w:p>
    <w:p w:rsidR="006175A6" w:rsidRDefault="009B4BA7">
      <w:pPr>
        <w:ind w:firstLine="480"/>
      </w:pPr>
      <w:r>
        <w:rPr>
          <w:rFonts w:hint="eastAsia"/>
        </w:rPr>
        <w:t>①建库后由于水位抬高，使原有底质多为砾石、流水落差较大、水流湍急的水环境改变为泥底的半静止或静止的环境。由于环境的改变，使那些适应在急流中生活的种类失去了赖以生存的急流环境，而被迫迁移到库区上游和支流中生活，</w:t>
      </w:r>
      <w:r>
        <w:rPr>
          <w:rFonts w:hint="eastAsia"/>
        </w:rPr>
        <w:lastRenderedPageBreak/>
        <w:t>致使这些种类的生存空间大大缩小。根据门家河流域鱼类资源的调查，评价区鱼类数量较少，一共有</w:t>
      </w:r>
      <w:r>
        <w:rPr>
          <w:rFonts w:hint="eastAsia"/>
        </w:rPr>
        <w:t>5</w:t>
      </w:r>
      <w:r>
        <w:rPr>
          <w:rFonts w:hint="eastAsia"/>
        </w:rPr>
        <w:t>种，分别为犁头鳅、泥鳅、长江鱼岁、鲫、黄鳝等，其中鲫和黄鳝是经济价值较高的鱼类，犁头鳅、泥鳅、长江鱼岁均属于小型鱼类。项目所在区域鱼类生存力强，淹没区内的鱼类数量较少，其主要分布在淹没区上游地区和人迹罕至的直流内，其主要分布区域受淹没影响很小，因此，淹没虽然使其生存空间缩小，但是淹没水位线以上河流仍然是这些鱼类的适生生境，此外由于蓄水后水生浮游动物的增多，鱼类的食物来源增多，其数量也会相应增加，因此不会对该物种的生存造成威胁。</w:t>
      </w:r>
    </w:p>
    <w:p w:rsidR="006175A6" w:rsidRDefault="009B4BA7">
      <w:pPr>
        <w:ind w:firstLine="480"/>
      </w:pPr>
      <w:r>
        <w:rPr>
          <w:rFonts w:hint="eastAsia"/>
        </w:rPr>
        <w:t>②蓄水后，水深增大，流速减缓，使得原有流动的水体变为半静止或静止的水体，栖息水域扩大，为喜栖缓流敞水生活的鱼类提供一个适宜的环境；浮游生物的增加也为以此为食的鱼类提供了充足的食物来源，加上水库养殖投放新的鱼种，鱼类的种类和数量将大大增加，适宜静水、缓流生境，且摄食水草、浮游生物和捕食别种鱼类将得到发展，成为优势群体，如黄颈鱼、鲫鱼、鲤鱼、鳙鱼、鲢鱼等在种群数量将会不断扩大，并将发展为优势种群，整个鱼类区系组成将由“河流相”演变成为“湖泊相”。</w:t>
      </w:r>
    </w:p>
    <w:p w:rsidR="006175A6" w:rsidRDefault="009B4BA7">
      <w:pPr>
        <w:pStyle w:val="ae"/>
        <w:numPr>
          <w:ilvl w:val="0"/>
          <w:numId w:val="5"/>
        </w:numPr>
        <w:ind w:firstLineChars="0"/>
      </w:pPr>
      <w:r>
        <w:rPr>
          <w:rFonts w:hint="eastAsia"/>
        </w:rPr>
        <w:t>对下游水生生物的影响</w:t>
      </w:r>
    </w:p>
    <w:p w:rsidR="006175A6" w:rsidRDefault="009B4BA7">
      <w:pPr>
        <w:ind w:firstLine="480"/>
      </w:pPr>
      <w:r>
        <w:rPr>
          <w:rFonts w:hint="eastAsia"/>
        </w:rPr>
        <w:t>①大坝阻隔的影响</w:t>
      </w:r>
    </w:p>
    <w:p w:rsidR="006175A6" w:rsidRDefault="009B4BA7">
      <w:pPr>
        <w:ind w:firstLine="480"/>
      </w:pPr>
      <w:r>
        <w:rPr>
          <w:rFonts w:hint="eastAsia"/>
        </w:rPr>
        <w:t>两河口水库建成后，由于拦河坝的建设，鱼类的活动区域被人为阻断而有所减少。由于采用长距离管道引水，大坝下游河段受引水的影响，径流量有所减少，导致过水断面缩小，水生生物的气息环境被压缩；但由于通过生态放水孔放水及其他支流的补水，坝下河段不会产生断流现象，水生生物的栖息环境不致恶化。</w:t>
      </w:r>
    </w:p>
    <w:p w:rsidR="006175A6" w:rsidRDefault="009B4BA7">
      <w:pPr>
        <w:ind w:firstLine="480"/>
      </w:pPr>
      <w:r>
        <w:rPr>
          <w:rFonts w:hint="eastAsia"/>
        </w:rPr>
        <w:t>②低温水的影响分析</w:t>
      </w:r>
    </w:p>
    <w:p w:rsidR="006175A6" w:rsidRDefault="009B4BA7">
      <w:pPr>
        <w:ind w:firstLine="480"/>
      </w:pPr>
      <w:r>
        <w:rPr>
          <w:rFonts w:hint="eastAsia"/>
        </w:rPr>
        <w:t>对于不需要流水条件的产粘性卵和沉性卵的鱼类而言，大部分的繁殖期在</w:t>
      </w:r>
      <w:r>
        <w:rPr>
          <w:rFonts w:hint="eastAsia"/>
        </w:rPr>
        <w:t>5~10</w:t>
      </w:r>
      <w:r>
        <w:rPr>
          <w:rFonts w:hint="eastAsia"/>
        </w:rPr>
        <w:t>月，繁殖期的水温要求在</w:t>
      </w:r>
      <w:r>
        <w:rPr>
          <w:rFonts w:hint="eastAsia"/>
        </w:rPr>
        <w:t>18</w:t>
      </w:r>
      <w:r>
        <w:rPr>
          <w:rFonts w:hint="eastAsia"/>
        </w:rPr>
        <w:t>℃以上。根据水温预测，生态放水孔进水口高程为</w:t>
      </w:r>
      <w:r>
        <w:rPr>
          <w:rFonts w:hint="eastAsia"/>
        </w:rPr>
        <w:t>1000m</w:t>
      </w:r>
      <w:r>
        <w:rPr>
          <w:rFonts w:hint="eastAsia"/>
        </w:rPr>
        <w:t>，位于正常蓄水水位以下</w:t>
      </w:r>
      <w:r>
        <w:rPr>
          <w:rFonts w:hint="eastAsia"/>
        </w:rPr>
        <w:t>58m</w:t>
      </w:r>
      <w:r>
        <w:rPr>
          <w:rFonts w:hint="eastAsia"/>
        </w:rPr>
        <w:t>。水库正常蓄水位以下</w:t>
      </w:r>
      <w:r>
        <w:rPr>
          <w:rFonts w:hint="eastAsia"/>
        </w:rPr>
        <w:t>134m</w:t>
      </w:r>
      <w:r>
        <w:rPr>
          <w:rFonts w:hint="eastAsia"/>
        </w:rPr>
        <w:t>的水温全年变化不大，约为</w:t>
      </w:r>
      <w:r>
        <w:rPr>
          <w:rFonts w:hint="eastAsia"/>
        </w:rPr>
        <w:t>8.2~11.2</w:t>
      </w:r>
      <w:r>
        <w:rPr>
          <w:rFonts w:hint="eastAsia"/>
        </w:rPr>
        <w:t>℃之间，和水库表面温度相比，</w:t>
      </w:r>
      <w:r>
        <w:rPr>
          <w:rFonts w:hint="eastAsia"/>
        </w:rPr>
        <w:t>12</w:t>
      </w:r>
      <w:r>
        <w:rPr>
          <w:rFonts w:hint="eastAsia"/>
        </w:rPr>
        <w:t>、</w:t>
      </w:r>
      <w:r>
        <w:rPr>
          <w:rFonts w:hint="eastAsia"/>
        </w:rPr>
        <w:t>1</w:t>
      </w:r>
      <w:r>
        <w:rPr>
          <w:rFonts w:hint="eastAsia"/>
        </w:rPr>
        <w:t>月份相差不大，而其它月份则明显偏低，尤其是</w:t>
      </w:r>
      <w:r>
        <w:rPr>
          <w:rFonts w:hint="eastAsia"/>
        </w:rPr>
        <w:t>5~10</w:t>
      </w:r>
      <w:r>
        <w:rPr>
          <w:rFonts w:hint="eastAsia"/>
        </w:rPr>
        <w:t>月（水库表面温度为</w:t>
      </w:r>
      <w:r>
        <w:rPr>
          <w:rFonts w:hint="eastAsia"/>
        </w:rPr>
        <w:t>16.39~30.68</w:t>
      </w:r>
      <w:r>
        <w:rPr>
          <w:rFonts w:hint="eastAsia"/>
        </w:rPr>
        <w:t>℃）。水库运行后通过生态放水孔下泄生态水，但由于下泄流量很少，低温水在下泄后受阳光照射，水温恢复较快，因此对产粘性的评价范围内鱼类影响不大。</w:t>
      </w:r>
    </w:p>
    <w:p w:rsidR="006175A6" w:rsidRDefault="009B4BA7">
      <w:pPr>
        <w:pStyle w:val="ae"/>
        <w:numPr>
          <w:ilvl w:val="0"/>
          <w:numId w:val="5"/>
        </w:numPr>
        <w:ind w:firstLineChars="0"/>
      </w:pPr>
      <w:r>
        <w:rPr>
          <w:rFonts w:hint="eastAsia"/>
        </w:rPr>
        <w:lastRenderedPageBreak/>
        <w:t>结论</w:t>
      </w:r>
    </w:p>
    <w:p w:rsidR="006175A6" w:rsidRDefault="009B4BA7">
      <w:pPr>
        <w:ind w:firstLine="480"/>
      </w:pPr>
      <w:r>
        <w:rPr>
          <w:rFonts w:hint="eastAsia"/>
        </w:rPr>
        <w:t>综合上述结论，工程建设将会改变现有的鱼类种群结构，在两河口水库库区适应静水生存的鱼类将取代山溪性的洛氏鲶影响不大，总体来说，随着两河口水库的建成，还会使该河段鱼类种类和数量有所增加。</w:t>
      </w:r>
    </w:p>
    <w:p w:rsidR="006175A6" w:rsidRDefault="009B4BA7">
      <w:pPr>
        <w:pStyle w:val="3"/>
      </w:pPr>
      <w:r>
        <w:rPr>
          <w:rFonts w:hint="eastAsia"/>
        </w:rPr>
        <w:t>对局地气候影响分析</w:t>
      </w:r>
    </w:p>
    <w:p w:rsidR="006175A6" w:rsidRDefault="009B4BA7">
      <w:pPr>
        <w:ind w:firstLine="480"/>
      </w:pPr>
      <w:r>
        <w:rPr>
          <w:rFonts w:hint="eastAsia"/>
        </w:rPr>
        <w:t>水库蓄水后，由于地表下垫面中水面比例上升，因而一般说来都会对当地的气候产生影响，如库区年蒸发量上升，日温差和年温差减小，极端温度出现的机率降低库区附近空气湿度增加等，同时对库区及周边的主导风向和风速都有影响。由于建设项目为一峡谷河道型水库，库深和平面面积不大，与建成之前相比，水面面积变化不大，因而对当地的小气候的影响程度和影响范围均不会很大，但对当地的小气候会有所改善。</w:t>
      </w:r>
    </w:p>
    <w:p w:rsidR="006175A6" w:rsidRDefault="009B4BA7">
      <w:pPr>
        <w:ind w:firstLine="480"/>
      </w:pPr>
      <w:r>
        <w:rPr>
          <w:rFonts w:hint="eastAsia"/>
        </w:rPr>
        <w:t>（</w:t>
      </w:r>
      <w:r>
        <w:rPr>
          <w:rFonts w:hint="eastAsia"/>
        </w:rPr>
        <w:t>1</w:t>
      </w:r>
      <w:r>
        <w:rPr>
          <w:rFonts w:hint="eastAsia"/>
        </w:rPr>
        <w:t>）降水</w:t>
      </w:r>
    </w:p>
    <w:p w:rsidR="006175A6" w:rsidRDefault="009B4BA7">
      <w:pPr>
        <w:ind w:firstLine="480"/>
      </w:pPr>
      <w:r>
        <w:rPr>
          <w:rFonts w:hint="eastAsia"/>
        </w:rPr>
        <w:t>根据已建水库的观测资料类比分析，水库并不明显改变该地区降水量，只是对降水的分布状况稍有改变。根据国内类似地区已建水库的观测研究资料可知，水库中心区夏季降水量比建库前减少，库周地区降水增多，因库区河流属暴雨性河流，夏季暴雨频繁，所以微小的降水量变化对整个库区影响较小。</w:t>
      </w:r>
    </w:p>
    <w:p w:rsidR="006175A6" w:rsidRDefault="009B4BA7">
      <w:pPr>
        <w:ind w:firstLine="480"/>
      </w:pPr>
      <w:r>
        <w:rPr>
          <w:rFonts w:hint="eastAsia"/>
        </w:rPr>
        <w:t>（</w:t>
      </w:r>
      <w:r>
        <w:rPr>
          <w:rFonts w:hint="eastAsia"/>
        </w:rPr>
        <w:t>2</w:t>
      </w:r>
      <w:r>
        <w:rPr>
          <w:rFonts w:hint="eastAsia"/>
        </w:rPr>
        <w:t>）气温</w:t>
      </w:r>
    </w:p>
    <w:p w:rsidR="006175A6" w:rsidRDefault="009B4BA7">
      <w:pPr>
        <w:ind w:firstLine="480"/>
      </w:pPr>
      <w:r>
        <w:rPr>
          <w:rFonts w:hint="eastAsia"/>
        </w:rPr>
        <w:t>拟建项目蓄水后，将改善库区小气候。库区下垫面由陆地变成水体，使下垫面的物理性质发生较大变化。天然河道变成静水水面，水位抬高，水面增大，水深增加。库区水体与空气的热量交换发生改变，导致蓄水后的气温略高于蓄水前的气温。此外，蓄水后使气温的变化变得较平缓，气温日较差和年较差变小，年内最高气温略有下降，最低气温略有上升。</w:t>
      </w:r>
    </w:p>
    <w:p w:rsidR="006175A6" w:rsidRDefault="009B4BA7">
      <w:pPr>
        <w:ind w:firstLine="480"/>
      </w:pPr>
      <w:r>
        <w:rPr>
          <w:rFonts w:hint="eastAsia"/>
        </w:rPr>
        <w:t>（</w:t>
      </w:r>
      <w:r>
        <w:rPr>
          <w:rFonts w:hint="eastAsia"/>
        </w:rPr>
        <w:t>3</w:t>
      </w:r>
      <w:r>
        <w:rPr>
          <w:rFonts w:hint="eastAsia"/>
        </w:rPr>
        <w:t>）湿度</w:t>
      </w:r>
    </w:p>
    <w:p w:rsidR="006175A6" w:rsidRDefault="009B4BA7">
      <w:pPr>
        <w:ind w:firstLine="480"/>
      </w:pPr>
      <w:r>
        <w:rPr>
          <w:rFonts w:hint="eastAsia"/>
        </w:rPr>
        <w:t>拟建项目蓄水后，由于水面蒸发量增大，使得库区湿润的气候特色比建库前有所增强，年平均相对湿度有所增加，从季节分配看，夏季略有增大，冬季略有减少，春秋两季增加不明显。</w:t>
      </w:r>
    </w:p>
    <w:p w:rsidR="006175A6" w:rsidRDefault="009B4BA7">
      <w:pPr>
        <w:ind w:firstLine="480"/>
      </w:pPr>
      <w:r>
        <w:rPr>
          <w:rFonts w:hint="eastAsia"/>
        </w:rPr>
        <w:t>（</w:t>
      </w:r>
      <w:r>
        <w:rPr>
          <w:rFonts w:hint="eastAsia"/>
        </w:rPr>
        <w:t>4</w:t>
      </w:r>
      <w:r>
        <w:rPr>
          <w:rFonts w:hint="eastAsia"/>
        </w:rPr>
        <w:t>）风</w:t>
      </w:r>
    </w:p>
    <w:p w:rsidR="006175A6" w:rsidRDefault="009B4BA7">
      <w:pPr>
        <w:ind w:firstLine="480"/>
      </w:pPr>
      <w:r>
        <w:rPr>
          <w:rFonts w:hint="eastAsia"/>
        </w:rPr>
        <w:t>拟建项目为典型的河道型水库，建库后库区的盛行风向受大气候和地形条件的控制不会有明显的改变。库区属弱风地区，建库后由于水面与陆面冷热差异，</w:t>
      </w:r>
      <w:r>
        <w:rPr>
          <w:rFonts w:hint="eastAsia"/>
        </w:rPr>
        <w:lastRenderedPageBreak/>
        <w:t>常见风频率将有所增加，而静风频率则相应减少；蓄水后淹没了原来地面的障碍物，平滑的水面代替了起伏的陆面，糙率减少，使风速有所增加。</w:t>
      </w:r>
    </w:p>
    <w:p w:rsidR="006175A6" w:rsidRDefault="009B4BA7">
      <w:pPr>
        <w:ind w:firstLine="480"/>
      </w:pPr>
      <w:r>
        <w:rPr>
          <w:rFonts w:hint="eastAsia"/>
        </w:rPr>
        <w:t>（</w:t>
      </w:r>
      <w:r>
        <w:rPr>
          <w:rFonts w:hint="eastAsia"/>
        </w:rPr>
        <w:t>5</w:t>
      </w:r>
      <w:r>
        <w:rPr>
          <w:rFonts w:hint="eastAsia"/>
        </w:rPr>
        <w:t>）雾情</w:t>
      </w:r>
    </w:p>
    <w:p w:rsidR="006175A6" w:rsidRDefault="009B4BA7">
      <w:pPr>
        <w:ind w:firstLine="480"/>
      </w:pPr>
      <w:r>
        <w:rPr>
          <w:rFonts w:hint="eastAsia"/>
        </w:rPr>
        <w:t>拟建项目建成后，水库暖季和白昼的升温以及冷季和夜间的降温比空气和地面缓慢，这种冷热源作用有利于在冬季形成蒸气雾和在夏季形成辐射雾，但同时，由于水库的温度、湿度和风效应，气温冬季升高，夏季降低；湿度冬季减少，夏季增大；全年风速有所增加，这些因子的变化又不利于雾的形成。重要的是，建库库区近地层的成雾条件变化仍然是大气环流的大气状况起主导作用。综合上述分析，可以预计拟建项目的建设不会使雾情明显变化。</w:t>
      </w:r>
    </w:p>
    <w:p w:rsidR="006175A6" w:rsidRDefault="009B4BA7">
      <w:pPr>
        <w:ind w:firstLine="480"/>
      </w:pPr>
      <w:r>
        <w:rPr>
          <w:rFonts w:hint="eastAsia"/>
        </w:rPr>
        <w:t>拟建项目建成后，对库区邻域气候有一定影响，但由于库区面积很小，因而影响程度极小，影响范围不大，各气候要素的变化幅度均不明显。项目在一定程度上改善库区农业气候的水热条件。库区降水增加，农作物用水的保证率有所提高，库区冬春季节气温升高，初霜期推迟，终霜期提前，有利于粮食作物、喜温经济作物以及陆地植被的生长和安全越冬。此外，冬暖夏凉气温变化也给库区带来更为舒适的生活环境。</w:t>
      </w:r>
    </w:p>
    <w:p w:rsidR="006175A6" w:rsidRDefault="009B4BA7">
      <w:pPr>
        <w:pStyle w:val="3"/>
      </w:pPr>
      <w:r>
        <w:rPr>
          <w:rFonts w:hint="eastAsia"/>
        </w:rPr>
        <w:t>景观影响分析</w:t>
      </w:r>
    </w:p>
    <w:p w:rsidR="006175A6" w:rsidRDefault="009B4BA7">
      <w:pPr>
        <w:ind w:firstLine="480"/>
      </w:pPr>
      <w:r>
        <w:rPr>
          <w:rFonts w:hint="eastAsia"/>
        </w:rPr>
        <w:t>施工区域不涉及风景名胜区，区域内主要是灌木林，工程建设过程中土方开挖、工程征地、施工中产生的弃土弃渣的堆放等都将扰动大面积的原有地貌，破坏植被，势必将对区域的景观造成影响。由于工程影响范围内并无重要的地理地貌景观、人文景观等，仅对普通自然景观产生影响，所以影响是可以接受的。</w:t>
      </w:r>
    </w:p>
    <w:p w:rsidR="006175A6" w:rsidRDefault="009B4BA7">
      <w:pPr>
        <w:ind w:firstLine="480"/>
      </w:pPr>
      <w:r>
        <w:rPr>
          <w:rFonts w:hint="eastAsia"/>
        </w:rPr>
        <w:t>在施工过程中，应做好景观设计工作，对受到影响或遭受破坏的景观进行必要的恢复，对植被的恢复工作尤其重要。主体工程完成后，随着各项水土保持措施的实施，临时占地的复耕及防浪林的建立等，施工影响范围内的景观较现状将会有较大改善。</w:t>
      </w:r>
    </w:p>
    <w:p w:rsidR="006175A6" w:rsidRDefault="009B4BA7">
      <w:pPr>
        <w:pStyle w:val="2"/>
      </w:pPr>
      <w:bookmarkStart w:id="65" w:name="_Toc80170112"/>
      <w:r>
        <w:rPr>
          <w:rFonts w:hint="eastAsia"/>
        </w:rPr>
        <w:t>水土流失影响预测与评价</w:t>
      </w:r>
      <w:bookmarkEnd w:id="65"/>
    </w:p>
    <w:p w:rsidR="006175A6" w:rsidRDefault="009B4BA7">
      <w:pPr>
        <w:pStyle w:val="3"/>
      </w:pPr>
      <w:r>
        <w:rPr>
          <w:rFonts w:hint="eastAsia"/>
        </w:rPr>
        <w:t>水土流失防治责任范围</w:t>
      </w:r>
    </w:p>
    <w:p w:rsidR="006175A6" w:rsidRDefault="009B4BA7">
      <w:pPr>
        <w:ind w:firstLine="480"/>
      </w:pPr>
      <w:r>
        <w:rPr>
          <w:rFonts w:hint="eastAsia"/>
        </w:rPr>
        <w:t>根据《中华人民共和国水土保持法》第三十二条：“开办生产建设项目或者从事其他生产建设活动造成水土流失的，应当进行治理”，并现场调查确定两河</w:t>
      </w:r>
      <w:r>
        <w:rPr>
          <w:rFonts w:hint="eastAsia"/>
        </w:rPr>
        <w:lastRenderedPageBreak/>
        <w:t>口水库工程的水土流失防治责任范围，包括项目建设区</w:t>
      </w:r>
      <w:r w:rsidR="00E97427">
        <w:rPr>
          <w:rFonts w:hint="eastAsia"/>
        </w:rPr>
        <w:t>（</w:t>
      </w:r>
      <w:r>
        <w:rPr>
          <w:rFonts w:hint="eastAsia"/>
        </w:rPr>
        <w:t>指开发建设单位的征地范围、租地范围和土地使用管辖范围</w:t>
      </w:r>
      <w:r w:rsidR="00E97427">
        <w:rPr>
          <w:rFonts w:hint="eastAsia"/>
        </w:rPr>
        <w:t>）</w:t>
      </w:r>
      <w:r>
        <w:rPr>
          <w:rFonts w:hint="eastAsia"/>
        </w:rPr>
        <w:t>和直接影响区</w:t>
      </w:r>
      <w:r w:rsidR="00E97427">
        <w:rPr>
          <w:rFonts w:hint="eastAsia"/>
        </w:rPr>
        <w:t>（</w:t>
      </w:r>
      <w:r>
        <w:rPr>
          <w:rFonts w:hint="eastAsia"/>
        </w:rPr>
        <w:t>指项目建设区以外开发建设活动而造成的水土流失及直接危害的范围</w:t>
      </w:r>
      <w:r w:rsidR="00E97427">
        <w:rPr>
          <w:rFonts w:hint="eastAsia"/>
        </w:rPr>
        <w:t>）</w:t>
      </w:r>
      <w:r>
        <w:rPr>
          <w:rFonts w:hint="eastAsia"/>
        </w:rPr>
        <w:t>。</w:t>
      </w:r>
    </w:p>
    <w:p w:rsidR="006175A6" w:rsidRDefault="009B4BA7">
      <w:pPr>
        <w:ind w:firstLine="480"/>
      </w:pPr>
      <w:r>
        <w:rPr>
          <w:rFonts w:hint="eastAsia"/>
        </w:rPr>
        <w:t>项目建设区大坝区、导流洞、输水工程区、工程管理区、施工场地区、交通道路区、料场区、弃渣场区、水库淹没区等共</w:t>
      </w:r>
      <w:r>
        <w:rPr>
          <w:rFonts w:hint="eastAsia"/>
        </w:rPr>
        <w:t>62.03hm</w:t>
      </w:r>
      <w:r>
        <w:rPr>
          <w:rFonts w:hint="eastAsia"/>
        </w:rPr>
        <w:t>²，直接影响区包括大坝区周边、导流洞周边、输水工程区周边、工程管理区周边、施工场地区周边、交通道路区周边、料场区周边及弃渣场区周边，所以本工程的防治责任范围总面积为</w:t>
      </w:r>
      <w:r>
        <w:rPr>
          <w:rFonts w:hint="eastAsia"/>
        </w:rPr>
        <w:t>73.17hm</w:t>
      </w:r>
      <w:r>
        <w:rPr>
          <w:rFonts w:hint="eastAsia"/>
        </w:rPr>
        <w:t>²。</w:t>
      </w:r>
    </w:p>
    <w:p w:rsidR="006175A6" w:rsidRDefault="009B4BA7">
      <w:pPr>
        <w:ind w:firstLine="480"/>
      </w:pPr>
      <w:r>
        <w:rPr>
          <w:rFonts w:hint="eastAsia"/>
        </w:rPr>
        <w:t>工程水土流失防治责任范围统计见下表。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工程水土流失防治范围一览表</w:t>
      </w:r>
      <w:r>
        <w:rPr>
          <w:rFonts w:hint="eastAsia"/>
        </w:rPr>
        <w:t xml:space="preserve">  </w:t>
      </w:r>
      <w:r>
        <w:rPr>
          <w:rFonts w:hint="eastAsia"/>
        </w:rPr>
        <w:t>单位：</w:t>
      </w:r>
      <w:r>
        <w:rPr>
          <w:rFonts w:hint="eastAsia"/>
        </w:rPr>
        <w:t>hm</w:t>
      </w:r>
      <w:r>
        <w:rPr>
          <w:rFonts w:hint="eastAsia"/>
        </w:rPr>
        <w:t>²</w:t>
      </w:r>
    </w:p>
    <w:tbl>
      <w:tblPr>
        <w:tblW w:w="8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2154"/>
        <w:gridCol w:w="1858"/>
        <w:gridCol w:w="1857"/>
        <w:gridCol w:w="1109"/>
      </w:tblGrid>
      <w:tr w:rsidR="006175A6">
        <w:trPr>
          <w:trHeight w:val="340"/>
          <w:jc w:val="center"/>
        </w:trPr>
        <w:tc>
          <w:tcPr>
            <w:tcW w:w="4012" w:type="dxa"/>
            <w:gridSpan w:val="2"/>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项目</w:t>
            </w:r>
          </w:p>
        </w:tc>
        <w:tc>
          <w:tcPr>
            <w:tcW w:w="4824" w:type="dxa"/>
            <w:gridSpan w:val="3"/>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水土流失防治责任范围</w:t>
            </w:r>
          </w:p>
        </w:tc>
      </w:tr>
      <w:tr w:rsidR="006175A6">
        <w:trPr>
          <w:trHeight w:val="340"/>
          <w:jc w:val="center"/>
        </w:trPr>
        <w:tc>
          <w:tcPr>
            <w:tcW w:w="4012" w:type="dxa"/>
            <w:gridSpan w:val="2"/>
            <w:vMerge/>
            <w:vAlign w:val="center"/>
          </w:tcPr>
          <w:p w:rsidR="006175A6" w:rsidRDefault="006175A6">
            <w:pPr>
              <w:spacing w:line="240" w:lineRule="auto"/>
              <w:ind w:firstLineChars="0" w:firstLine="0"/>
              <w:jc w:val="center"/>
              <w:rPr>
                <w:sz w:val="21"/>
              </w:rPr>
            </w:pP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项目建设区</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直接影响区</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小计</w:t>
            </w:r>
          </w:p>
        </w:tc>
      </w:tr>
      <w:tr w:rsidR="006175A6">
        <w:trPr>
          <w:trHeight w:val="340"/>
          <w:jc w:val="center"/>
        </w:trPr>
        <w:tc>
          <w:tcPr>
            <w:tcW w:w="1858" w:type="dxa"/>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大坝区</w:t>
            </w: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大坝</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0.64</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0.21</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0.85</w:t>
            </w:r>
          </w:p>
        </w:tc>
      </w:tr>
      <w:tr w:rsidR="006175A6">
        <w:trPr>
          <w:trHeight w:val="340"/>
          <w:jc w:val="center"/>
        </w:trPr>
        <w:tc>
          <w:tcPr>
            <w:tcW w:w="1858" w:type="dxa"/>
            <w:vMerge/>
            <w:vAlign w:val="center"/>
          </w:tcPr>
          <w:p w:rsidR="006175A6" w:rsidRDefault="006175A6">
            <w:pPr>
              <w:spacing w:line="240" w:lineRule="auto"/>
              <w:ind w:firstLineChars="0" w:firstLine="0"/>
              <w:jc w:val="center"/>
              <w:rPr>
                <w:sz w:val="21"/>
              </w:rPr>
            </w:pP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围堰</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0.11</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0.12</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0.23</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导流洞</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0.04</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0.02</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0.06</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输水工程区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0.53</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0.13</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0.66</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工程管理区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0.28</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0.09</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0.37</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施工场地区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1.67</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0.75</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2.42</w:t>
            </w:r>
          </w:p>
        </w:tc>
      </w:tr>
      <w:tr w:rsidR="006175A6">
        <w:trPr>
          <w:trHeight w:val="340"/>
          <w:jc w:val="center"/>
        </w:trPr>
        <w:tc>
          <w:tcPr>
            <w:tcW w:w="1858" w:type="dxa"/>
            <w:vMerge w:val="restart"/>
            <w:vAlign w:val="center"/>
          </w:tcPr>
          <w:p w:rsidR="006175A6" w:rsidRDefault="006175A6">
            <w:pPr>
              <w:pStyle w:val="TableParagraph"/>
              <w:rPr>
                <w:rFonts w:ascii="Times New Roman" w:hAnsi="Times New Roman" w:cs="Times New Roman"/>
                <w:sz w:val="21"/>
                <w:szCs w:val="21"/>
              </w:rPr>
            </w:pP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交通道路区</w:t>
            </w: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永久道路</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3.7</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2.27</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5.97</w:t>
            </w:r>
          </w:p>
        </w:tc>
      </w:tr>
      <w:tr w:rsidR="006175A6">
        <w:trPr>
          <w:trHeight w:val="340"/>
          <w:jc w:val="center"/>
        </w:trPr>
        <w:tc>
          <w:tcPr>
            <w:tcW w:w="1858" w:type="dxa"/>
            <w:vMerge/>
            <w:vAlign w:val="center"/>
          </w:tcPr>
          <w:p w:rsidR="006175A6" w:rsidRDefault="006175A6">
            <w:pPr>
              <w:spacing w:line="240" w:lineRule="auto"/>
              <w:ind w:firstLineChars="0" w:firstLine="0"/>
              <w:jc w:val="center"/>
              <w:rPr>
                <w:sz w:val="21"/>
              </w:rPr>
            </w:pP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施工临时道路</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12.05</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4.26</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16.31</w:t>
            </w:r>
          </w:p>
        </w:tc>
      </w:tr>
      <w:tr w:rsidR="006175A6">
        <w:trPr>
          <w:trHeight w:val="340"/>
          <w:jc w:val="center"/>
        </w:trPr>
        <w:tc>
          <w:tcPr>
            <w:tcW w:w="1858" w:type="dxa"/>
            <w:vMerge w:val="restart"/>
            <w:vAlign w:val="center"/>
          </w:tcPr>
          <w:p w:rsidR="006175A6" w:rsidRDefault="006175A6">
            <w:pPr>
              <w:pStyle w:val="TableParagraph"/>
              <w:rPr>
                <w:rFonts w:ascii="Times New Roman" w:hAnsi="Times New Roman" w:cs="Times New Roman"/>
                <w:sz w:val="21"/>
                <w:szCs w:val="21"/>
              </w:rPr>
            </w:pP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料场区</w:t>
            </w: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石料场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0.72</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3.72</w:t>
            </w:r>
          </w:p>
        </w:tc>
      </w:tr>
      <w:tr w:rsidR="006175A6">
        <w:trPr>
          <w:trHeight w:val="340"/>
          <w:jc w:val="center"/>
        </w:trPr>
        <w:tc>
          <w:tcPr>
            <w:tcW w:w="1858" w:type="dxa"/>
            <w:vMerge/>
            <w:vAlign w:val="center"/>
          </w:tcPr>
          <w:p w:rsidR="006175A6" w:rsidRDefault="006175A6">
            <w:pPr>
              <w:spacing w:line="240" w:lineRule="auto"/>
              <w:ind w:firstLineChars="0" w:firstLine="0"/>
              <w:jc w:val="center"/>
              <w:rPr>
                <w:sz w:val="21"/>
              </w:rPr>
            </w:pPr>
          </w:p>
        </w:tc>
        <w:tc>
          <w:tcPr>
            <w:tcW w:w="2154"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土料场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0.15</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0.12</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0.27</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弃渣场区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6.88</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2.45</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9.33</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水库淹没区</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32.98</w:t>
            </w:r>
          </w:p>
        </w:tc>
        <w:tc>
          <w:tcPr>
            <w:tcW w:w="1857" w:type="dxa"/>
            <w:vAlign w:val="center"/>
          </w:tcPr>
          <w:p w:rsidR="006175A6" w:rsidRDefault="006175A6">
            <w:pPr>
              <w:pStyle w:val="TableParagraph"/>
              <w:rPr>
                <w:rFonts w:ascii="Times New Roman" w:hAnsi="Times New Roman" w:cs="Times New Roman"/>
                <w:sz w:val="21"/>
                <w:szCs w:val="21"/>
              </w:rPr>
            </w:pP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32.98</w:t>
            </w:r>
          </w:p>
        </w:tc>
      </w:tr>
      <w:tr w:rsidR="006175A6">
        <w:trPr>
          <w:trHeight w:val="340"/>
          <w:jc w:val="center"/>
        </w:trPr>
        <w:tc>
          <w:tcPr>
            <w:tcW w:w="4012" w:type="dxa"/>
            <w:gridSpan w:val="2"/>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合计</w:t>
            </w:r>
          </w:p>
        </w:tc>
        <w:tc>
          <w:tcPr>
            <w:tcW w:w="1858"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62.03</w:t>
            </w:r>
          </w:p>
        </w:tc>
        <w:tc>
          <w:tcPr>
            <w:tcW w:w="1857"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11.14</w:t>
            </w:r>
          </w:p>
        </w:tc>
        <w:tc>
          <w:tcPr>
            <w:tcW w:w="1109" w:type="dxa"/>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73.17</w:t>
            </w:r>
          </w:p>
        </w:tc>
      </w:tr>
    </w:tbl>
    <w:p w:rsidR="006175A6" w:rsidRDefault="009B4BA7">
      <w:pPr>
        <w:pStyle w:val="3"/>
      </w:pPr>
      <w:r>
        <w:rPr>
          <w:rFonts w:hint="eastAsia"/>
        </w:rPr>
        <w:t>水土流失防治目标及防治措施总体布局</w:t>
      </w:r>
    </w:p>
    <w:p w:rsidR="006175A6" w:rsidRDefault="009B4BA7">
      <w:pPr>
        <w:ind w:firstLine="480"/>
      </w:pPr>
      <w:r>
        <w:rPr>
          <w:rFonts w:hint="eastAsia"/>
        </w:rPr>
        <w:t>一、水土流失防治目标</w:t>
      </w:r>
    </w:p>
    <w:p w:rsidR="006175A6" w:rsidRDefault="009B4BA7">
      <w:pPr>
        <w:ind w:firstLine="480"/>
      </w:pPr>
      <w:r>
        <w:rPr>
          <w:rFonts w:hint="eastAsia"/>
        </w:rPr>
        <w:t>水土保持方案总目标为：预防和控制项目建设新增的水土流失，并在工程顺利建设和安全的前提下，保护并合理利用水土资源，提高土地生产力，重建新的更好的生态环境。经复核，本项目的防治标准采取建设类项目二级标准。根据相关规范和标准及项目的降雨和水土流失情况，本项目总的防治目标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水土流失分区防治总目标表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55"/>
        <w:gridCol w:w="822"/>
        <w:gridCol w:w="798"/>
        <w:gridCol w:w="437"/>
        <w:gridCol w:w="822"/>
        <w:gridCol w:w="617"/>
        <w:gridCol w:w="812"/>
        <w:gridCol w:w="848"/>
        <w:gridCol w:w="805"/>
      </w:tblGrid>
      <w:tr w:rsidR="006175A6">
        <w:trPr>
          <w:trHeight w:val="340"/>
          <w:jc w:val="center"/>
        </w:trPr>
        <w:tc>
          <w:tcPr>
            <w:tcW w:w="1416"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指标</w:t>
            </w:r>
          </w:p>
        </w:tc>
        <w:tc>
          <w:tcPr>
            <w:tcW w:w="974" w:type="pct"/>
            <w:gridSpan w:val="2"/>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二级标准</w:t>
            </w:r>
          </w:p>
        </w:tc>
        <w:tc>
          <w:tcPr>
            <w:tcW w:w="263"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降雨</w:t>
            </w:r>
          </w:p>
        </w:tc>
        <w:tc>
          <w:tcPr>
            <w:tcW w:w="494"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土侵蚀</w:t>
            </w:r>
          </w:p>
        </w:tc>
        <w:tc>
          <w:tcPr>
            <w:tcW w:w="371"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地形</w:t>
            </w:r>
          </w:p>
        </w:tc>
        <w:tc>
          <w:tcPr>
            <w:tcW w:w="488" w:type="pct"/>
            <w:vMerge w:val="restar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其他</w:t>
            </w:r>
          </w:p>
        </w:tc>
        <w:tc>
          <w:tcPr>
            <w:tcW w:w="994" w:type="pct"/>
            <w:gridSpan w:val="2"/>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拟定防治目标</w:t>
            </w:r>
          </w:p>
        </w:tc>
      </w:tr>
      <w:tr w:rsidR="006175A6">
        <w:trPr>
          <w:trHeight w:val="340"/>
          <w:jc w:val="center"/>
        </w:trPr>
        <w:tc>
          <w:tcPr>
            <w:tcW w:w="1416" w:type="pct"/>
            <w:vMerge/>
            <w:vAlign w:val="center"/>
          </w:tcPr>
          <w:p w:rsidR="006175A6" w:rsidRDefault="006175A6">
            <w:pPr>
              <w:widowControl/>
              <w:spacing w:line="240" w:lineRule="auto"/>
              <w:ind w:firstLine="420"/>
              <w:jc w:val="center"/>
              <w:rPr>
                <w:rFonts w:eastAsiaTheme="minorEastAsia"/>
                <w:sz w:val="21"/>
              </w:rPr>
            </w:pP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施工期</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试运行期</w:t>
            </w:r>
          </w:p>
        </w:tc>
        <w:tc>
          <w:tcPr>
            <w:tcW w:w="263" w:type="pct"/>
            <w:vMerge/>
            <w:vAlign w:val="center"/>
          </w:tcPr>
          <w:p w:rsidR="006175A6" w:rsidRDefault="006175A6">
            <w:pPr>
              <w:widowControl/>
              <w:spacing w:line="240" w:lineRule="auto"/>
              <w:ind w:firstLine="420"/>
              <w:jc w:val="center"/>
              <w:rPr>
                <w:rFonts w:eastAsiaTheme="minorEastAsia"/>
                <w:sz w:val="21"/>
              </w:rPr>
            </w:pPr>
          </w:p>
        </w:tc>
        <w:tc>
          <w:tcPr>
            <w:tcW w:w="494" w:type="pct"/>
            <w:vMerge/>
            <w:vAlign w:val="center"/>
          </w:tcPr>
          <w:p w:rsidR="006175A6" w:rsidRDefault="006175A6">
            <w:pPr>
              <w:widowControl/>
              <w:spacing w:line="240" w:lineRule="auto"/>
              <w:ind w:firstLine="420"/>
              <w:jc w:val="center"/>
              <w:rPr>
                <w:rFonts w:eastAsiaTheme="minorEastAsia"/>
                <w:sz w:val="21"/>
              </w:rPr>
            </w:pPr>
          </w:p>
        </w:tc>
        <w:tc>
          <w:tcPr>
            <w:tcW w:w="371" w:type="pct"/>
            <w:vMerge/>
            <w:vAlign w:val="center"/>
          </w:tcPr>
          <w:p w:rsidR="006175A6" w:rsidRDefault="006175A6">
            <w:pPr>
              <w:widowControl/>
              <w:spacing w:line="240" w:lineRule="auto"/>
              <w:ind w:firstLine="420"/>
              <w:jc w:val="center"/>
              <w:rPr>
                <w:rFonts w:eastAsiaTheme="minorEastAsia"/>
                <w:sz w:val="21"/>
              </w:rPr>
            </w:pPr>
          </w:p>
        </w:tc>
        <w:tc>
          <w:tcPr>
            <w:tcW w:w="488" w:type="pct"/>
            <w:vMerge/>
            <w:vAlign w:val="center"/>
          </w:tcPr>
          <w:p w:rsidR="006175A6" w:rsidRDefault="006175A6">
            <w:pPr>
              <w:widowControl/>
              <w:spacing w:line="240" w:lineRule="auto"/>
              <w:ind w:firstLine="420"/>
              <w:jc w:val="center"/>
              <w:rPr>
                <w:rFonts w:eastAsiaTheme="minorEastAsia"/>
                <w:sz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施工期</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试运行期</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扰动土地整治率（</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95</w:t>
            </w:r>
          </w:p>
        </w:tc>
        <w:tc>
          <w:tcPr>
            <w:tcW w:w="263" w:type="pct"/>
            <w:vAlign w:val="center"/>
          </w:tcPr>
          <w:p w:rsidR="006175A6" w:rsidRDefault="006175A6">
            <w:pPr>
              <w:pStyle w:val="TableParagraph"/>
              <w:rPr>
                <w:rFonts w:ascii="Times New Roman" w:eastAsiaTheme="minorEastAsia" w:hAnsi="Times New Roman" w:cs="Times New Roman"/>
                <w:sz w:val="21"/>
                <w:szCs w:val="21"/>
              </w:rPr>
            </w:pPr>
          </w:p>
        </w:tc>
        <w:tc>
          <w:tcPr>
            <w:tcW w:w="494" w:type="pct"/>
            <w:vAlign w:val="center"/>
          </w:tcPr>
          <w:p w:rsidR="006175A6" w:rsidRDefault="006175A6">
            <w:pPr>
              <w:pStyle w:val="TableParagraph"/>
              <w:rPr>
                <w:rFonts w:ascii="Times New Roman" w:eastAsiaTheme="minorEastAsia" w:hAnsi="Times New Roman" w:cs="Times New Roman"/>
                <w:sz w:val="21"/>
                <w:szCs w:val="21"/>
              </w:rPr>
            </w:pPr>
          </w:p>
        </w:tc>
        <w:tc>
          <w:tcPr>
            <w:tcW w:w="371" w:type="pct"/>
            <w:vAlign w:val="center"/>
          </w:tcPr>
          <w:p w:rsidR="006175A6" w:rsidRDefault="006175A6">
            <w:pPr>
              <w:pStyle w:val="TableParagraph"/>
              <w:rPr>
                <w:rFonts w:ascii="Times New Roman" w:eastAsiaTheme="minorEastAsia" w:hAnsi="Times New Roman" w:cs="Times New Roman"/>
                <w:sz w:val="21"/>
                <w:szCs w:val="21"/>
              </w:rPr>
            </w:pP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95</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水土流失总治理度（</w:t>
            </w:r>
            <w:r>
              <w:rPr>
                <w:rFonts w:ascii="Times New Roman" w:eastAsiaTheme="minorEastAsia" w:hAnsi="Times New Roman" w:cs="Times New Roman"/>
                <w:sz w:val="21"/>
                <w:szCs w:val="21"/>
                <w:lang w:eastAsia="zh-CN"/>
              </w:rPr>
              <w:t>%</w:t>
            </w:r>
            <w:r>
              <w:rPr>
                <w:rFonts w:ascii="Times New Roman" w:eastAsiaTheme="minorEastAsia" w:hAnsi="Times New Roman" w:cs="Times New Roman"/>
                <w:sz w:val="21"/>
                <w:szCs w:val="21"/>
                <w:lang w:eastAsia="zh-CN"/>
              </w:rPr>
              <w:t>）</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85</w:t>
            </w:r>
          </w:p>
        </w:tc>
        <w:tc>
          <w:tcPr>
            <w:tcW w:w="26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494" w:type="pct"/>
            <w:vAlign w:val="center"/>
          </w:tcPr>
          <w:p w:rsidR="006175A6" w:rsidRDefault="006175A6">
            <w:pPr>
              <w:pStyle w:val="TableParagraph"/>
              <w:rPr>
                <w:rFonts w:ascii="Times New Roman" w:eastAsiaTheme="minorEastAsia" w:hAnsi="Times New Roman" w:cs="Times New Roman"/>
                <w:sz w:val="21"/>
                <w:szCs w:val="21"/>
              </w:rPr>
            </w:pPr>
          </w:p>
        </w:tc>
        <w:tc>
          <w:tcPr>
            <w:tcW w:w="371" w:type="pct"/>
            <w:vAlign w:val="center"/>
          </w:tcPr>
          <w:p w:rsidR="006175A6" w:rsidRDefault="006175A6">
            <w:pPr>
              <w:pStyle w:val="TableParagraph"/>
              <w:rPr>
                <w:rFonts w:ascii="Times New Roman" w:eastAsiaTheme="minorEastAsia" w:hAnsi="Times New Roman" w:cs="Times New Roman"/>
                <w:sz w:val="21"/>
                <w:szCs w:val="21"/>
              </w:rPr>
            </w:pP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87</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土壤流失控制比</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0.7</w:t>
            </w:r>
          </w:p>
        </w:tc>
        <w:tc>
          <w:tcPr>
            <w:tcW w:w="263" w:type="pct"/>
            <w:vAlign w:val="center"/>
          </w:tcPr>
          <w:p w:rsidR="006175A6" w:rsidRDefault="006175A6">
            <w:pPr>
              <w:pStyle w:val="TableParagraph"/>
              <w:rPr>
                <w:rFonts w:ascii="Times New Roman" w:eastAsiaTheme="minorEastAsia" w:hAnsi="Times New Roman" w:cs="Times New Roman"/>
                <w:sz w:val="21"/>
                <w:szCs w:val="21"/>
              </w:rPr>
            </w:pP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0.2</w:t>
            </w:r>
          </w:p>
        </w:tc>
        <w:tc>
          <w:tcPr>
            <w:tcW w:w="371" w:type="pct"/>
            <w:vAlign w:val="center"/>
          </w:tcPr>
          <w:p w:rsidR="006175A6" w:rsidRDefault="006175A6">
            <w:pPr>
              <w:pStyle w:val="TableParagraph"/>
              <w:rPr>
                <w:rFonts w:ascii="Times New Roman" w:eastAsiaTheme="minorEastAsia" w:hAnsi="Times New Roman" w:cs="Times New Roman"/>
                <w:sz w:val="21"/>
                <w:szCs w:val="21"/>
              </w:rPr>
            </w:pP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0.5</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0.9</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拦渣率（</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90</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95</w:t>
            </w:r>
          </w:p>
        </w:tc>
        <w:tc>
          <w:tcPr>
            <w:tcW w:w="263" w:type="pct"/>
            <w:vAlign w:val="center"/>
          </w:tcPr>
          <w:p w:rsidR="006175A6" w:rsidRDefault="006175A6">
            <w:pPr>
              <w:pStyle w:val="TableParagraph"/>
              <w:rPr>
                <w:rFonts w:ascii="Times New Roman" w:eastAsiaTheme="minorEastAsia" w:hAnsi="Times New Roman" w:cs="Times New Roman"/>
                <w:sz w:val="21"/>
                <w:szCs w:val="21"/>
              </w:rPr>
            </w:pPr>
          </w:p>
        </w:tc>
        <w:tc>
          <w:tcPr>
            <w:tcW w:w="494" w:type="pct"/>
            <w:vAlign w:val="center"/>
          </w:tcPr>
          <w:p w:rsidR="006175A6" w:rsidRDefault="006175A6">
            <w:pPr>
              <w:pStyle w:val="TableParagraph"/>
              <w:rPr>
                <w:rFonts w:ascii="Times New Roman" w:eastAsiaTheme="minorEastAsia" w:hAnsi="Times New Roman" w:cs="Times New Roman"/>
                <w:sz w:val="21"/>
                <w:szCs w:val="21"/>
              </w:rPr>
            </w:pPr>
          </w:p>
        </w:tc>
        <w:tc>
          <w:tcPr>
            <w:tcW w:w="371"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90</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90</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植被植被恢复率（</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95</w:t>
            </w:r>
          </w:p>
        </w:tc>
        <w:tc>
          <w:tcPr>
            <w:tcW w:w="26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494" w:type="pct"/>
            <w:vAlign w:val="center"/>
          </w:tcPr>
          <w:p w:rsidR="006175A6" w:rsidRDefault="006175A6">
            <w:pPr>
              <w:pStyle w:val="TableParagraph"/>
              <w:rPr>
                <w:rFonts w:ascii="Times New Roman" w:eastAsiaTheme="minorEastAsia" w:hAnsi="Times New Roman" w:cs="Times New Roman"/>
                <w:sz w:val="21"/>
                <w:szCs w:val="21"/>
              </w:rPr>
            </w:pPr>
          </w:p>
        </w:tc>
        <w:tc>
          <w:tcPr>
            <w:tcW w:w="371" w:type="pct"/>
            <w:vAlign w:val="center"/>
          </w:tcPr>
          <w:p w:rsidR="006175A6" w:rsidRDefault="006175A6">
            <w:pPr>
              <w:pStyle w:val="TableParagraph"/>
              <w:rPr>
                <w:rFonts w:ascii="Times New Roman" w:eastAsiaTheme="minorEastAsia" w:hAnsi="Times New Roman" w:cs="Times New Roman"/>
                <w:sz w:val="21"/>
                <w:szCs w:val="21"/>
              </w:rPr>
            </w:pP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97</w:t>
            </w:r>
          </w:p>
        </w:tc>
      </w:tr>
      <w:tr w:rsidR="006175A6">
        <w:trPr>
          <w:trHeight w:val="340"/>
          <w:jc w:val="center"/>
        </w:trPr>
        <w:tc>
          <w:tcPr>
            <w:tcW w:w="1416"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林草覆盖率（</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p>
        </w:tc>
        <w:tc>
          <w:tcPr>
            <w:tcW w:w="49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20</w:t>
            </w:r>
          </w:p>
        </w:tc>
        <w:tc>
          <w:tcPr>
            <w:tcW w:w="263"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494" w:type="pct"/>
            <w:vAlign w:val="center"/>
          </w:tcPr>
          <w:p w:rsidR="006175A6" w:rsidRDefault="006175A6">
            <w:pPr>
              <w:pStyle w:val="TableParagraph"/>
              <w:rPr>
                <w:rFonts w:ascii="Times New Roman" w:eastAsiaTheme="minorEastAsia" w:hAnsi="Times New Roman" w:cs="Times New Roman"/>
                <w:sz w:val="21"/>
                <w:szCs w:val="21"/>
              </w:rPr>
            </w:pPr>
          </w:p>
        </w:tc>
        <w:tc>
          <w:tcPr>
            <w:tcW w:w="371" w:type="pct"/>
            <w:vAlign w:val="center"/>
          </w:tcPr>
          <w:p w:rsidR="006175A6" w:rsidRDefault="006175A6">
            <w:pPr>
              <w:pStyle w:val="TableParagraph"/>
              <w:rPr>
                <w:rFonts w:ascii="Times New Roman" w:eastAsiaTheme="minorEastAsia" w:hAnsi="Times New Roman" w:cs="Times New Roman"/>
                <w:sz w:val="21"/>
                <w:szCs w:val="21"/>
              </w:rPr>
            </w:pPr>
          </w:p>
        </w:tc>
        <w:tc>
          <w:tcPr>
            <w:tcW w:w="488" w:type="pct"/>
            <w:vAlign w:val="center"/>
          </w:tcPr>
          <w:p w:rsidR="006175A6" w:rsidRDefault="006175A6">
            <w:pPr>
              <w:pStyle w:val="TableParagraph"/>
              <w:rPr>
                <w:rFonts w:ascii="Times New Roman" w:eastAsiaTheme="minorEastAsia" w:hAnsi="Times New Roman" w:cs="Times New Roman"/>
                <w:sz w:val="21"/>
                <w:szCs w:val="21"/>
              </w:rPr>
            </w:pPr>
          </w:p>
        </w:tc>
        <w:tc>
          <w:tcPr>
            <w:tcW w:w="510"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c>
          <w:tcPr>
            <w:tcW w:w="484" w:type="pct"/>
            <w:vAlign w:val="center"/>
          </w:tcPr>
          <w:p w:rsidR="006175A6" w:rsidRDefault="009B4BA7">
            <w:pPr>
              <w:pStyle w:val="TableParagraph"/>
              <w:rPr>
                <w:rFonts w:ascii="Times New Roman" w:eastAsiaTheme="minorEastAsia" w:hAnsi="Times New Roman" w:cs="Times New Roman"/>
                <w:sz w:val="21"/>
                <w:szCs w:val="21"/>
              </w:rPr>
            </w:pPr>
            <w:r>
              <w:rPr>
                <w:rFonts w:ascii="Times New Roman" w:eastAsiaTheme="minorEastAsia" w:hAnsi="Times New Roman" w:cs="Times New Roman"/>
                <w:sz w:val="21"/>
                <w:szCs w:val="21"/>
              </w:rPr>
              <w:t>22</w:t>
            </w:r>
          </w:p>
        </w:tc>
      </w:tr>
    </w:tbl>
    <w:p w:rsidR="006175A6" w:rsidRDefault="009B4BA7">
      <w:pPr>
        <w:ind w:firstLine="480"/>
      </w:pPr>
      <w:r>
        <w:rPr>
          <w:rFonts w:hint="eastAsia"/>
        </w:rPr>
        <w:t>二、水土流失防治措施总体布局</w:t>
      </w:r>
    </w:p>
    <w:p w:rsidR="006175A6" w:rsidRDefault="009B4BA7">
      <w:pPr>
        <w:ind w:firstLine="480"/>
      </w:pPr>
      <w:r>
        <w:rPr>
          <w:rFonts w:hint="eastAsia"/>
        </w:rPr>
        <w:t>本项目水土流失防治措施体系由大坝防治区、导流洞防治区、输水工程防治区、工程管理防治区、施工场地防治区、交通道路防治区、料场防治区和弃渣场防治区</w:t>
      </w:r>
      <w:r>
        <w:rPr>
          <w:rFonts w:hint="eastAsia"/>
        </w:rPr>
        <w:t xml:space="preserve"> 8 </w:t>
      </w:r>
      <w:r>
        <w:rPr>
          <w:rFonts w:hint="eastAsia"/>
        </w:rPr>
        <w:t>个水土流失防治区构成。根据水土流失预测结果和防治责任范围，确定不同的防治区采用不同的防治措施及布局，从而形成本项目水土流失</w:t>
      </w:r>
      <w:r>
        <w:rPr>
          <w:rFonts w:hint="eastAsia"/>
        </w:rPr>
        <w:t>`</w:t>
      </w:r>
      <w:r>
        <w:rPr>
          <w:rFonts w:hint="eastAsia"/>
        </w:rPr>
        <w:t>防治措施体系和总体布局。施工过程中以临时拦挡和临时苫盖为先导，确保临时弃渣得到最大化的防护，</w:t>
      </w:r>
      <w:r>
        <w:rPr>
          <w:rFonts w:hint="eastAsia"/>
        </w:rPr>
        <w:t xml:space="preserve"> </w:t>
      </w:r>
      <w:r>
        <w:rPr>
          <w:rFonts w:hint="eastAsia"/>
        </w:rPr>
        <w:t>使水土流失得到有效控制，同时重点保护各防治区的表层腐殖土，便于后期植被恢复。以拦挡及截排水工程措施为重点，发挥其速效性和保障作用。扰动后期及时进行适地适生的植物防护，起到长期稳定的水土保持作用，保证大坝的建设和营运的安全。</w:t>
      </w:r>
    </w:p>
    <w:p w:rsidR="006175A6" w:rsidRDefault="009B4BA7">
      <w:pPr>
        <w:ind w:firstLine="480"/>
      </w:pPr>
      <w:r>
        <w:rPr>
          <w:rFonts w:hint="eastAsia"/>
        </w:rPr>
        <w:t>水土流失防治体系见</w:t>
      </w:r>
      <w:r>
        <w:fldChar w:fldCharType="begin"/>
      </w:r>
      <w:r>
        <w:instrText xml:space="preserve"> </w:instrText>
      </w:r>
      <w:r>
        <w:rPr>
          <w:rFonts w:hint="eastAsia"/>
        </w:rPr>
        <w:instrText>REF _Ref78287969 \h</w:instrText>
      </w:r>
      <w:r>
        <w:instrText xml:space="preserve"> </w:instrText>
      </w:r>
      <w:r>
        <w:fldChar w:fldCharType="separate"/>
      </w:r>
      <w:r w:rsidR="00E97427">
        <w:rPr>
          <w:rFonts w:hint="eastAsia"/>
        </w:rPr>
        <w:t>表</w:t>
      </w:r>
      <w:r w:rsidR="00E97427">
        <w:rPr>
          <w:rFonts w:hint="eastAsia"/>
        </w:rPr>
        <w:t xml:space="preserve"> </w:t>
      </w:r>
      <w:r w:rsidR="00E97427">
        <w:rPr>
          <w:noProof/>
        </w:rPr>
        <w:t>6.2</w:t>
      </w:r>
      <w:r w:rsidR="00E97427">
        <w:noBreakHyphen/>
      </w:r>
      <w:r w:rsidR="00E97427">
        <w:rPr>
          <w:noProof/>
        </w:rPr>
        <w:t>3</w:t>
      </w:r>
      <w:r>
        <w:fldChar w:fldCharType="end"/>
      </w:r>
      <w:r>
        <w:rPr>
          <w:rFonts w:hint="eastAsia"/>
        </w:rPr>
        <w:t>。</w:t>
      </w:r>
    </w:p>
    <w:p w:rsidR="006175A6" w:rsidRDefault="009B4BA7">
      <w:pPr>
        <w:pStyle w:val="a3"/>
      </w:pPr>
      <w:bookmarkStart w:id="66" w:name="_Ref78287969"/>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bookmarkEnd w:id="66"/>
      <w:r>
        <w:rPr>
          <w:rFonts w:hint="eastAsia"/>
        </w:rPr>
        <w:t xml:space="preserve">  </w:t>
      </w:r>
      <w:r>
        <w:rPr>
          <w:rFonts w:hint="eastAsia"/>
        </w:rPr>
        <w:t>水土流失防治体系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56"/>
        <w:gridCol w:w="857"/>
        <w:gridCol w:w="1068"/>
        <w:gridCol w:w="1901"/>
        <w:gridCol w:w="3634"/>
      </w:tblGrid>
      <w:tr w:rsidR="006175A6">
        <w:trPr>
          <w:trHeight w:val="340"/>
        </w:trPr>
        <w:tc>
          <w:tcPr>
            <w:tcW w:w="1030" w:type="pct"/>
            <w:gridSpan w:val="2"/>
            <w:vMerge w:val="restart"/>
            <w:vAlign w:val="center"/>
          </w:tcPr>
          <w:p w:rsidR="006175A6" w:rsidRDefault="009B4BA7">
            <w:pPr>
              <w:pStyle w:val="TableParagraph"/>
              <w:ind w:left="477" w:right="457"/>
              <w:rPr>
                <w:sz w:val="21"/>
                <w:szCs w:val="21"/>
              </w:rPr>
            </w:pPr>
            <w:r>
              <w:rPr>
                <w:rFonts w:hint="eastAsia"/>
                <w:sz w:val="21"/>
                <w:szCs w:val="21"/>
              </w:rPr>
              <w:t>分区</w:t>
            </w:r>
          </w:p>
        </w:tc>
        <w:tc>
          <w:tcPr>
            <w:tcW w:w="642" w:type="pct"/>
            <w:vMerge w:val="restart"/>
            <w:vAlign w:val="center"/>
          </w:tcPr>
          <w:p w:rsidR="006175A6" w:rsidRDefault="009B4BA7">
            <w:pPr>
              <w:pStyle w:val="TableParagraph"/>
              <w:ind w:left="117"/>
              <w:rPr>
                <w:sz w:val="21"/>
                <w:szCs w:val="21"/>
              </w:rPr>
            </w:pPr>
            <w:r>
              <w:rPr>
                <w:rFonts w:hint="eastAsia"/>
                <w:sz w:val="21"/>
                <w:szCs w:val="21"/>
              </w:rPr>
              <w:t>措施类型</w:t>
            </w:r>
          </w:p>
        </w:tc>
        <w:tc>
          <w:tcPr>
            <w:tcW w:w="3328" w:type="pct"/>
            <w:gridSpan w:val="2"/>
            <w:vAlign w:val="center"/>
          </w:tcPr>
          <w:p w:rsidR="006175A6" w:rsidRDefault="009B4BA7">
            <w:pPr>
              <w:pStyle w:val="TableParagraph"/>
              <w:spacing w:before="19"/>
              <w:ind w:left="1485"/>
              <w:rPr>
                <w:sz w:val="21"/>
                <w:szCs w:val="21"/>
              </w:rPr>
            </w:pPr>
            <w:r>
              <w:rPr>
                <w:rFonts w:hint="eastAsia"/>
                <w:sz w:val="21"/>
                <w:szCs w:val="21"/>
              </w:rPr>
              <w:t>本方案中水土保持措施布局</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Merge/>
            <w:vAlign w:val="center"/>
          </w:tcPr>
          <w:p w:rsidR="006175A6" w:rsidRDefault="006175A6">
            <w:pPr>
              <w:widowControl/>
              <w:ind w:firstLine="420"/>
              <w:jc w:val="center"/>
              <w:rPr>
                <w:rFonts w:ascii="宋体"/>
                <w:sz w:val="21"/>
              </w:rPr>
            </w:pPr>
          </w:p>
        </w:tc>
        <w:tc>
          <w:tcPr>
            <w:tcW w:w="1143" w:type="pct"/>
            <w:vAlign w:val="center"/>
          </w:tcPr>
          <w:p w:rsidR="006175A6" w:rsidRDefault="009B4BA7">
            <w:pPr>
              <w:pStyle w:val="TableParagraph"/>
              <w:spacing w:before="30"/>
              <w:rPr>
                <w:sz w:val="21"/>
                <w:szCs w:val="21"/>
              </w:rPr>
            </w:pPr>
            <w:r>
              <w:rPr>
                <w:rFonts w:hint="eastAsia"/>
                <w:sz w:val="21"/>
                <w:szCs w:val="21"/>
              </w:rPr>
              <w:t>主体已有措施</w:t>
            </w:r>
          </w:p>
        </w:tc>
        <w:tc>
          <w:tcPr>
            <w:tcW w:w="2185" w:type="pct"/>
            <w:vAlign w:val="center"/>
          </w:tcPr>
          <w:p w:rsidR="006175A6" w:rsidRDefault="009B4BA7">
            <w:pPr>
              <w:pStyle w:val="TableParagraph"/>
              <w:spacing w:before="30"/>
              <w:ind w:left="1062"/>
              <w:jc w:val="both"/>
              <w:rPr>
                <w:sz w:val="21"/>
                <w:szCs w:val="21"/>
              </w:rPr>
            </w:pPr>
            <w:r>
              <w:rPr>
                <w:rFonts w:hint="eastAsia"/>
                <w:sz w:val="21"/>
                <w:szCs w:val="21"/>
              </w:rPr>
              <w:t>方案新增措施</w:t>
            </w:r>
          </w:p>
        </w:tc>
      </w:tr>
      <w:tr w:rsidR="006175A6">
        <w:trPr>
          <w:trHeight w:val="340"/>
        </w:trPr>
        <w:tc>
          <w:tcPr>
            <w:tcW w:w="1030" w:type="pct"/>
            <w:gridSpan w:val="2"/>
            <w:vAlign w:val="center"/>
          </w:tcPr>
          <w:p w:rsidR="006175A6" w:rsidRDefault="009B4BA7">
            <w:pPr>
              <w:pStyle w:val="TableParagraph"/>
              <w:spacing w:before="135"/>
              <w:ind w:left="530"/>
              <w:rPr>
                <w:sz w:val="21"/>
                <w:szCs w:val="21"/>
              </w:rPr>
            </w:pPr>
            <w:r>
              <w:rPr>
                <w:rFonts w:hint="eastAsia"/>
                <w:sz w:val="21"/>
                <w:szCs w:val="21"/>
              </w:rPr>
              <w:t>大坝区</w:t>
            </w:r>
          </w:p>
        </w:tc>
        <w:tc>
          <w:tcPr>
            <w:tcW w:w="642" w:type="pct"/>
            <w:vAlign w:val="center"/>
          </w:tcPr>
          <w:p w:rsidR="006175A6" w:rsidRDefault="009B4BA7">
            <w:pPr>
              <w:pStyle w:val="TableParagraph"/>
              <w:spacing w:before="135"/>
              <w:ind w:left="97" w:right="68"/>
              <w:rPr>
                <w:sz w:val="21"/>
                <w:szCs w:val="21"/>
              </w:rPr>
            </w:pPr>
            <w:r>
              <w:rPr>
                <w:rFonts w:hint="eastAsia"/>
                <w:sz w:val="21"/>
                <w:szCs w:val="21"/>
              </w:rPr>
              <w:t>工程措施</w:t>
            </w:r>
          </w:p>
        </w:tc>
        <w:tc>
          <w:tcPr>
            <w:tcW w:w="1143" w:type="pct"/>
            <w:vAlign w:val="center"/>
          </w:tcPr>
          <w:p w:rsidR="006175A6" w:rsidRDefault="009B4BA7">
            <w:pPr>
              <w:pStyle w:val="TableParagraph"/>
              <w:spacing w:line="269" w:lineRule="exact"/>
              <w:ind w:left="117"/>
              <w:rPr>
                <w:rFonts w:hAnsi="Times New Roman" w:cs="Times New Roman"/>
                <w:sz w:val="21"/>
                <w:szCs w:val="21"/>
                <w:lang w:eastAsia="zh-CN"/>
              </w:rPr>
            </w:pPr>
            <w:r>
              <w:rPr>
                <w:rFonts w:hint="eastAsia"/>
                <w:sz w:val="21"/>
                <w:szCs w:val="21"/>
                <w:lang w:eastAsia="zh-CN"/>
              </w:rPr>
              <w:t>排水沟、挂网喷护、</w:t>
            </w:r>
          </w:p>
          <w:p w:rsidR="006175A6" w:rsidRDefault="009B4BA7">
            <w:pPr>
              <w:pStyle w:val="TableParagraph"/>
              <w:spacing w:before="3" w:line="252" w:lineRule="exact"/>
              <w:ind w:left="117"/>
              <w:rPr>
                <w:sz w:val="21"/>
                <w:szCs w:val="21"/>
                <w:lang w:eastAsia="zh-CN"/>
              </w:rPr>
            </w:pPr>
            <w:r>
              <w:rPr>
                <w:rFonts w:hint="eastAsia"/>
                <w:sz w:val="21"/>
                <w:szCs w:val="21"/>
                <w:lang w:eastAsia="zh-CN"/>
              </w:rPr>
              <w:t>围堰拆除</w:t>
            </w:r>
          </w:p>
        </w:tc>
        <w:tc>
          <w:tcPr>
            <w:tcW w:w="2185" w:type="pct"/>
            <w:vAlign w:val="center"/>
          </w:tcPr>
          <w:p w:rsidR="006175A6" w:rsidRDefault="009B4BA7">
            <w:pPr>
              <w:pStyle w:val="TableParagraph"/>
              <w:spacing w:before="135"/>
              <w:ind w:left="117"/>
              <w:rPr>
                <w:sz w:val="21"/>
                <w:szCs w:val="21"/>
              </w:rPr>
            </w:pPr>
            <w:r>
              <w:rPr>
                <w:rFonts w:hint="eastAsia"/>
                <w:sz w:val="21"/>
                <w:szCs w:val="21"/>
              </w:rPr>
              <w:t>截水沟、沉沙池</w:t>
            </w:r>
          </w:p>
        </w:tc>
      </w:tr>
      <w:tr w:rsidR="006175A6">
        <w:trPr>
          <w:trHeight w:val="340"/>
        </w:trPr>
        <w:tc>
          <w:tcPr>
            <w:tcW w:w="1030" w:type="pct"/>
            <w:gridSpan w:val="2"/>
            <w:vMerge w:val="restart"/>
            <w:vAlign w:val="center"/>
          </w:tcPr>
          <w:p w:rsidR="006175A6" w:rsidRDefault="009B4BA7">
            <w:pPr>
              <w:pStyle w:val="TableParagraph"/>
              <w:spacing w:before="114"/>
              <w:ind w:left="426"/>
              <w:rPr>
                <w:sz w:val="21"/>
                <w:szCs w:val="21"/>
              </w:rPr>
            </w:pPr>
            <w:r>
              <w:rPr>
                <w:rFonts w:hint="eastAsia"/>
                <w:sz w:val="21"/>
                <w:szCs w:val="21"/>
              </w:rPr>
              <w:t>导流洞区</w:t>
            </w:r>
          </w:p>
        </w:tc>
        <w:tc>
          <w:tcPr>
            <w:tcW w:w="642" w:type="pct"/>
            <w:vAlign w:val="center"/>
          </w:tcPr>
          <w:p w:rsidR="006175A6" w:rsidRDefault="009B4BA7">
            <w:pPr>
              <w:pStyle w:val="TableParagraph"/>
              <w:spacing w:before="20"/>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截水沟、挂网喷护</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袋装土拦挡</w:t>
            </w:r>
          </w:p>
        </w:tc>
      </w:tr>
      <w:tr w:rsidR="006175A6">
        <w:trPr>
          <w:trHeight w:val="340"/>
        </w:trPr>
        <w:tc>
          <w:tcPr>
            <w:tcW w:w="1030" w:type="pct"/>
            <w:gridSpan w:val="2"/>
            <w:vMerge w:val="restart"/>
            <w:vAlign w:val="center"/>
          </w:tcPr>
          <w:p w:rsidR="006175A6" w:rsidRDefault="009B4BA7">
            <w:pPr>
              <w:pStyle w:val="TableParagraph"/>
              <w:spacing w:before="1"/>
              <w:ind w:left="320"/>
              <w:rPr>
                <w:sz w:val="21"/>
                <w:szCs w:val="21"/>
              </w:rPr>
            </w:pPr>
            <w:r>
              <w:rPr>
                <w:rFonts w:hint="eastAsia"/>
                <w:sz w:val="21"/>
                <w:szCs w:val="21"/>
              </w:rPr>
              <w:t>输水工程区</w:t>
            </w:r>
          </w:p>
        </w:tc>
        <w:tc>
          <w:tcPr>
            <w:tcW w:w="642" w:type="pct"/>
            <w:vAlign w:val="center"/>
          </w:tcPr>
          <w:p w:rsidR="006175A6" w:rsidRDefault="009B4BA7">
            <w:pPr>
              <w:pStyle w:val="TableParagraph"/>
              <w:spacing w:before="20"/>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截水沟、沉沙池、挂网喷护</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种草</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袋装土拦挡、防雨布苫盖</w:t>
            </w:r>
          </w:p>
        </w:tc>
      </w:tr>
      <w:tr w:rsidR="006175A6">
        <w:trPr>
          <w:trHeight w:val="340"/>
        </w:trPr>
        <w:tc>
          <w:tcPr>
            <w:tcW w:w="1030" w:type="pct"/>
            <w:gridSpan w:val="2"/>
            <w:vMerge w:val="restart"/>
            <w:vAlign w:val="center"/>
          </w:tcPr>
          <w:p w:rsidR="006175A6" w:rsidRDefault="009B4BA7">
            <w:pPr>
              <w:pStyle w:val="TableParagraph"/>
              <w:spacing w:before="1"/>
              <w:ind w:left="320"/>
              <w:rPr>
                <w:sz w:val="21"/>
                <w:szCs w:val="21"/>
              </w:rPr>
            </w:pPr>
            <w:r>
              <w:rPr>
                <w:rFonts w:hint="eastAsia"/>
                <w:sz w:val="21"/>
                <w:szCs w:val="21"/>
              </w:rPr>
              <w:t>工程管理区</w:t>
            </w:r>
          </w:p>
        </w:tc>
        <w:tc>
          <w:tcPr>
            <w:tcW w:w="642" w:type="pct"/>
            <w:vAlign w:val="center"/>
          </w:tcPr>
          <w:p w:rsidR="006175A6" w:rsidRDefault="009B4BA7">
            <w:pPr>
              <w:pStyle w:val="TableParagraph"/>
              <w:spacing w:before="136"/>
              <w:ind w:left="97" w:right="68"/>
              <w:rPr>
                <w:sz w:val="21"/>
                <w:szCs w:val="21"/>
              </w:rPr>
            </w:pPr>
            <w:r>
              <w:rPr>
                <w:rFonts w:hint="eastAsia"/>
                <w:sz w:val="21"/>
                <w:szCs w:val="21"/>
              </w:rPr>
              <w:t>工程措施</w:t>
            </w:r>
          </w:p>
        </w:tc>
        <w:tc>
          <w:tcPr>
            <w:tcW w:w="1143" w:type="pct"/>
            <w:vAlign w:val="center"/>
          </w:tcPr>
          <w:p w:rsidR="006175A6" w:rsidRDefault="009B4BA7">
            <w:pPr>
              <w:pStyle w:val="TableParagraph"/>
              <w:spacing w:before="136"/>
              <w:ind w:left="117"/>
              <w:rPr>
                <w:sz w:val="21"/>
                <w:szCs w:val="21"/>
              </w:rPr>
            </w:pPr>
            <w:r>
              <w:rPr>
                <w:rFonts w:hint="eastAsia"/>
                <w:sz w:val="21"/>
                <w:szCs w:val="21"/>
              </w:rPr>
              <w:t>挡墙</w:t>
            </w:r>
          </w:p>
        </w:tc>
        <w:tc>
          <w:tcPr>
            <w:tcW w:w="2185" w:type="pct"/>
            <w:vAlign w:val="center"/>
          </w:tcPr>
          <w:p w:rsidR="006175A6" w:rsidRDefault="009B4BA7">
            <w:pPr>
              <w:pStyle w:val="TableParagraph"/>
              <w:spacing w:before="1"/>
              <w:ind w:left="117"/>
              <w:rPr>
                <w:rFonts w:hAnsi="Times New Roman" w:cs="Times New Roman"/>
                <w:sz w:val="21"/>
                <w:szCs w:val="21"/>
                <w:lang w:eastAsia="zh-CN"/>
              </w:rPr>
            </w:pPr>
            <w:r>
              <w:rPr>
                <w:rFonts w:hint="eastAsia"/>
                <w:sz w:val="21"/>
                <w:szCs w:val="21"/>
                <w:lang w:eastAsia="zh-CN"/>
              </w:rPr>
              <w:t>表土剥离及返回、土地平整、排水沟、沉沙池、</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植树、种草</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袋装土拦挡、防雨布苫盖</w:t>
            </w:r>
          </w:p>
        </w:tc>
      </w:tr>
      <w:tr w:rsidR="006175A6">
        <w:trPr>
          <w:trHeight w:val="340"/>
        </w:trPr>
        <w:tc>
          <w:tcPr>
            <w:tcW w:w="1030" w:type="pct"/>
            <w:gridSpan w:val="2"/>
            <w:vMerge w:val="restart"/>
            <w:vAlign w:val="center"/>
          </w:tcPr>
          <w:p w:rsidR="006175A6" w:rsidRDefault="009B4BA7">
            <w:pPr>
              <w:pStyle w:val="TableParagraph"/>
              <w:spacing w:before="1"/>
              <w:ind w:left="320"/>
              <w:rPr>
                <w:sz w:val="21"/>
                <w:szCs w:val="21"/>
              </w:rPr>
            </w:pPr>
            <w:r>
              <w:rPr>
                <w:rFonts w:hint="eastAsia"/>
                <w:sz w:val="21"/>
                <w:szCs w:val="21"/>
              </w:rPr>
              <w:t>施工场地区</w:t>
            </w:r>
          </w:p>
        </w:tc>
        <w:tc>
          <w:tcPr>
            <w:tcW w:w="642" w:type="pct"/>
            <w:vAlign w:val="center"/>
          </w:tcPr>
          <w:p w:rsidR="006175A6" w:rsidRDefault="009B4BA7">
            <w:pPr>
              <w:pStyle w:val="TableParagraph"/>
              <w:spacing w:before="136"/>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1"/>
              <w:ind w:left="117"/>
              <w:rPr>
                <w:rFonts w:hAnsi="Times New Roman" w:cs="Times New Roman"/>
                <w:sz w:val="21"/>
                <w:szCs w:val="21"/>
                <w:lang w:eastAsia="zh-CN"/>
              </w:rPr>
            </w:pPr>
            <w:r>
              <w:rPr>
                <w:rFonts w:hint="eastAsia"/>
                <w:sz w:val="21"/>
                <w:szCs w:val="21"/>
                <w:lang w:eastAsia="zh-CN"/>
              </w:rPr>
              <w:t>表土剥离及返回、硬化层疏松、土地平整、排水沟、沉沙池</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植树、种草</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袋装土拦挡、防雨布苫盖</w:t>
            </w:r>
          </w:p>
        </w:tc>
      </w:tr>
      <w:tr w:rsidR="006175A6">
        <w:trPr>
          <w:trHeight w:val="340"/>
        </w:trPr>
        <w:tc>
          <w:tcPr>
            <w:tcW w:w="515" w:type="pct"/>
            <w:vMerge w:val="restart"/>
            <w:vAlign w:val="center"/>
          </w:tcPr>
          <w:p w:rsidR="006175A6" w:rsidRDefault="009B4BA7">
            <w:pPr>
              <w:pStyle w:val="TableParagraph"/>
              <w:ind w:left="108" w:right="86" w:firstLine="104"/>
              <w:rPr>
                <w:sz w:val="21"/>
                <w:szCs w:val="21"/>
              </w:rPr>
            </w:pPr>
            <w:r>
              <w:rPr>
                <w:rFonts w:hint="eastAsia"/>
                <w:sz w:val="21"/>
                <w:szCs w:val="21"/>
              </w:rPr>
              <w:t>交通道路区</w:t>
            </w:r>
          </w:p>
        </w:tc>
        <w:tc>
          <w:tcPr>
            <w:tcW w:w="515" w:type="pct"/>
            <w:vMerge w:val="restart"/>
            <w:vAlign w:val="center"/>
          </w:tcPr>
          <w:p w:rsidR="006175A6" w:rsidRDefault="009B4BA7">
            <w:pPr>
              <w:pStyle w:val="TableParagraph"/>
              <w:ind w:left="222" w:right="191"/>
              <w:rPr>
                <w:sz w:val="21"/>
                <w:szCs w:val="21"/>
              </w:rPr>
            </w:pPr>
            <w:r>
              <w:rPr>
                <w:rFonts w:hint="eastAsia"/>
                <w:sz w:val="21"/>
                <w:szCs w:val="21"/>
              </w:rPr>
              <w:t>永久道路</w:t>
            </w:r>
          </w:p>
        </w:tc>
        <w:tc>
          <w:tcPr>
            <w:tcW w:w="642" w:type="pct"/>
            <w:vAlign w:val="center"/>
          </w:tcPr>
          <w:p w:rsidR="006175A6" w:rsidRDefault="009B4BA7">
            <w:pPr>
              <w:pStyle w:val="TableParagraph"/>
              <w:spacing w:before="20"/>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镇脚、排水沟、沉沙池</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植树、种草</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袋装土拦挡、防雨布苫盖</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restart"/>
            <w:vAlign w:val="center"/>
          </w:tcPr>
          <w:p w:rsidR="006175A6" w:rsidRDefault="006175A6">
            <w:pPr>
              <w:pStyle w:val="TableParagraph"/>
              <w:spacing w:before="7"/>
              <w:rPr>
                <w:rFonts w:ascii="黑体" w:eastAsia="Times New Roman" w:hAnsi="Times New Roman" w:cs="Times New Roman"/>
                <w:sz w:val="14"/>
                <w:szCs w:val="14"/>
                <w:lang w:eastAsia="zh-CN"/>
              </w:rPr>
            </w:pPr>
          </w:p>
          <w:p w:rsidR="006175A6" w:rsidRDefault="009B4BA7">
            <w:pPr>
              <w:pStyle w:val="TableParagraph"/>
              <w:ind w:left="221" w:right="193"/>
              <w:rPr>
                <w:sz w:val="21"/>
                <w:szCs w:val="21"/>
              </w:rPr>
            </w:pPr>
            <w:r>
              <w:rPr>
                <w:rFonts w:hint="eastAsia"/>
                <w:sz w:val="21"/>
                <w:szCs w:val="21"/>
              </w:rPr>
              <w:t>施工临时道路</w:t>
            </w:r>
          </w:p>
        </w:tc>
        <w:tc>
          <w:tcPr>
            <w:tcW w:w="642" w:type="pct"/>
            <w:vAlign w:val="center"/>
          </w:tcPr>
          <w:p w:rsidR="006175A6" w:rsidRDefault="009B4BA7">
            <w:pPr>
              <w:pStyle w:val="TableParagraph"/>
              <w:spacing w:before="20"/>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表土剥离及返回、硬化层疏松</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植树、种草</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136"/>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ind w:left="117"/>
              <w:rPr>
                <w:rFonts w:hAnsi="Times New Roman" w:cs="Times New Roman"/>
                <w:sz w:val="21"/>
                <w:szCs w:val="21"/>
                <w:lang w:eastAsia="zh-CN"/>
              </w:rPr>
            </w:pPr>
            <w:r>
              <w:rPr>
                <w:rFonts w:hint="eastAsia"/>
                <w:sz w:val="21"/>
                <w:szCs w:val="21"/>
                <w:lang w:eastAsia="zh-CN"/>
              </w:rPr>
              <w:t>排水沟、沉沙池、袋装土拦挡、防雨布苫盖</w:t>
            </w:r>
          </w:p>
        </w:tc>
      </w:tr>
      <w:tr w:rsidR="006175A6">
        <w:trPr>
          <w:trHeight w:val="340"/>
        </w:trPr>
        <w:tc>
          <w:tcPr>
            <w:tcW w:w="515" w:type="pct"/>
            <w:vMerge w:val="restart"/>
            <w:vAlign w:val="center"/>
          </w:tcPr>
          <w:p w:rsidR="006175A6" w:rsidRDefault="009B4BA7">
            <w:pPr>
              <w:pStyle w:val="TableParagraph"/>
              <w:ind w:left="108"/>
              <w:rPr>
                <w:sz w:val="21"/>
                <w:szCs w:val="21"/>
              </w:rPr>
            </w:pPr>
            <w:r>
              <w:rPr>
                <w:rFonts w:hint="eastAsia"/>
                <w:sz w:val="21"/>
                <w:szCs w:val="21"/>
              </w:rPr>
              <w:t>料场区</w:t>
            </w:r>
          </w:p>
        </w:tc>
        <w:tc>
          <w:tcPr>
            <w:tcW w:w="515" w:type="pct"/>
            <w:vMerge w:val="restart"/>
            <w:vAlign w:val="center"/>
          </w:tcPr>
          <w:p w:rsidR="006175A6" w:rsidRDefault="009B4BA7">
            <w:pPr>
              <w:pStyle w:val="TableParagraph"/>
              <w:ind w:left="117"/>
              <w:rPr>
                <w:sz w:val="21"/>
                <w:szCs w:val="21"/>
              </w:rPr>
            </w:pPr>
            <w:r>
              <w:rPr>
                <w:rFonts w:hint="eastAsia"/>
                <w:sz w:val="21"/>
                <w:szCs w:val="21"/>
              </w:rPr>
              <w:t>石料场</w:t>
            </w:r>
          </w:p>
        </w:tc>
        <w:tc>
          <w:tcPr>
            <w:tcW w:w="642" w:type="pct"/>
            <w:vAlign w:val="center"/>
          </w:tcPr>
          <w:p w:rsidR="006175A6" w:rsidRDefault="009B4BA7">
            <w:pPr>
              <w:pStyle w:val="TableParagraph"/>
              <w:spacing w:before="136"/>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1"/>
              <w:ind w:left="117"/>
              <w:rPr>
                <w:sz w:val="21"/>
                <w:szCs w:val="21"/>
                <w:lang w:eastAsia="zh-CN"/>
              </w:rPr>
            </w:pPr>
            <w:r>
              <w:rPr>
                <w:rFonts w:hint="eastAsia"/>
                <w:sz w:val="21"/>
                <w:szCs w:val="21"/>
                <w:lang w:eastAsia="zh-CN"/>
              </w:rPr>
              <w:t>生态混凝土挂网喷护、拦挡、排水沟、沉沙池</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种草</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restart"/>
            <w:vAlign w:val="center"/>
          </w:tcPr>
          <w:p w:rsidR="006175A6" w:rsidRDefault="009B4BA7">
            <w:pPr>
              <w:pStyle w:val="TableParagraph"/>
              <w:ind w:left="117"/>
              <w:rPr>
                <w:sz w:val="21"/>
                <w:szCs w:val="21"/>
              </w:rPr>
            </w:pPr>
            <w:r>
              <w:rPr>
                <w:rFonts w:hint="eastAsia"/>
                <w:sz w:val="21"/>
                <w:szCs w:val="21"/>
              </w:rPr>
              <w:t>土料场</w:t>
            </w:r>
          </w:p>
        </w:tc>
        <w:tc>
          <w:tcPr>
            <w:tcW w:w="642" w:type="pct"/>
            <w:vAlign w:val="center"/>
          </w:tcPr>
          <w:p w:rsidR="006175A6" w:rsidRDefault="009B4BA7">
            <w:pPr>
              <w:pStyle w:val="TableParagraph"/>
              <w:spacing w:before="20"/>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表土剥离及返回、排水沟、沉沙池</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rPr>
            </w:pPr>
            <w:r>
              <w:rPr>
                <w:rFonts w:hint="eastAsia"/>
                <w:sz w:val="21"/>
                <w:szCs w:val="21"/>
              </w:rPr>
              <w:t>植树、种草</w:t>
            </w:r>
          </w:p>
        </w:tc>
      </w:tr>
      <w:tr w:rsidR="006175A6">
        <w:trPr>
          <w:trHeight w:val="340"/>
        </w:trPr>
        <w:tc>
          <w:tcPr>
            <w:tcW w:w="515" w:type="pct"/>
            <w:vMerge/>
            <w:vAlign w:val="center"/>
          </w:tcPr>
          <w:p w:rsidR="006175A6" w:rsidRDefault="006175A6">
            <w:pPr>
              <w:widowControl/>
              <w:ind w:firstLine="420"/>
              <w:jc w:val="center"/>
              <w:rPr>
                <w:rFonts w:ascii="宋体"/>
                <w:sz w:val="21"/>
              </w:rPr>
            </w:pPr>
          </w:p>
        </w:tc>
        <w:tc>
          <w:tcPr>
            <w:tcW w:w="515" w:type="pct"/>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2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20"/>
              <w:ind w:left="117"/>
              <w:rPr>
                <w:sz w:val="21"/>
                <w:szCs w:val="21"/>
                <w:lang w:eastAsia="zh-CN"/>
              </w:rPr>
            </w:pPr>
            <w:r>
              <w:rPr>
                <w:rFonts w:hint="eastAsia"/>
                <w:sz w:val="21"/>
                <w:szCs w:val="21"/>
                <w:lang w:eastAsia="zh-CN"/>
              </w:rPr>
              <w:t>袋装土拦挡、防雨布苫盖</w:t>
            </w:r>
          </w:p>
        </w:tc>
      </w:tr>
      <w:tr w:rsidR="006175A6">
        <w:trPr>
          <w:trHeight w:val="340"/>
        </w:trPr>
        <w:tc>
          <w:tcPr>
            <w:tcW w:w="1030" w:type="pct"/>
            <w:gridSpan w:val="2"/>
            <w:vMerge w:val="restart"/>
            <w:vAlign w:val="center"/>
          </w:tcPr>
          <w:p w:rsidR="006175A6" w:rsidRDefault="009B4BA7">
            <w:pPr>
              <w:pStyle w:val="TableParagraph"/>
              <w:ind w:left="426"/>
              <w:rPr>
                <w:sz w:val="21"/>
                <w:szCs w:val="21"/>
              </w:rPr>
            </w:pPr>
            <w:r>
              <w:rPr>
                <w:rFonts w:hint="eastAsia"/>
                <w:sz w:val="21"/>
                <w:szCs w:val="21"/>
              </w:rPr>
              <w:t>弃渣场区</w:t>
            </w:r>
          </w:p>
        </w:tc>
        <w:tc>
          <w:tcPr>
            <w:tcW w:w="642" w:type="pct"/>
            <w:vAlign w:val="center"/>
          </w:tcPr>
          <w:p w:rsidR="006175A6" w:rsidRDefault="009B4BA7">
            <w:pPr>
              <w:pStyle w:val="TableParagraph"/>
              <w:spacing w:before="136"/>
              <w:ind w:left="97" w:right="68"/>
              <w:rPr>
                <w:sz w:val="21"/>
                <w:szCs w:val="21"/>
              </w:rPr>
            </w:pPr>
            <w:r>
              <w:rPr>
                <w:rFonts w:hint="eastAsia"/>
                <w:sz w:val="21"/>
                <w:szCs w:val="21"/>
              </w:rPr>
              <w:t>工程措施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line="269" w:lineRule="exact"/>
              <w:ind w:left="117"/>
              <w:rPr>
                <w:rFonts w:hAnsi="Times New Roman" w:cs="Times New Roman"/>
                <w:sz w:val="21"/>
                <w:szCs w:val="21"/>
                <w:lang w:eastAsia="zh-CN"/>
              </w:rPr>
            </w:pPr>
            <w:r>
              <w:rPr>
                <w:rFonts w:hint="eastAsia"/>
                <w:sz w:val="21"/>
                <w:szCs w:val="21"/>
                <w:lang w:eastAsia="zh-CN"/>
              </w:rPr>
              <w:t>表土剥离及返还、拦挡、排水沟、</w:t>
            </w:r>
          </w:p>
          <w:p w:rsidR="006175A6" w:rsidRDefault="009B4BA7">
            <w:pPr>
              <w:pStyle w:val="TableParagraph"/>
              <w:spacing w:before="3" w:line="242" w:lineRule="exact"/>
              <w:ind w:left="117"/>
              <w:rPr>
                <w:sz w:val="21"/>
                <w:szCs w:val="21"/>
              </w:rPr>
            </w:pPr>
            <w:r>
              <w:rPr>
                <w:rFonts w:hint="eastAsia"/>
                <w:sz w:val="21"/>
                <w:szCs w:val="21"/>
              </w:rPr>
              <w:t>沉沙池</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10" w:line="261" w:lineRule="exact"/>
              <w:ind w:left="97" w:right="68"/>
              <w:rPr>
                <w:sz w:val="21"/>
                <w:szCs w:val="21"/>
              </w:rPr>
            </w:pPr>
            <w:r>
              <w:rPr>
                <w:rFonts w:hint="eastAsia"/>
                <w:sz w:val="21"/>
                <w:szCs w:val="21"/>
              </w:rPr>
              <w:t>植物措施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10" w:line="261" w:lineRule="exact"/>
              <w:ind w:left="117"/>
              <w:rPr>
                <w:sz w:val="21"/>
                <w:szCs w:val="21"/>
              </w:rPr>
            </w:pPr>
            <w:r>
              <w:rPr>
                <w:rFonts w:hint="eastAsia"/>
                <w:sz w:val="21"/>
                <w:szCs w:val="21"/>
              </w:rPr>
              <w:t>植树、种草</w:t>
            </w:r>
          </w:p>
        </w:tc>
      </w:tr>
      <w:tr w:rsidR="006175A6">
        <w:trPr>
          <w:trHeight w:val="340"/>
        </w:trPr>
        <w:tc>
          <w:tcPr>
            <w:tcW w:w="1030" w:type="pct"/>
            <w:gridSpan w:val="2"/>
            <w:vMerge/>
            <w:vAlign w:val="center"/>
          </w:tcPr>
          <w:p w:rsidR="006175A6" w:rsidRDefault="006175A6">
            <w:pPr>
              <w:widowControl/>
              <w:ind w:firstLine="420"/>
              <w:jc w:val="center"/>
              <w:rPr>
                <w:rFonts w:ascii="宋体"/>
                <w:sz w:val="21"/>
              </w:rPr>
            </w:pPr>
          </w:p>
        </w:tc>
        <w:tc>
          <w:tcPr>
            <w:tcW w:w="642" w:type="pct"/>
            <w:vAlign w:val="center"/>
          </w:tcPr>
          <w:p w:rsidR="006175A6" w:rsidRDefault="009B4BA7">
            <w:pPr>
              <w:pStyle w:val="TableParagraph"/>
              <w:spacing w:before="10"/>
              <w:ind w:left="97" w:right="68"/>
              <w:rPr>
                <w:sz w:val="21"/>
                <w:szCs w:val="21"/>
              </w:rPr>
            </w:pPr>
            <w:r>
              <w:rPr>
                <w:rFonts w:hint="eastAsia"/>
                <w:sz w:val="21"/>
                <w:szCs w:val="21"/>
              </w:rPr>
              <w:t>临时措施</w:t>
            </w:r>
          </w:p>
        </w:tc>
        <w:tc>
          <w:tcPr>
            <w:tcW w:w="1143" w:type="pct"/>
            <w:vAlign w:val="center"/>
          </w:tcPr>
          <w:p w:rsidR="006175A6" w:rsidRDefault="006175A6">
            <w:pPr>
              <w:pStyle w:val="TableParagraph"/>
              <w:rPr>
                <w:sz w:val="20"/>
                <w:szCs w:val="20"/>
              </w:rPr>
            </w:pPr>
          </w:p>
        </w:tc>
        <w:tc>
          <w:tcPr>
            <w:tcW w:w="2185" w:type="pct"/>
            <w:vAlign w:val="center"/>
          </w:tcPr>
          <w:p w:rsidR="006175A6" w:rsidRDefault="009B4BA7">
            <w:pPr>
              <w:pStyle w:val="TableParagraph"/>
              <w:spacing w:before="10"/>
              <w:ind w:left="117"/>
              <w:rPr>
                <w:sz w:val="21"/>
                <w:szCs w:val="21"/>
                <w:lang w:eastAsia="zh-CN"/>
              </w:rPr>
            </w:pPr>
            <w:r>
              <w:rPr>
                <w:rFonts w:hint="eastAsia"/>
                <w:sz w:val="21"/>
                <w:szCs w:val="21"/>
                <w:lang w:eastAsia="zh-CN"/>
              </w:rPr>
              <w:t>袋装土拦挡、防雨布苫盖</w:t>
            </w:r>
          </w:p>
        </w:tc>
      </w:tr>
    </w:tbl>
    <w:p w:rsidR="006175A6" w:rsidRDefault="009B4BA7">
      <w:pPr>
        <w:pStyle w:val="3"/>
      </w:pPr>
      <w:r>
        <w:rPr>
          <w:rFonts w:hint="eastAsia"/>
        </w:rPr>
        <w:t>水土流失预测</w:t>
      </w:r>
    </w:p>
    <w:p w:rsidR="006175A6" w:rsidRDefault="009B4BA7">
      <w:pPr>
        <w:ind w:firstLine="480"/>
      </w:pPr>
      <w:r>
        <w:rPr>
          <w:rFonts w:hint="eastAsia"/>
        </w:rPr>
        <w:t>本项目的预测范围即工程扰动地表的范围，包括大坝区、导流洞区、输水工程区、工程管理区、施工场地区、交通道路区、料场区、弃渣场区和水库淹没区。</w:t>
      </w:r>
    </w:p>
    <w:p w:rsidR="006175A6" w:rsidRDefault="009B4BA7">
      <w:pPr>
        <w:ind w:firstLine="480"/>
      </w:pPr>
      <w:r>
        <w:rPr>
          <w:rFonts w:hint="eastAsia"/>
        </w:rPr>
        <w:t>根据《湖北省兴山县两河口水库工程初步设计报告》中水土保持章节，本项目水土保持预测结论如下：</w:t>
      </w:r>
    </w:p>
    <w:p w:rsidR="006175A6" w:rsidRDefault="009B4BA7">
      <w:pPr>
        <w:ind w:firstLine="480"/>
      </w:pPr>
      <w:r>
        <w:rPr>
          <w:rFonts w:hint="eastAsia"/>
        </w:rPr>
        <w:t>（</w:t>
      </w:r>
      <w:r>
        <w:rPr>
          <w:rFonts w:hint="eastAsia"/>
        </w:rPr>
        <w:t>1</w:t>
      </w:r>
      <w:r>
        <w:rPr>
          <w:rFonts w:hint="eastAsia"/>
        </w:rPr>
        <w:t>）施工期水土流失量</w:t>
      </w:r>
    </w:p>
    <w:p w:rsidR="006175A6" w:rsidRDefault="009B4BA7">
      <w:pPr>
        <w:ind w:firstLine="480"/>
      </w:pPr>
      <w:r>
        <w:rPr>
          <w:rFonts w:hint="eastAsia"/>
        </w:rPr>
        <w:t>本项目施工期水土流失面积为</w:t>
      </w:r>
      <w:r>
        <w:rPr>
          <w:rFonts w:hint="eastAsia"/>
        </w:rPr>
        <w:t>29.05hm</w:t>
      </w:r>
      <w:r>
        <w:rPr>
          <w:rFonts w:hint="eastAsia"/>
        </w:rPr>
        <w:t>²，可能产生的水土流失量为</w:t>
      </w:r>
      <w:r>
        <w:rPr>
          <w:rFonts w:hint="eastAsia"/>
        </w:rPr>
        <w:t xml:space="preserve"> 10799.40t</w:t>
      </w:r>
      <w:r>
        <w:rPr>
          <w:rFonts w:hint="eastAsia"/>
        </w:rPr>
        <w:t>，</w:t>
      </w:r>
      <w:r>
        <w:rPr>
          <w:rFonts w:hint="eastAsia"/>
        </w:rPr>
        <w:t xml:space="preserve"> </w:t>
      </w:r>
      <w:r>
        <w:rPr>
          <w:rFonts w:hint="eastAsia"/>
        </w:rPr>
        <w:t>新增水土流失量为</w:t>
      </w:r>
      <w:r>
        <w:rPr>
          <w:rFonts w:hint="eastAsia"/>
        </w:rPr>
        <w:t xml:space="preserve"> 9662.58t</w:t>
      </w:r>
      <w:r>
        <w:rPr>
          <w:rFonts w:hint="eastAsia"/>
        </w:rPr>
        <w:t>。</w:t>
      </w:r>
    </w:p>
    <w:p w:rsidR="006175A6" w:rsidRDefault="009B4BA7">
      <w:pPr>
        <w:ind w:firstLine="480"/>
      </w:pPr>
      <w:r>
        <w:rPr>
          <w:rFonts w:hint="eastAsia"/>
        </w:rPr>
        <w:t>（</w:t>
      </w:r>
      <w:r>
        <w:rPr>
          <w:rFonts w:hint="eastAsia"/>
        </w:rPr>
        <w:t>2</w:t>
      </w:r>
      <w:r>
        <w:rPr>
          <w:rFonts w:hint="eastAsia"/>
        </w:rPr>
        <w:t>）自然恢复期水土流失量</w:t>
      </w:r>
    </w:p>
    <w:p w:rsidR="006175A6" w:rsidRDefault="009B4BA7">
      <w:pPr>
        <w:ind w:firstLine="480"/>
      </w:pPr>
      <w:r>
        <w:rPr>
          <w:rFonts w:hint="eastAsia"/>
        </w:rPr>
        <w:t>本项目自然恢复期水土流失面积为</w:t>
      </w:r>
      <w:r>
        <w:rPr>
          <w:rFonts w:hint="eastAsia"/>
        </w:rPr>
        <w:t xml:space="preserve"> 24.98hm</w:t>
      </w:r>
      <w:r>
        <w:rPr>
          <w:rFonts w:hint="eastAsia"/>
        </w:rPr>
        <w:t>²，可能产生的水土流失量为</w:t>
      </w:r>
      <w:r>
        <w:rPr>
          <w:rFonts w:hint="eastAsia"/>
        </w:rPr>
        <w:t xml:space="preserve"> 538.01t</w:t>
      </w:r>
      <w:r>
        <w:rPr>
          <w:rFonts w:hint="eastAsia"/>
        </w:rPr>
        <w:t>，新增水土流失量为</w:t>
      </w:r>
      <w:r>
        <w:rPr>
          <w:rFonts w:hint="eastAsia"/>
        </w:rPr>
        <w:t xml:space="preserve"> 282.59t</w:t>
      </w:r>
      <w:r>
        <w:rPr>
          <w:rFonts w:hint="eastAsia"/>
        </w:rPr>
        <w:t>。</w:t>
      </w:r>
    </w:p>
    <w:p w:rsidR="006175A6" w:rsidRDefault="009B4BA7">
      <w:pPr>
        <w:ind w:firstLine="480"/>
      </w:pPr>
      <w:r>
        <w:rPr>
          <w:rFonts w:hint="eastAsia"/>
        </w:rPr>
        <w:t>（</w:t>
      </w:r>
      <w:r>
        <w:rPr>
          <w:rFonts w:hint="eastAsia"/>
        </w:rPr>
        <w:t>3</w:t>
      </w:r>
      <w:r>
        <w:rPr>
          <w:rFonts w:hint="eastAsia"/>
        </w:rPr>
        <w:t>）水土流失总量</w:t>
      </w:r>
    </w:p>
    <w:p w:rsidR="006175A6" w:rsidRDefault="009B4BA7">
      <w:pPr>
        <w:ind w:firstLine="480"/>
      </w:pPr>
      <w:r>
        <w:rPr>
          <w:rFonts w:hint="eastAsia"/>
        </w:rPr>
        <w:t>经预测计算，预测时段内水土流失总量为</w:t>
      </w:r>
      <w:r>
        <w:rPr>
          <w:rFonts w:hint="eastAsia"/>
        </w:rPr>
        <w:t xml:space="preserve"> 11337.41t</w:t>
      </w:r>
      <w:r>
        <w:rPr>
          <w:rFonts w:hint="eastAsia"/>
        </w:rPr>
        <w:t>，新增水土流失总量为</w:t>
      </w:r>
      <w:r>
        <w:rPr>
          <w:rFonts w:hint="eastAsia"/>
        </w:rPr>
        <w:t>9945.17t</w:t>
      </w:r>
      <w:r>
        <w:rPr>
          <w:rFonts w:hint="eastAsia"/>
        </w:rPr>
        <w:t>。</w:t>
      </w:r>
    </w:p>
    <w:p w:rsidR="006175A6" w:rsidRDefault="009B4BA7">
      <w:pPr>
        <w:pStyle w:val="2"/>
      </w:pPr>
      <w:bookmarkStart w:id="67" w:name="_Toc80170113"/>
      <w:r>
        <w:rPr>
          <w:rFonts w:hint="eastAsia"/>
        </w:rPr>
        <w:lastRenderedPageBreak/>
        <w:t>环境空气影响分析</w:t>
      </w:r>
      <w:bookmarkEnd w:id="67"/>
    </w:p>
    <w:p w:rsidR="006175A6" w:rsidRDefault="009B4BA7">
      <w:pPr>
        <w:pStyle w:val="3"/>
      </w:pPr>
      <w:r>
        <w:rPr>
          <w:rFonts w:hint="eastAsia"/>
        </w:rPr>
        <w:t>施工期环境空气环境影响分析</w:t>
      </w:r>
    </w:p>
    <w:p w:rsidR="006175A6" w:rsidRDefault="009B4BA7">
      <w:pPr>
        <w:ind w:firstLine="480"/>
      </w:pPr>
      <w:r>
        <w:rPr>
          <w:rFonts w:hint="eastAsia"/>
        </w:rPr>
        <w:t>评价区域无工业企业，目前环境空气质量良好。</w:t>
      </w:r>
    </w:p>
    <w:p w:rsidR="006175A6" w:rsidRDefault="009B4BA7">
      <w:pPr>
        <w:ind w:firstLine="480"/>
      </w:pPr>
      <w:r>
        <w:rPr>
          <w:rFonts w:hint="eastAsia"/>
        </w:rPr>
        <w:t>施工期间的主体工程基础开挖、土石方回填、骨料加工筛分、仓库装卸等施工过程产生的粉尘和扬尘；施工机械运行、场内及对外交通运输过程产生的扬尘和汽车尾气；挖掘机械生产和火药爆炸时产生的废气以及生活区内生活燃煤产生的废气等，都将对周边环境空气造成影响，废气中的主要污染物有</w:t>
      </w:r>
      <w:r>
        <w:rPr>
          <w:rFonts w:hint="eastAsia"/>
        </w:rPr>
        <w:t>TSP</w:t>
      </w:r>
      <w:r>
        <w:rPr>
          <w:rFonts w:hint="eastAsia"/>
        </w:rPr>
        <w:t>、</w:t>
      </w:r>
      <w:r>
        <w:rPr>
          <w:rFonts w:hint="eastAsia"/>
        </w:rPr>
        <w:t>SO</w:t>
      </w:r>
      <w:r>
        <w:rPr>
          <w:rFonts w:hint="eastAsia"/>
          <w:vertAlign w:val="subscript"/>
        </w:rPr>
        <w:t>2</w:t>
      </w:r>
      <w:r>
        <w:rPr>
          <w:rFonts w:hint="eastAsia"/>
        </w:rPr>
        <w:t>、</w:t>
      </w:r>
      <w:r>
        <w:rPr>
          <w:rFonts w:hint="eastAsia"/>
        </w:rPr>
        <w:t>NOx</w:t>
      </w:r>
      <w:r>
        <w:rPr>
          <w:rFonts w:hint="eastAsia"/>
        </w:rPr>
        <w:t>、</w:t>
      </w:r>
      <w:r>
        <w:rPr>
          <w:rFonts w:hint="eastAsia"/>
        </w:rPr>
        <w:t>CO</w:t>
      </w:r>
      <w:r>
        <w:rPr>
          <w:rFonts w:hint="eastAsia"/>
        </w:rPr>
        <w:t>和烃类等。</w:t>
      </w:r>
    </w:p>
    <w:p w:rsidR="006175A6" w:rsidRDefault="009B4BA7">
      <w:pPr>
        <w:ind w:firstLine="480"/>
      </w:pPr>
      <w:r>
        <w:rPr>
          <w:rFonts w:hint="eastAsia"/>
        </w:rPr>
        <w:t>施工场内土石方开挖、回填、爆破以及砂石料粉碎等作业点排放的</w:t>
      </w:r>
      <w:r>
        <w:rPr>
          <w:rFonts w:hint="eastAsia"/>
        </w:rPr>
        <w:t xml:space="preserve">TSP </w:t>
      </w:r>
      <w:r>
        <w:rPr>
          <w:rFonts w:hint="eastAsia"/>
        </w:rPr>
        <w:t>浓度将会超过规定的排放标准，但其影响范围仅限于施工现场，受影响的主要是施工人员，应注意加强防护措施。</w:t>
      </w:r>
    </w:p>
    <w:p w:rsidR="006175A6" w:rsidRDefault="009B4BA7">
      <w:pPr>
        <w:ind w:firstLine="480"/>
      </w:pPr>
      <w:r>
        <w:rPr>
          <w:rFonts w:hint="eastAsia"/>
        </w:rPr>
        <w:t>施工机械和汽车场内、场外运输时所排放的尾气和扬尘主要对作业点周围和运输路线两侧</w:t>
      </w:r>
      <w:r>
        <w:rPr>
          <w:rFonts w:hint="eastAsia"/>
        </w:rPr>
        <w:t>50m</w:t>
      </w:r>
      <w:r>
        <w:rPr>
          <w:rFonts w:hint="eastAsia"/>
        </w:rPr>
        <w:t>范围内局部地区有一定影响，而且</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等污染物的浓度相对而言较高，可能会超过相应的排放标准。</w:t>
      </w:r>
    </w:p>
    <w:p w:rsidR="006175A6" w:rsidRDefault="009B4BA7">
      <w:pPr>
        <w:ind w:firstLine="480"/>
      </w:pPr>
      <w:r>
        <w:rPr>
          <w:rFonts w:hint="eastAsia"/>
        </w:rPr>
        <w:t>由于施工区目前的空气环境质量较好，大气稀释能力和环境容量都比较大，而且施工活动属短期行为，因此施工活动所排放的大气污染物不会对当地的大气环境产生较大影响。对附近居民和现场施工人员的影响则可以采取适当的防护措施予以减免。</w:t>
      </w:r>
    </w:p>
    <w:p w:rsidR="006175A6" w:rsidRDefault="009B4BA7">
      <w:pPr>
        <w:ind w:firstLine="480"/>
      </w:pPr>
      <w:r>
        <w:rPr>
          <w:rFonts w:hint="eastAsia"/>
        </w:rPr>
        <w:t>工程建成后，随着施工活动的结束，大量施工人员、生产设施撤离，施工场地将得到恢复。</w:t>
      </w:r>
    </w:p>
    <w:p w:rsidR="006175A6" w:rsidRDefault="009B4BA7">
      <w:pPr>
        <w:pStyle w:val="3"/>
      </w:pPr>
      <w:r>
        <w:rPr>
          <w:rFonts w:hint="eastAsia"/>
        </w:rPr>
        <w:t>运行期环境空气环境影响分析</w:t>
      </w:r>
    </w:p>
    <w:p w:rsidR="006175A6" w:rsidRDefault="009B4BA7">
      <w:pPr>
        <w:ind w:firstLine="480"/>
      </w:pPr>
      <w:r>
        <w:rPr>
          <w:rFonts w:hint="eastAsia"/>
        </w:rPr>
        <w:t>工程完工后，将利用水库进行供水，工程运行期间无大气污染物排放。对工程周围地区的环境空气没有不利影响。</w:t>
      </w:r>
    </w:p>
    <w:p w:rsidR="006175A6" w:rsidRDefault="009B4BA7">
      <w:pPr>
        <w:pStyle w:val="2"/>
      </w:pPr>
      <w:bookmarkStart w:id="68" w:name="_Toc80170114"/>
      <w:r>
        <w:rPr>
          <w:rFonts w:hint="eastAsia"/>
        </w:rPr>
        <w:t>地表水影响分析</w:t>
      </w:r>
      <w:bookmarkEnd w:id="68"/>
    </w:p>
    <w:p w:rsidR="006175A6" w:rsidRDefault="009B4BA7">
      <w:pPr>
        <w:pStyle w:val="3"/>
      </w:pPr>
      <w:r>
        <w:rPr>
          <w:rFonts w:hint="eastAsia"/>
        </w:rPr>
        <w:t>施工期、运行期地表水水质环境影响分析</w:t>
      </w:r>
    </w:p>
    <w:p w:rsidR="006175A6" w:rsidRDefault="009B4BA7">
      <w:pPr>
        <w:pStyle w:val="4"/>
      </w:pPr>
      <w:r>
        <w:rPr>
          <w:rFonts w:hint="eastAsia"/>
        </w:rPr>
        <w:t>施工期地表水环境影响分析</w:t>
      </w:r>
    </w:p>
    <w:p w:rsidR="006175A6" w:rsidRDefault="009B4BA7">
      <w:pPr>
        <w:ind w:firstLine="480"/>
      </w:pPr>
      <w:r>
        <w:rPr>
          <w:rFonts w:hint="eastAsia"/>
        </w:rPr>
        <w:t>施工生产废水包括基坑排水、砂石料加工系统冲洗废水、混凝土加工系统冲</w:t>
      </w:r>
      <w:r>
        <w:rPr>
          <w:rFonts w:hint="eastAsia"/>
        </w:rPr>
        <w:lastRenderedPageBreak/>
        <w:t>洗废水及施工机械设备冲洗废水等。废水中主要污染物为悬浮物</w:t>
      </w:r>
      <w:r w:rsidR="00E97427">
        <w:rPr>
          <w:rFonts w:hint="eastAsia"/>
        </w:rPr>
        <w:t>（</w:t>
      </w:r>
      <w:r>
        <w:rPr>
          <w:rFonts w:hint="eastAsia"/>
        </w:rPr>
        <w:t>SS</w:t>
      </w:r>
      <w:r w:rsidR="00E97427">
        <w:rPr>
          <w:rFonts w:hint="eastAsia"/>
        </w:rPr>
        <w:t>）</w:t>
      </w:r>
      <w:r>
        <w:rPr>
          <w:rFonts w:hint="eastAsia"/>
        </w:rPr>
        <w:t>，此外混凝土加工系统冲洗废水</w:t>
      </w:r>
      <w:r>
        <w:rPr>
          <w:rFonts w:hint="eastAsia"/>
        </w:rPr>
        <w:t>pH</w:t>
      </w:r>
      <w:r>
        <w:rPr>
          <w:rFonts w:hint="eastAsia"/>
        </w:rPr>
        <w:t>值较高，施工机械设备冲洗废水石油类浓度较高。根据工程分析，施工高峰期生产废水的产生量约为</w:t>
      </w:r>
      <w:r>
        <w:rPr>
          <w:rFonts w:hint="eastAsia"/>
        </w:rPr>
        <w:t>1328.8m</w:t>
      </w:r>
      <w:r>
        <w:rPr>
          <w:rFonts w:hint="eastAsia"/>
          <w:vertAlign w:val="superscript"/>
        </w:rPr>
        <w:t>3</w:t>
      </w:r>
      <w:r>
        <w:rPr>
          <w:rFonts w:hint="eastAsia"/>
        </w:rPr>
        <w:t>/d</w:t>
      </w:r>
      <w:r>
        <w:rPr>
          <w:rFonts w:hint="eastAsia"/>
        </w:rPr>
        <w:t>，主要来源于基坑排水、混凝土拌和废水、砂石料加工废水以及机械冲洗废水。其中，基坑最大排水量为</w:t>
      </w:r>
      <w:r>
        <w:rPr>
          <w:rFonts w:hint="eastAsia"/>
        </w:rPr>
        <w:t>360m</w:t>
      </w:r>
      <w:r>
        <w:rPr>
          <w:rFonts w:hint="eastAsia"/>
          <w:vertAlign w:val="superscript"/>
        </w:rPr>
        <w:t>3</w:t>
      </w:r>
      <w:r>
        <w:rPr>
          <w:rFonts w:hint="eastAsia"/>
        </w:rPr>
        <w:t>/d</w:t>
      </w:r>
      <w:r>
        <w:rPr>
          <w:rFonts w:hint="eastAsia"/>
        </w:rPr>
        <w:t>，</w:t>
      </w:r>
      <w:r>
        <w:rPr>
          <w:rFonts w:hint="eastAsia"/>
        </w:rPr>
        <w:t>SS</w:t>
      </w:r>
      <w:r>
        <w:rPr>
          <w:rFonts w:hint="eastAsia"/>
        </w:rPr>
        <w:t>浓度为</w:t>
      </w:r>
      <w:r>
        <w:rPr>
          <w:rFonts w:hint="eastAsia"/>
        </w:rPr>
        <w:t>5000mg/L</w:t>
      </w:r>
      <w:r>
        <w:rPr>
          <w:rFonts w:hint="eastAsia"/>
        </w:rPr>
        <w:t>左右；砂石料加工最大排水量约为</w:t>
      </w:r>
      <w:r>
        <w:rPr>
          <w:rFonts w:hint="eastAsia"/>
        </w:rPr>
        <w:t>640m</w:t>
      </w:r>
      <w:r>
        <w:rPr>
          <w:rFonts w:hint="eastAsia"/>
          <w:vertAlign w:val="superscript"/>
        </w:rPr>
        <w:t>3</w:t>
      </w:r>
      <w:r>
        <w:rPr>
          <w:rFonts w:hint="eastAsia"/>
        </w:rPr>
        <w:t>/d</w:t>
      </w:r>
      <w:r>
        <w:rPr>
          <w:rFonts w:hint="eastAsia"/>
        </w:rPr>
        <w:t>，</w:t>
      </w:r>
      <w:r>
        <w:rPr>
          <w:rFonts w:hint="eastAsia"/>
        </w:rPr>
        <w:t>SS</w:t>
      </w:r>
      <w:r>
        <w:rPr>
          <w:rFonts w:hint="eastAsia"/>
        </w:rPr>
        <w:t>浓度可达</w:t>
      </w:r>
      <w:r>
        <w:rPr>
          <w:rFonts w:hint="eastAsia"/>
        </w:rPr>
        <w:t>20000mg/L</w:t>
      </w:r>
      <w:r>
        <w:rPr>
          <w:rFonts w:hint="eastAsia"/>
        </w:rPr>
        <w:t>左右；混凝土拌合废水最大排水量约为</w:t>
      </w:r>
      <w:r>
        <w:rPr>
          <w:rFonts w:hint="eastAsia"/>
        </w:rPr>
        <w:t>300m</w:t>
      </w:r>
      <w:r>
        <w:rPr>
          <w:rFonts w:hint="eastAsia"/>
          <w:vertAlign w:val="superscript"/>
        </w:rPr>
        <w:t>3</w:t>
      </w:r>
      <w:r>
        <w:rPr>
          <w:rFonts w:hint="eastAsia"/>
        </w:rPr>
        <w:t>/d</w:t>
      </w:r>
      <w:r>
        <w:rPr>
          <w:rFonts w:hint="eastAsia"/>
        </w:rPr>
        <w:t>，</w:t>
      </w:r>
      <w:r>
        <w:rPr>
          <w:rFonts w:hint="eastAsia"/>
        </w:rPr>
        <w:t>SS</w:t>
      </w:r>
      <w:r>
        <w:rPr>
          <w:rFonts w:hint="eastAsia"/>
        </w:rPr>
        <w:t>浓度可达</w:t>
      </w:r>
      <w:r>
        <w:rPr>
          <w:rFonts w:hint="eastAsia"/>
        </w:rPr>
        <w:t>5000mg/L</w:t>
      </w:r>
      <w:r>
        <w:rPr>
          <w:rFonts w:hint="eastAsia"/>
        </w:rPr>
        <w:t>左右；机械冲洗废水最大排水量约为</w:t>
      </w:r>
      <w:r>
        <w:rPr>
          <w:rFonts w:hint="eastAsia"/>
        </w:rPr>
        <w:t>28.8m</w:t>
      </w:r>
      <w:r>
        <w:rPr>
          <w:rFonts w:hint="eastAsia"/>
          <w:vertAlign w:val="superscript"/>
        </w:rPr>
        <w:t>3</w:t>
      </w:r>
      <w:r>
        <w:rPr>
          <w:rFonts w:hint="eastAsia"/>
        </w:rPr>
        <w:t>/d</w:t>
      </w:r>
      <w:r>
        <w:rPr>
          <w:rFonts w:hint="eastAsia"/>
        </w:rPr>
        <w:t>，</w:t>
      </w:r>
      <w:r>
        <w:rPr>
          <w:rFonts w:hint="eastAsia"/>
        </w:rPr>
        <w:t>SS</w:t>
      </w:r>
      <w:r>
        <w:rPr>
          <w:rFonts w:hint="eastAsia"/>
        </w:rPr>
        <w:t>浓度可达</w:t>
      </w:r>
      <w:r>
        <w:rPr>
          <w:rFonts w:hint="eastAsia"/>
        </w:rPr>
        <w:t>3000mg/L</w:t>
      </w:r>
      <w:r>
        <w:rPr>
          <w:rFonts w:hint="eastAsia"/>
        </w:rPr>
        <w:t>左右；施工生产废水的排放量较大，而且废水中主要污染物是悬浮物，水中悬浮物过高严重影响景观，而且会破坏水生生物的栖息环境，因此在施工期悬浮物的大量排放将影响施工区及下游水体的使用功能。但在采取沉淀处理措施及回用后，悬浮物的排放量会大大减轻</w:t>
      </w:r>
      <w:r w:rsidR="00E97427">
        <w:rPr>
          <w:rFonts w:hint="eastAsia"/>
        </w:rPr>
        <w:t>（</w:t>
      </w:r>
      <w:r>
        <w:rPr>
          <w:rFonts w:hint="eastAsia"/>
        </w:rPr>
        <w:t>SS</w:t>
      </w:r>
      <w:r>
        <w:rPr>
          <w:rFonts w:hint="eastAsia"/>
        </w:rPr>
        <w:t>去除率在</w:t>
      </w:r>
      <w:r>
        <w:rPr>
          <w:rFonts w:hint="eastAsia"/>
        </w:rPr>
        <w:t>95%</w:t>
      </w:r>
      <w:r>
        <w:rPr>
          <w:rFonts w:hint="eastAsia"/>
        </w:rPr>
        <w:t>以上</w:t>
      </w:r>
      <w:r w:rsidR="00E97427">
        <w:rPr>
          <w:rFonts w:hint="eastAsia"/>
        </w:rPr>
        <w:t>）</w:t>
      </w:r>
      <w:r>
        <w:rPr>
          <w:rFonts w:hint="eastAsia"/>
        </w:rPr>
        <w:t>，影响范围和影响程度与直接排放相比将大为缩小。其它混凝土加工系统冲洗废水和机械设备冲洗废水产生量较小，经沉淀、中和或隔油处理，对水环境产生的影响很小。而且施工废水的排放是暂时的，施工活动结束后就不再排放，因此施工废水对下游水体水质的影响不大，不会影响下游水域使用功能。</w:t>
      </w:r>
    </w:p>
    <w:p w:rsidR="006175A6" w:rsidRDefault="009B4BA7">
      <w:pPr>
        <w:ind w:firstLine="480"/>
      </w:pPr>
      <w:r>
        <w:rPr>
          <w:rFonts w:hint="eastAsia"/>
        </w:rPr>
        <w:t>施工生活污水主要由厨房洗涤用水、洗手、洗澡水以及粪便水等组成，主要污染物为</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等。施工高峰期生活污水量为</w:t>
      </w:r>
      <w:r>
        <w:rPr>
          <w:rFonts w:hint="eastAsia"/>
        </w:rPr>
        <w:t>36m</w:t>
      </w:r>
      <w:r>
        <w:rPr>
          <w:rFonts w:hint="eastAsia"/>
          <w:vertAlign w:val="superscript"/>
        </w:rPr>
        <w:t>3</w:t>
      </w:r>
      <w:r>
        <w:rPr>
          <w:rFonts w:hint="eastAsia"/>
        </w:rPr>
        <w:t>/d</w:t>
      </w:r>
      <w:r>
        <w:rPr>
          <w:rFonts w:hint="eastAsia"/>
        </w:rPr>
        <w:t>，其主要污染物浓度</w:t>
      </w:r>
      <w:r>
        <w:rPr>
          <w:rFonts w:hint="eastAsia"/>
        </w:rPr>
        <w:t xml:space="preserve"> COD 250mg/L</w:t>
      </w:r>
      <w:r>
        <w:rPr>
          <w:rFonts w:hint="eastAsia"/>
        </w:rPr>
        <w:t>、</w:t>
      </w:r>
      <w:r>
        <w:rPr>
          <w:rFonts w:hint="eastAsia"/>
        </w:rPr>
        <w:t>BOD</w:t>
      </w:r>
      <w:r>
        <w:rPr>
          <w:rFonts w:hint="eastAsia"/>
          <w:vertAlign w:val="subscript"/>
        </w:rPr>
        <w:t>5</w:t>
      </w:r>
      <w:r>
        <w:rPr>
          <w:rFonts w:hint="eastAsia"/>
        </w:rPr>
        <w:t xml:space="preserve"> </w:t>
      </w:r>
      <w:r>
        <w:rPr>
          <w:rFonts w:hint="eastAsia"/>
        </w:rPr>
        <w:t>浓度为</w:t>
      </w:r>
      <w:r>
        <w:rPr>
          <w:rFonts w:hint="eastAsia"/>
        </w:rPr>
        <w:t>120mg/L</w:t>
      </w:r>
      <w:r>
        <w:rPr>
          <w:rFonts w:hint="eastAsia"/>
        </w:rPr>
        <w:t>。施工期除部分人员租用民居外，其他集中在施工区营地居住。施工期生活污水经</w:t>
      </w:r>
      <w:r>
        <w:rPr>
          <w:rFonts w:hint="eastAsia"/>
        </w:rPr>
        <w:t>WSZ-5</w:t>
      </w:r>
      <w:r>
        <w:rPr>
          <w:rFonts w:hint="eastAsia"/>
        </w:rPr>
        <w:t>型钢板模块式地埋式生活污水处理设备处理之后用于项目周边农田、绿化。</w:t>
      </w:r>
    </w:p>
    <w:p w:rsidR="006175A6" w:rsidRDefault="009B4BA7">
      <w:pPr>
        <w:pStyle w:val="4"/>
      </w:pPr>
      <w:r>
        <w:rPr>
          <w:rFonts w:hint="eastAsia"/>
        </w:rPr>
        <w:t>运行期水环境影响分析</w:t>
      </w:r>
    </w:p>
    <w:p w:rsidR="006175A6" w:rsidRDefault="009B4BA7">
      <w:pPr>
        <w:ind w:firstLine="480"/>
      </w:pPr>
      <w:r>
        <w:rPr>
          <w:rFonts w:hint="eastAsia"/>
        </w:rPr>
        <w:t>根据工程分析可知，工程建成后运行期生活污水产生量为</w:t>
      </w:r>
      <w:r>
        <w:rPr>
          <w:rFonts w:hint="eastAsia"/>
        </w:rPr>
        <w:t>2.4m</w:t>
      </w:r>
      <w:r>
        <w:rPr>
          <w:rFonts w:hint="eastAsia"/>
          <w:vertAlign w:val="superscript"/>
        </w:rPr>
        <w:t>3</w:t>
      </w:r>
      <w:r>
        <w:rPr>
          <w:rFonts w:hint="eastAsia"/>
        </w:rPr>
        <w:t>/d</w:t>
      </w:r>
      <w:r>
        <w:rPr>
          <w:rFonts w:hint="eastAsia"/>
        </w:rPr>
        <w:t>，即为</w:t>
      </w:r>
      <w:r>
        <w:rPr>
          <w:rFonts w:hint="eastAsia"/>
        </w:rPr>
        <w:t>867.2m</w:t>
      </w:r>
      <w:r>
        <w:rPr>
          <w:rFonts w:hint="eastAsia"/>
          <w:vertAlign w:val="superscript"/>
        </w:rPr>
        <w:t>3</w:t>
      </w:r>
      <w:r>
        <w:rPr>
          <w:rFonts w:hint="eastAsia"/>
        </w:rPr>
        <w:t>/a</w:t>
      </w:r>
      <w:r>
        <w:rPr>
          <w:rFonts w:hint="eastAsia"/>
        </w:rPr>
        <w:t>，生活污水经三格化粪池处理后水质能满足《农田灌溉水质标准》</w:t>
      </w:r>
      <w:r w:rsidR="00E97427">
        <w:rPr>
          <w:rFonts w:hint="eastAsia"/>
        </w:rPr>
        <w:t>（</w:t>
      </w:r>
      <w:r>
        <w:rPr>
          <w:rFonts w:hint="eastAsia"/>
        </w:rPr>
        <w:t>GB5084</w:t>
      </w:r>
      <w:r>
        <w:rPr>
          <w:rFonts w:hint="eastAsia"/>
        </w:rPr>
        <w:t>—</w:t>
      </w:r>
      <w:r>
        <w:rPr>
          <w:rFonts w:hint="eastAsia"/>
        </w:rPr>
        <w:t>2005</w:t>
      </w:r>
      <w:r w:rsidR="00E97427">
        <w:rPr>
          <w:rFonts w:hint="eastAsia"/>
        </w:rPr>
        <w:t>）</w:t>
      </w:r>
      <w:r>
        <w:rPr>
          <w:rFonts w:hint="eastAsia"/>
        </w:rPr>
        <w:t>要求，可作为农肥施用于项目周边农田、绿化。本项目生活污水年排放量</w:t>
      </w:r>
      <w:r>
        <w:rPr>
          <w:rFonts w:hint="eastAsia"/>
        </w:rPr>
        <w:t>867.2m</w:t>
      </w:r>
      <w:r>
        <w:rPr>
          <w:rFonts w:hint="eastAsia"/>
          <w:vertAlign w:val="superscript"/>
        </w:rPr>
        <w:t>3</w:t>
      </w:r>
      <w:r>
        <w:rPr>
          <w:rFonts w:hint="eastAsia"/>
        </w:rPr>
        <w:t>，据国内平均耕地亩灌水</w:t>
      </w:r>
      <w:r>
        <w:rPr>
          <w:rFonts w:hint="eastAsia"/>
        </w:rPr>
        <w:t>300m</w:t>
      </w:r>
      <w:r>
        <w:rPr>
          <w:rFonts w:hint="eastAsia"/>
          <w:vertAlign w:val="superscript"/>
        </w:rPr>
        <w:t>3</w:t>
      </w:r>
      <w:r>
        <w:rPr>
          <w:rFonts w:hint="eastAsia"/>
        </w:rPr>
        <w:t>的定额为标准，仅需</w:t>
      </w:r>
      <w:r>
        <w:rPr>
          <w:rFonts w:hint="eastAsia"/>
        </w:rPr>
        <w:t>2.89</w:t>
      </w:r>
      <w:r>
        <w:rPr>
          <w:rFonts w:hint="eastAsia"/>
        </w:rPr>
        <w:t>亩耕地便可消纳完毕，加上生活污水成分相对简单，并且水量小，项目周边有旱地和大量的林地，远远超过</w:t>
      </w:r>
      <w:r>
        <w:rPr>
          <w:rFonts w:hint="eastAsia"/>
        </w:rPr>
        <w:t>2.89</w:t>
      </w:r>
      <w:r>
        <w:rPr>
          <w:rFonts w:hint="eastAsia"/>
        </w:rPr>
        <w:t>亩耕地的需要。生活污水用于项目周边农田、绿化的灌溉有利于农作物、植物的生长，增加土壤肥力，对土壤无不良影响，有利于土壤环境的改善。</w:t>
      </w:r>
    </w:p>
    <w:p w:rsidR="006175A6" w:rsidRDefault="009B4BA7">
      <w:pPr>
        <w:pStyle w:val="3"/>
      </w:pPr>
      <w:r>
        <w:rPr>
          <w:rFonts w:hint="eastAsia"/>
        </w:rPr>
        <w:lastRenderedPageBreak/>
        <w:t>水库富营养化预测和评价</w:t>
      </w:r>
    </w:p>
    <w:p w:rsidR="006175A6" w:rsidRDefault="009B4BA7">
      <w:pPr>
        <w:ind w:firstLine="480"/>
      </w:pPr>
      <w:r>
        <w:rPr>
          <w:rFonts w:hint="eastAsia"/>
        </w:rPr>
        <w:t>富营养化是某种营养物质在湖泊水库水体中积累过多，导致生物</w:t>
      </w:r>
      <w:r w:rsidR="00E97427">
        <w:rPr>
          <w:rFonts w:hint="eastAsia"/>
        </w:rPr>
        <w:t>（</w:t>
      </w:r>
      <w:r>
        <w:rPr>
          <w:rFonts w:hint="eastAsia"/>
        </w:rPr>
        <w:t>特别是浮游生物，即藻类</w:t>
      </w:r>
      <w:r w:rsidR="00E97427">
        <w:rPr>
          <w:rFonts w:hint="eastAsia"/>
        </w:rPr>
        <w:t>）</w:t>
      </w:r>
      <w:r>
        <w:rPr>
          <w:rFonts w:hint="eastAsia"/>
        </w:rPr>
        <w:t>的生产能力异常增加的过程。目前国际上已建立了一系列的经验富营养化模型，《水域纳污能力计算规程》</w:t>
      </w:r>
      <w:r w:rsidR="00E97427">
        <w:rPr>
          <w:rFonts w:hint="eastAsia"/>
        </w:rPr>
        <w:t>（</w:t>
      </w:r>
      <w:r>
        <w:rPr>
          <w:rFonts w:hint="eastAsia"/>
        </w:rPr>
        <w:t>SL348</w:t>
      </w:r>
      <w:r>
        <w:rPr>
          <w:rFonts w:hint="eastAsia"/>
        </w:rPr>
        <w:t>—</w:t>
      </w:r>
      <w:r>
        <w:rPr>
          <w:rFonts w:hint="eastAsia"/>
        </w:rPr>
        <w:t>2006</w:t>
      </w:r>
      <w:r w:rsidR="00E97427">
        <w:rPr>
          <w:rFonts w:hint="eastAsia"/>
        </w:rPr>
        <w:t>）</w:t>
      </w:r>
      <w:r>
        <w:rPr>
          <w:rFonts w:hint="eastAsia"/>
        </w:rPr>
        <w:t>推荐的狄龙</w:t>
      </w:r>
      <w:r w:rsidR="00E97427">
        <w:rPr>
          <w:rFonts w:hint="eastAsia"/>
        </w:rPr>
        <w:t>（</w:t>
      </w:r>
      <w:r>
        <w:rPr>
          <w:rFonts w:hint="eastAsia"/>
        </w:rPr>
        <w:t>Dillon</w:t>
      </w:r>
      <w:r w:rsidR="00E97427">
        <w:rPr>
          <w:rFonts w:hint="eastAsia"/>
        </w:rPr>
        <w:t>）</w:t>
      </w:r>
      <w:r>
        <w:rPr>
          <w:rFonts w:hint="eastAsia"/>
        </w:rPr>
        <w:t>模型，考虑了水力冲刷系数和磷、氮的滞留系数，可用于不同类型水库的磷、氮</w:t>
      </w:r>
      <w:r>
        <w:rPr>
          <w:rFonts w:hint="eastAsia"/>
        </w:rPr>
        <w:t xml:space="preserve"> </w:t>
      </w:r>
      <w:r>
        <w:rPr>
          <w:rFonts w:hint="eastAsia"/>
        </w:rPr>
        <w:t>预测，本次评价拟选用狄龙模型。</w:t>
      </w:r>
    </w:p>
    <w:p w:rsidR="006175A6" w:rsidRDefault="009B4BA7">
      <w:pPr>
        <w:ind w:firstLine="480"/>
      </w:pPr>
      <w:r>
        <w:rPr>
          <w:rFonts w:hint="eastAsia"/>
        </w:rPr>
        <w:t>水库富营养化预测采用狄龙</w:t>
      </w:r>
      <w:r w:rsidR="00E97427">
        <w:rPr>
          <w:rFonts w:hint="eastAsia"/>
        </w:rPr>
        <w:t>（</w:t>
      </w:r>
      <w:r>
        <w:rPr>
          <w:rFonts w:hint="eastAsia"/>
        </w:rPr>
        <w:t>Dillon</w:t>
      </w:r>
      <w:r w:rsidR="00E97427">
        <w:rPr>
          <w:rFonts w:hint="eastAsia"/>
        </w:rPr>
        <w:t>）</w:t>
      </w:r>
      <w:r>
        <w:rPr>
          <w:rFonts w:hint="eastAsia"/>
        </w:rPr>
        <w:t>模型：</w:t>
      </w:r>
    </w:p>
    <w:p w:rsidR="006175A6" w:rsidRDefault="009B4BA7">
      <w:pPr>
        <w:ind w:firstLine="480"/>
      </w:pPr>
      <m:oMathPara>
        <m:oMath>
          <m:r>
            <m:rPr>
              <m:sty m:val="p"/>
            </m:rPr>
            <w:rPr>
              <w:rFonts w:ascii="Cambria Math" w:hAnsi="Cambria Math"/>
            </w:rPr>
            <m:t>P=</m:t>
          </m:r>
          <m:f>
            <m:fPr>
              <m:ctrlPr>
                <w:rPr>
                  <w:rFonts w:ascii="Cambria Math" w:hAnsi="Cambria Math"/>
                </w:rPr>
              </m:ctrlPr>
            </m:fPr>
            <m:num>
              <m:r>
                <w:rPr>
                  <w:rFonts w:ascii="Cambria Math" w:hAnsi="Cambria Math"/>
                </w:rPr>
                <m:t>Lp</m:t>
              </m:r>
              <m:r>
                <m:rPr>
                  <m:sty m:val="p"/>
                </m:rPr>
                <w:rPr>
                  <w:rFonts w:ascii="Cambria Math" w:hAnsi="Cambria Math"/>
                </w:rPr>
                <m:t>（</m:t>
              </m:r>
              <m:r>
                <m:rPr>
                  <m:sty m:val="p"/>
                </m:rPr>
                <w:rPr>
                  <w:rFonts w:ascii="Cambria Math" w:hAnsi="Cambria Math"/>
                </w:rPr>
                <m:t>1-Rp</m:t>
              </m:r>
              <m:r>
                <m:rPr>
                  <m:sty m:val="p"/>
                </m:rPr>
                <w:rPr>
                  <w:rFonts w:ascii="Cambria Math" w:hAnsi="Cambria Math"/>
                </w:rPr>
                <m:t>）</m:t>
              </m:r>
            </m:num>
            <m:den>
              <m:r>
                <w:rPr>
                  <w:rFonts w:ascii="Cambria Math" w:hAnsi="Cambria Math"/>
                </w:rPr>
                <m:t>βh</m:t>
              </m:r>
            </m:den>
          </m:f>
        </m:oMath>
      </m:oMathPara>
    </w:p>
    <w:p w:rsidR="006175A6" w:rsidRDefault="009B4BA7">
      <w:pPr>
        <w:ind w:firstLine="480"/>
      </w:pPr>
      <w:r>
        <w:t>式中：</w:t>
      </w:r>
      <w:r>
        <w:rPr>
          <w:rFonts w:hint="eastAsia"/>
        </w:rPr>
        <w:t xml:space="preserve"> </w:t>
      </w:r>
      <w:r>
        <w:rPr>
          <w:rFonts w:eastAsia="Times New Roman"/>
        </w:rPr>
        <w:t>P</w:t>
      </w:r>
      <w:r>
        <w:t>——</w:t>
      </w:r>
      <w:r>
        <w:t>库中磷（氮）的平均浓度，</w:t>
      </w:r>
      <w:r>
        <w:rPr>
          <w:rFonts w:eastAsia="Times New Roman"/>
        </w:rPr>
        <w:t>g/m</w:t>
      </w:r>
      <w:r>
        <w:rPr>
          <w:rFonts w:eastAsia="Times New Roman"/>
          <w:position w:val="8"/>
          <w:sz w:val="15"/>
        </w:rPr>
        <w:t>3</w:t>
      </w:r>
      <w:r>
        <w:t>；</w:t>
      </w:r>
    </w:p>
    <w:p w:rsidR="006175A6" w:rsidRDefault="009B4BA7">
      <w:pPr>
        <w:ind w:left="780" w:firstLine="480"/>
        <w:rPr>
          <w:spacing w:val="-3"/>
        </w:rPr>
      </w:pPr>
      <w:r>
        <w:rPr>
          <w:rFonts w:eastAsia="Times New Roman"/>
        </w:rPr>
        <w:t>Lp</w:t>
      </w:r>
      <w:r>
        <w:t>——</w:t>
      </w:r>
      <w:r>
        <w:t>年库磷（氮）</w:t>
      </w:r>
      <w:r>
        <w:rPr>
          <w:spacing w:val="-1"/>
        </w:rPr>
        <w:t>单位面积负荷量，</w:t>
      </w:r>
      <w:r>
        <w:rPr>
          <w:rFonts w:eastAsia="Times New Roman"/>
          <w:spacing w:val="-3"/>
        </w:rPr>
        <w:t>g/m</w:t>
      </w:r>
      <w:r>
        <w:rPr>
          <w:rFonts w:eastAsia="Times New Roman"/>
          <w:spacing w:val="-3"/>
          <w:position w:val="8"/>
          <w:sz w:val="15"/>
        </w:rPr>
        <w:t>2</w:t>
      </w:r>
      <w:r>
        <w:rPr>
          <w:spacing w:val="-3"/>
        </w:rPr>
        <w:t>·</w:t>
      </w:r>
      <w:r>
        <w:rPr>
          <w:rFonts w:eastAsia="Times New Roman"/>
          <w:spacing w:val="-3"/>
        </w:rPr>
        <w:t>a</w:t>
      </w:r>
      <w:r>
        <w:rPr>
          <w:spacing w:val="-3"/>
        </w:rPr>
        <w:t>；</w:t>
      </w:r>
    </w:p>
    <w:p w:rsidR="006175A6" w:rsidRDefault="009B4BA7">
      <w:pPr>
        <w:ind w:left="780" w:firstLine="480"/>
      </w:pPr>
      <w:r>
        <w:t>β——</w:t>
      </w:r>
      <w:r>
        <w:t>水力冲刷系数，</w:t>
      </w:r>
      <w:r>
        <w:rPr>
          <w:rFonts w:eastAsia="Times New Roman"/>
        </w:rPr>
        <w:t>1/a</w:t>
      </w:r>
      <w:r>
        <w:t>；</w:t>
      </w:r>
    </w:p>
    <w:p w:rsidR="006175A6" w:rsidRDefault="009B4BA7">
      <w:pPr>
        <w:ind w:left="780" w:firstLine="480"/>
      </w:pPr>
      <w:r>
        <w:rPr>
          <w:rFonts w:eastAsia="Times New Roman"/>
        </w:rPr>
        <w:t>h</w:t>
      </w:r>
      <w:r>
        <w:t>——</w:t>
      </w:r>
      <w:r>
        <w:t>水库平均水深，</w:t>
      </w:r>
      <w:r>
        <w:rPr>
          <w:rFonts w:eastAsia="Times New Roman"/>
        </w:rPr>
        <w:t>m</w:t>
      </w:r>
      <w:r>
        <w:t>；</w:t>
      </w:r>
    </w:p>
    <w:p w:rsidR="006175A6" w:rsidRDefault="009B4BA7">
      <w:pPr>
        <w:ind w:left="715" w:firstLine="480"/>
      </w:pPr>
      <w:r>
        <w:rPr>
          <w:rFonts w:eastAsia="Times New Roman"/>
        </w:rPr>
        <w:t>Rp</w:t>
      </w:r>
      <w:r>
        <w:t>——</w:t>
      </w:r>
      <w:r>
        <w:t>磷氮滞留系数。</w:t>
      </w:r>
    </w:p>
    <w:p w:rsidR="006175A6" w:rsidRDefault="009B4BA7">
      <w:pPr>
        <w:pStyle w:val="a5"/>
        <w:spacing w:line="305" w:lineRule="exact"/>
        <w:ind w:left="715" w:firstLine="480"/>
      </w:pPr>
      <w:r>
        <w:t>其中水力冲刷系数β的计算式为：</w:t>
      </w:r>
    </w:p>
    <w:p w:rsidR="006175A6" w:rsidRDefault="009B4BA7">
      <w:pPr>
        <w:ind w:firstLine="480"/>
      </w:pPr>
      <m:oMathPara>
        <m:oMath>
          <m:r>
            <m:rPr>
              <m:sty m:val="p"/>
            </m:rPr>
            <w:rPr>
              <w:rFonts w:ascii="Cambria Math" w:hAnsi="Cambria Math"/>
            </w:rPr>
            <m:t>β=</m:t>
          </m:r>
          <m:f>
            <m:fPr>
              <m:ctrlPr>
                <w:rPr>
                  <w:rFonts w:ascii="Cambria Math" w:hAnsi="Cambria Math" w:cs="宋体"/>
                  <w:kern w:val="0"/>
                  <w:szCs w:val="24"/>
                </w:rPr>
              </m:ctrlPr>
            </m:fPr>
            <m:num>
              <m:sSub>
                <m:sSubPr>
                  <m:ctrlPr>
                    <w:rPr>
                      <w:rFonts w:ascii="Cambria Math" w:hAnsi="Cambria Math" w:cs="宋体"/>
                      <w:kern w:val="0"/>
                      <w:szCs w:val="24"/>
                    </w:rPr>
                  </m:ctrlPr>
                </m:sSubPr>
                <m:e>
                  <m:r>
                    <w:rPr>
                      <w:rFonts w:ascii="Cambria Math" w:hAnsi="Cambria Math"/>
                    </w:rPr>
                    <m:t>Q</m:t>
                  </m:r>
                </m:e>
                <m:sub>
                  <m:r>
                    <w:rPr>
                      <w:rFonts w:ascii="Cambria Math" w:hAnsi="Cambria Math"/>
                    </w:rPr>
                    <m:t>α</m:t>
                  </m:r>
                </m:sub>
              </m:sSub>
            </m:num>
            <m:den>
              <m:r>
                <w:rPr>
                  <w:rFonts w:ascii="Cambria Math" w:hAnsi="Cambria Math"/>
                </w:rPr>
                <m:t>V</m:t>
              </m:r>
            </m:den>
          </m:f>
        </m:oMath>
      </m:oMathPara>
    </w:p>
    <w:p w:rsidR="006175A6" w:rsidRDefault="009B4BA7">
      <w:pPr>
        <w:pStyle w:val="a5"/>
        <w:spacing w:before="91"/>
        <w:ind w:left="715" w:firstLine="480"/>
      </w:pPr>
      <w:r>
        <w:rPr>
          <w:position w:val="2"/>
        </w:rPr>
        <w:t>式中：</w:t>
      </w:r>
      <w:r>
        <w:rPr>
          <w:rFonts w:ascii="Times New Roman" w:eastAsia="Times New Roman" w:hAnsi="Times New Roman"/>
          <w:position w:val="2"/>
        </w:rPr>
        <w:t>Q</w:t>
      </w:r>
      <w:r>
        <w:rPr>
          <w:rFonts w:ascii="Times New Roman" w:eastAsia="Times New Roman" w:hAnsi="Times New Roman"/>
          <w:position w:val="2"/>
          <w:vertAlign w:val="subscript"/>
        </w:rPr>
        <w:t>α</w:t>
      </w:r>
      <w:r>
        <w:rPr>
          <w:position w:val="2"/>
        </w:rPr>
        <w:t>——年入库水量，</w:t>
      </w:r>
      <w:r>
        <w:rPr>
          <w:rFonts w:ascii="Times New Roman" w:eastAsia="Times New Roman" w:hAnsi="Times New Roman"/>
          <w:position w:val="2"/>
        </w:rPr>
        <w:t>m</w:t>
      </w:r>
      <w:r>
        <w:rPr>
          <w:rFonts w:ascii="Times New Roman" w:eastAsia="Times New Roman" w:hAnsi="Times New Roman"/>
          <w:position w:val="2"/>
          <w:vertAlign w:val="superscript"/>
        </w:rPr>
        <w:t>3</w:t>
      </w:r>
      <w:r>
        <w:rPr>
          <w:rFonts w:ascii="Times New Roman" w:eastAsia="Times New Roman" w:hAnsi="Times New Roman"/>
          <w:position w:val="2"/>
        </w:rPr>
        <w:t>/a</w:t>
      </w:r>
      <w:r>
        <w:rPr>
          <w:position w:val="2"/>
        </w:rPr>
        <w:t>；</w:t>
      </w:r>
    </w:p>
    <w:p w:rsidR="006175A6" w:rsidRDefault="009B4BA7">
      <w:pPr>
        <w:spacing w:before="169"/>
        <w:ind w:left="1492" w:firstLine="480"/>
      </w:pPr>
      <w:r>
        <w:rPr>
          <w:rFonts w:eastAsiaTheme="minorEastAsia" w:hint="eastAsia"/>
          <w:position w:val="8"/>
        </w:rPr>
        <w:t>V</w:t>
      </w:r>
      <w:r>
        <w:t>——</w:t>
      </w:r>
      <w:r>
        <w:t>库容，</w:t>
      </w:r>
      <w:r>
        <w:rPr>
          <w:rFonts w:eastAsia="Times New Roman"/>
        </w:rPr>
        <w:t>m</w:t>
      </w:r>
      <w:r>
        <w:rPr>
          <w:rFonts w:eastAsia="Times New Roman"/>
          <w:position w:val="8"/>
          <w:sz w:val="15"/>
        </w:rPr>
        <w:t>3</w:t>
      </w:r>
      <w:r>
        <w:t>。</w:t>
      </w:r>
    </w:p>
    <w:p w:rsidR="006175A6" w:rsidRDefault="009B4BA7">
      <w:pPr>
        <w:pStyle w:val="a5"/>
        <w:spacing w:before="163" w:line="374" w:lineRule="auto"/>
        <w:ind w:right="375" w:firstLine="480"/>
      </w:pPr>
      <w:r>
        <w:t>磷（氮）滞留系数</w:t>
      </w:r>
      <w:r>
        <w:rPr>
          <w:rFonts w:ascii="Times New Roman" w:eastAsia="Times New Roman"/>
        </w:rPr>
        <w:t>Rp</w:t>
      </w:r>
      <w:r>
        <w:t>可借用狄龙等人根据大量资料统计分析所得的经验方程计算：</w:t>
      </w:r>
    </w:p>
    <w:p w:rsidR="006175A6" w:rsidRDefault="009B4BA7">
      <w:pPr>
        <w:pStyle w:val="a5"/>
        <w:spacing w:before="147"/>
        <w:ind w:left="349" w:right="10" w:firstLine="480"/>
        <w:jc w:val="center"/>
        <w:rPr>
          <w:rFonts w:ascii="Times New Roman" w:hAnsi="Times New Roman"/>
        </w:rPr>
      </w:pPr>
      <w:r>
        <w:rPr>
          <w:rFonts w:ascii="Times New Roman" w:hAnsi="Times New Roman"/>
          <w:i/>
        </w:rPr>
        <w:t xml:space="preserve">Rp </w:t>
      </w:r>
      <w:r>
        <w:rPr>
          <w:rFonts w:ascii="Symbol" w:hAnsi="Symbol"/>
        </w:rPr>
        <w:t></w:t>
      </w:r>
      <w:r>
        <w:rPr>
          <w:rFonts w:ascii="Times New Roman" w:hAnsi="Times New Roman"/>
        </w:rPr>
        <w:t xml:space="preserve"> 0.246</w:t>
      </w:r>
      <w:r>
        <w:rPr>
          <w:rFonts w:ascii="Times New Roman" w:hAnsi="Times New Roman" w:hint="eastAsia"/>
        </w:rPr>
        <w:t xml:space="preserve"> </w:t>
      </w:r>
      <w:r>
        <w:rPr>
          <w:rFonts w:ascii="Times New Roman" w:hAnsi="Times New Roman"/>
        </w:rPr>
        <w:t>exp</w:t>
      </w:r>
      <w:r w:rsidR="00E97427">
        <w:rPr>
          <w:rFonts w:ascii="Times New Roman" w:hAnsi="Times New Roman"/>
        </w:rPr>
        <w:t>（</w:t>
      </w:r>
      <w:r>
        <w:rPr>
          <w:rFonts w:ascii="Symbol" w:hAnsi="Symbol"/>
        </w:rPr>
        <w:t></w:t>
      </w:r>
      <w:r>
        <w:rPr>
          <w:rFonts w:ascii="Times New Roman" w:hAnsi="Times New Roman"/>
        </w:rPr>
        <w:t>0.271</w:t>
      </w:r>
      <w:r>
        <w:rPr>
          <w:rFonts w:ascii="Times New Roman" w:hAnsi="Times New Roman"/>
          <w:i/>
        </w:rPr>
        <w:t>Q</w:t>
      </w:r>
      <w:r>
        <w:rPr>
          <w:rFonts w:ascii="Times New Roman" w:hAnsi="Times New Roman"/>
          <w:i/>
          <w:position w:val="-5"/>
          <w:sz w:val="14"/>
        </w:rPr>
        <w:t xml:space="preserve">j </w:t>
      </w:r>
      <w:r w:rsidR="00E97427">
        <w:rPr>
          <w:rFonts w:ascii="Times New Roman" w:hAnsi="Times New Roman"/>
        </w:rPr>
        <w:t>）</w:t>
      </w:r>
      <w:r>
        <w:rPr>
          <w:rFonts w:ascii="Times New Roman" w:hAnsi="Times New Roman"/>
        </w:rPr>
        <w:t xml:space="preserve"> </w:t>
      </w:r>
      <w:r>
        <w:rPr>
          <w:rFonts w:ascii="Symbol" w:hAnsi="Symbol"/>
        </w:rPr>
        <w:t></w:t>
      </w:r>
      <w:r>
        <w:rPr>
          <w:rFonts w:ascii="Times New Roman" w:hAnsi="Times New Roman"/>
        </w:rPr>
        <w:t xml:space="preserve"> 0.574 exp</w:t>
      </w:r>
      <w:r w:rsidR="00E97427">
        <w:rPr>
          <w:rFonts w:ascii="Times New Roman" w:hAnsi="Times New Roman"/>
        </w:rPr>
        <w:t>（</w:t>
      </w:r>
      <w:r>
        <w:rPr>
          <w:rFonts w:ascii="Symbol" w:hAnsi="Symbol"/>
        </w:rPr>
        <w:t></w:t>
      </w:r>
      <w:r>
        <w:rPr>
          <w:rFonts w:ascii="Times New Roman" w:hAnsi="Times New Roman"/>
        </w:rPr>
        <w:t>0.00949</w:t>
      </w:r>
      <w:r>
        <w:rPr>
          <w:rFonts w:ascii="Times New Roman" w:hAnsi="Times New Roman"/>
          <w:i/>
        </w:rPr>
        <w:t>Q</w:t>
      </w:r>
      <w:r>
        <w:rPr>
          <w:rFonts w:ascii="Times New Roman" w:hAnsi="Times New Roman"/>
          <w:i/>
          <w:position w:val="-5"/>
          <w:sz w:val="14"/>
        </w:rPr>
        <w:t xml:space="preserve">j </w:t>
      </w:r>
      <w:r w:rsidR="00E97427">
        <w:rPr>
          <w:rFonts w:ascii="Times New Roman" w:hAnsi="Times New Roman"/>
        </w:rPr>
        <w:t>）</w:t>
      </w:r>
    </w:p>
    <w:p w:rsidR="006175A6" w:rsidRDefault="006175A6">
      <w:pPr>
        <w:pStyle w:val="a5"/>
        <w:spacing w:before="8"/>
        <w:ind w:firstLine="420"/>
        <w:rPr>
          <w:rFonts w:ascii="Times New Roman"/>
          <w:sz w:val="21"/>
        </w:rPr>
      </w:pPr>
    </w:p>
    <w:p w:rsidR="006175A6" w:rsidRDefault="009B4BA7">
      <w:pPr>
        <w:ind w:left="1200" w:firstLineChars="25" w:firstLine="60"/>
      </w:pPr>
      <w:r>
        <w:t>式中：</w:t>
      </w:r>
      <w:r>
        <w:rPr>
          <w:rFonts w:eastAsia="Times New Roman"/>
        </w:rPr>
        <w:t>Qj</w:t>
      </w:r>
      <w:r>
        <w:t>——</w:t>
      </w:r>
      <w:r>
        <w:t>水力负荷，</w:t>
      </w:r>
    </w:p>
    <w:p w:rsidR="006175A6" w:rsidRDefault="009B4BA7">
      <w:pPr>
        <w:ind w:left="1200" w:firstLineChars="25" w:firstLine="60"/>
      </w:pPr>
      <w:r>
        <w:rPr>
          <w:rFonts w:eastAsia="Times New Roman"/>
        </w:rPr>
        <w:t>Qj=Q/A</w:t>
      </w:r>
      <w:r>
        <w:t>，（</w:t>
      </w:r>
      <w:r>
        <w:rPr>
          <w:rFonts w:eastAsia="Times New Roman"/>
        </w:rPr>
        <w:t>m/a</w:t>
      </w:r>
      <w:r>
        <w:t>）；</w:t>
      </w:r>
    </w:p>
    <w:p w:rsidR="006175A6" w:rsidRDefault="009B4BA7">
      <w:pPr>
        <w:ind w:left="780" w:firstLine="480"/>
      </w:pPr>
      <w:r>
        <w:rPr>
          <w:rFonts w:eastAsia="Times New Roman"/>
        </w:rPr>
        <w:t>Q</w:t>
      </w:r>
      <w:r>
        <w:t>——</w:t>
      </w:r>
      <w:r>
        <w:t>年入库水量</w:t>
      </w:r>
      <w:r>
        <w:rPr>
          <w:rFonts w:eastAsia="Times New Roman"/>
        </w:rPr>
        <w:t>m</w:t>
      </w:r>
      <w:r>
        <w:rPr>
          <w:rFonts w:eastAsia="Times New Roman"/>
          <w:position w:val="8"/>
          <w:sz w:val="15"/>
        </w:rPr>
        <w:t>3</w:t>
      </w:r>
      <w:r>
        <w:rPr>
          <w:rFonts w:eastAsia="Times New Roman"/>
        </w:rPr>
        <w:t>/a</w:t>
      </w:r>
      <w:r>
        <w:t>；</w:t>
      </w:r>
    </w:p>
    <w:p w:rsidR="006175A6" w:rsidRDefault="009B4BA7">
      <w:pPr>
        <w:ind w:left="784" w:firstLine="476"/>
      </w:pPr>
      <w:r>
        <w:rPr>
          <w:rFonts w:eastAsia="Times New Roman"/>
          <w:spacing w:val="-1"/>
        </w:rPr>
        <w:t>A</w:t>
      </w:r>
      <w:r>
        <w:rPr>
          <w:spacing w:val="-1"/>
        </w:rPr>
        <w:t>——</w:t>
      </w:r>
      <w:r>
        <w:rPr>
          <w:spacing w:val="-1"/>
        </w:rPr>
        <w:t>水库水面面积</w:t>
      </w:r>
      <w:r>
        <w:rPr>
          <w:rFonts w:eastAsia="Times New Roman"/>
        </w:rPr>
        <w:t>m</w:t>
      </w:r>
      <w:r>
        <w:rPr>
          <w:rFonts w:eastAsia="Times New Roman"/>
          <w:position w:val="8"/>
          <w:sz w:val="15"/>
        </w:rPr>
        <w:t>2</w:t>
      </w:r>
      <w:r>
        <w:rPr>
          <w:spacing w:val="-17"/>
        </w:rPr>
        <w:t>。</w:t>
      </w:r>
    </w:p>
    <w:p w:rsidR="006175A6" w:rsidRDefault="009B4BA7">
      <w:pPr>
        <w:ind w:firstLine="460"/>
        <w:rPr>
          <w:spacing w:val="-5"/>
        </w:rPr>
      </w:pPr>
      <w:r>
        <w:rPr>
          <w:spacing w:val="-5"/>
        </w:rPr>
        <w:t>模型中各种参数取值见</w:t>
      </w:r>
      <w:r>
        <w:rPr>
          <w:spacing w:val="-5"/>
        </w:rPr>
        <w:fldChar w:fldCharType="begin"/>
      </w:r>
      <w:r>
        <w:rPr>
          <w:spacing w:val="-5"/>
        </w:rPr>
        <w:instrText xml:space="preserve"> REF _Ref79246502 \h </w:instrText>
      </w:r>
      <w:r>
        <w:rPr>
          <w:spacing w:val="-5"/>
        </w:rPr>
      </w:r>
      <w:r>
        <w:rPr>
          <w:spacing w:val="-5"/>
        </w:rPr>
        <w:fldChar w:fldCharType="separate"/>
      </w:r>
      <w:r w:rsidR="00E97427">
        <w:rPr>
          <w:rFonts w:hint="eastAsia"/>
        </w:rPr>
        <w:t>表</w:t>
      </w:r>
      <w:r w:rsidR="00E97427">
        <w:rPr>
          <w:rFonts w:hint="eastAsia"/>
        </w:rPr>
        <w:t xml:space="preserve"> </w:t>
      </w:r>
      <w:r w:rsidR="00E97427">
        <w:rPr>
          <w:noProof/>
        </w:rPr>
        <w:t>6.4</w:t>
      </w:r>
      <w:r w:rsidR="00E97427">
        <w:noBreakHyphen/>
      </w:r>
      <w:r w:rsidR="00E97427">
        <w:rPr>
          <w:noProof/>
        </w:rPr>
        <w:t>1</w:t>
      </w:r>
      <w:r>
        <w:rPr>
          <w:spacing w:val="-5"/>
        </w:rPr>
        <w:fldChar w:fldCharType="end"/>
      </w:r>
      <w:r>
        <w:rPr>
          <w:rFonts w:hint="eastAsia"/>
          <w:spacing w:val="-5"/>
        </w:rPr>
        <w:t>。</w:t>
      </w:r>
    </w:p>
    <w:p w:rsidR="006175A6" w:rsidRDefault="009B4BA7">
      <w:pPr>
        <w:pStyle w:val="a3"/>
        <w:rPr>
          <w:spacing w:val="-5"/>
        </w:rPr>
      </w:pPr>
      <w:bookmarkStart w:id="69" w:name="_Ref79246502"/>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69"/>
      <w:r>
        <w:rPr>
          <w:rFonts w:hint="eastAsia"/>
        </w:rPr>
        <w:t xml:space="preserve">  </w:t>
      </w:r>
      <w:r>
        <w:rPr>
          <w:rFonts w:hint="eastAsia"/>
        </w:rPr>
        <w:t>两河口水库富营养化预测参数</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379"/>
        <w:gridCol w:w="1379"/>
        <w:gridCol w:w="1261"/>
        <w:gridCol w:w="1109"/>
        <w:gridCol w:w="695"/>
        <w:gridCol w:w="813"/>
        <w:gridCol w:w="692"/>
      </w:tblGrid>
      <w:tr w:rsidR="006175A6">
        <w:trPr>
          <w:trHeight w:val="340"/>
        </w:trPr>
        <w:tc>
          <w:tcPr>
            <w:tcW w:w="594" w:type="pct"/>
            <w:vAlign w:val="center"/>
          </w:tcPr>
          <w:p w:rsidR="006175A6" w:rsidRDefault="009B4BA7">
            <w:pPr>
              <w:pStyle w:val="TableParagraph"/>
              <w:rPr>
                <w:sz w:val="21"/>
              </w:rPr>
            </w:pPr>
            <w:r>
              <w:rPr>
                <w:sz w:val="21"/>
              </w:rPr>
              <w:lastRenderedPageBreak/>
              <w:t>项目</w:t>
            </w:r>
          </w:p>
        </w:tc>
        <w:tc>
          <w:tcPr>
            <w:tcW w:w="829" w:type="pct"/>
            <w:vAlign w:val="center"/>
          </w:tcPr>
          <w:p w:rsidR="006175A6" w:rsidRDefault="009B4BA7">
            <w:pPr>
              <w:pStyle w:val="TableParagraph"/>
              <w:rPr>
                <w:rFonts w:ascii="Times New Roman" w:hAnsi="Times New Roman"/>
                <w:sz w:val="21"/>
              </w:rPr>
            </w:pPr>
            <w:r>
              <w:rPr>
                <w:rFonts w:ascii="Times New Roman" w:hAnsi="Times New Roman"/>
                <w:position w:val="2"/>
                <w:sz w:val="21"/>
              </w:rPr>
              <w:t>Q</w:t>
            </w:r>
            <w:r>
              <w:rPr>
                <w:rFonts w:ascii="Times New Roman" w:hAnsi="Times New Roman"/>
                <w:position w:val="2"/>
                <w:sz w:val="21"/>
                <w:vertAlign w:val="subscript"/>
              </w:rPr>
              <w:t>α</w:t>
            </w:r>
            <w:r w:rsidR="00E97427">
              <w:rPr>
                <w:rFonts w:ascii="Times New Roman" w:hAnsi="Times New Roman"/>
                <w:position w:val="2"/>
                <w:sz w:val="21"/>
              </w:rPr>
              <w:t>（</w:t>
            </w:r>
            <w:r>
              <w:rPr>
                <w:rFonts w:ascii="Times New Roman" w:hAnsi="Times New Roman"/>
                <w:position w:val="2"/>
                <w:sz w:val="21"/>
              </w:rPr>
              <w:t>m</w:t>
            </w:r>
            <w:r>
              <w:rPr>
                <w:rFonts w:ascii="Times New Roman" w:hAnsi="Times New Roman"/>
                <w:position w:val="2"/>
                <w:sz w:val="21"/>
                <w:vertAlign w:val="superscript"/>
              </w:rPr>
              <w:t>3</w:t>
            </w:r>
            <w:r w:rsidR="00E97427">
              <w:rPr>
                <w:rFonts w:ascii="Times New Roman" w:hAnsi="Times New Roman"/>
                <w:position w:val="2"/>
                <w:sz w:val="21"/>
              </w:rPr>
              <w:t>）</w:t>
            </w:r>
          </w:p>
        </w:tc>
        <w:tc>
          <w:tcPr>
            <w:tcW w:w="829" w:type="pct"/>
            <w:vAlign w:val="center"/>
          </w:tcPr>
          <w:p w:rsidR="006175A6" w:rsidRDefault="009B4BA7">
            <w:pPr>
              <w:pStyle w:val="TableParagraph"/>
              <w:rPr>
                <w:rFonts w:ascii="Times New Roman"/>
                <w:sz w:val="21"/>
              </w:rPr>
            </w:pPr>
            <w:r>
              <w:rPr>
                <w:rFonts w:ascii="Times New Roman"/>
                <w:sz w:val="21"/>
              </w:rPr>
              <w:t>V</w:t>
            </w:r>
            <w:r w:rsidR="00E97427">
              <w:rPr>
                <w:rFonts w:ascii="Times New Roman"/>
                <w:sz w:val="21"/>
              </w:rPr>
              <w:t>（</w:t>
            </w:r>
            <w:r>
              <w:rPr>
                <w:rFonts w:ascii="Times New Roman"/>
                <w:sz w:val="21"/>
              </w:rPr>
              <w:t>m</w:t>
            </w:r>
            <w:r>
              <w:rPr>
                <w:rFonts w:ascii="Times New Roman"/>
                <w:position w:val="7"/>
                <w:sz w:val="13"/>
              </w:rPr>
              <w:t>3</w:t>
            </w:r>
            <w:r w:rsidR="00E97427">
              <w:rPr>
                <w:rFonts w:ascii="Times New Roman"/>
                <w:sz w:val="21"/>
              </w:rPr>
              <w:t>）</w:t>
            </w:r>
          </w:p>
        </w:tc>
        <w:tc>
          <w:tcPr>
            <w:tcW w:w="758" w:type="pct"/>
            <w:vAlign w:val="center"/>
          </w:tcPr>
          <w:p w:rsidR="006175A6" w:rsidRDefault="009B4BA7">
            <w:pPr>
              <w:pStyle w:val="TableParagraph"/>
              <w:rPr>
                <w:rFonts w:ascii="Times New Roman"/>
                <w:sz w:val="21"/>
              </w:rPr>
            </w:pPr>
            <w:r>
              <w:rPr>
                <w:rFonts w:ascii="Times New Roman"/>
                <w:sz w:val="21"/>
              </w:rPr>
              <w:t>A</w:t>
            </w:r>
            <w:r w:rsidR="00E97427">
              <w:rPr>
                <w:rFonts w:ascii="Times New Roman"/>
                <w:sz w:val="21"/>
              </w:rPr>
              <w:t>（</w:t>
            </w:r>
            <w:r>
              <w:rPr>
                <w:rFonts w:ascii="Times New Roman"/>
                <w:sz w:val="21"/>
              </w:rPr>
              <w:t>m</w:t>
            </w:r>
            <w:r>
              <w:rPr>
                <w:rFonts w:ascii="Times New Roman"/>
                <w:position w:val="7"/>
                <w:sz w:val="13"/>
              </w:rPr>
              <w:t>2</w:t>
            </w:r>
            <w:r w:rsidR="00E97427">
              <w:rPr>
                <w:rFonts w:ascii="Times New Roman"/>
                <w:sz w:val="21"/>
              </w:rPr>
              <w:t>）</w:t>
            </w:r>
          </w:p>
        </w:tc>
        <w:tc>
          <w:tcPr>
            <w:tcW w:w="667" w:type="pct"/>
            <w:vAlign w:val="center"/>
          </w:tcPr>
          <w:p w:rsidR="006175A6" w:rsidRDefault="009B4BA7">
            <w:pPr>
              <w:pStyle w:val="TableParagraph"/>
              <w:rPr>
                <w:rFonts w:ascii="Times New Roman"/>
                <w:sz w:val="21"/>
              </w:rPr>
            </w:pPr>
            <w:r>
              <w:rPr>
                <w:rFonts w:ascii="Times New Roman"/>
                <w:sz w:val="21"/>
              </w:rPr>
              <w:t>h</w:t>
            </w:r>
            <w:r w:rsidR="00E97427">
              <w:rPr>
                <w:rFonts w:ascii="Times New Roman"/>
                <w:sz w:val="21"/>
              </w:rPr>
              <w:t>（</w:t>
            </w:r>
            <w:r>
              <w:rPr>
                <w:rFonts w:ascii="Times New Roman"/>
                <w:sz w:val="21"/>
              </w:rPr>
              <w:t>m</w:t>
            </w:r>
            <w:r w:rsidR="00E97427">
              <w:rPr>
                <w:rFonts w:ascii="Times New Roman"/>
                <w:sz w:val="21"/>
              </w:rPr>
              <w:t>）</w:t>
            </w:r>
          </w:p>
        </w:tc>
        <w:tc>
          <w:tcPr>
            <w:tcW w:w="418" w:type="pct"/>
            <w:vAlign w:val="center"/>
          </w:tcPr>
          <w:p w:rsidR="006175A6" w:rsidRDefault="009B4BA7">
            <w:pPr>
              <w:pStyle w:val="TableParagraph"/>
              <w:rPr>
                <w:rFonts w:ascii="Times New Roman" w:hAnsi="Times New Roman"/>
                <w:sz w:val="21"/>
              </w:rPr>
            </w:pPr>
            <w:r>
              <w:rPr>
                <w:rFonts w:ascii="Times New Roman" w:hAnsi="Times New Roman"/>
                <w:sz w:val="21"/>
              </w:rPr>
              <w:t>β</w:t>
            </w:r>
          </w:p>
        </w:tc>
        <w:tc>
          <w:tcPr>
            <w:tcW w:w="489" w:type="pct"/>
            <w:vAlign w:val="center"/>
          </w:tcPr>
          <w:p w:rsidR="006175A6" w:rsidRDefault="009B4BA7">
            <w:pPr>
              <w:pStyle w:val="TableParagraph"/>
              <w:rPr>
                <w:rFonts w:ascii="Times New Roman"/>
                <w:sz w:val="21"/>
              </w:rPr>
            </w:pPr>
            <w:r>
              <w:rPr>
                <w:rFonts w:ascii="Times New Roman"/>
                <w:sz w:val="21"/>
              </w:rPr>
              <w:t>Qj</w:t>
            </w:r>
          </w:p>
        </w:tc>
        <w:tc>
          <w:tcPr>
            <w:tcW w:w="416" w:type="pct"/>
            <w:vAlign w:val="center"/>
          </w:tcPr>
          <w:p w:rsidR="006175A6" w:rsidRDefault="009B4BA7">
            <w:pPr>
              <w:pStyle w:val="TableParagraph"/>
              <w:rPr>
                <w:rFonts w:ascii="Times New Roman"/>
                <w:sz w:val="21"/>
              </w:rPr>
            </w:pPr>
            <w:r>
              <w:rPr>
                <w:rFonts w:ascii="Times New Roman"/>
                <w:sz w:val="21"/>
              </w:rPr>
              <w:t>Rp</w:t>
            </w:r>
          </w:p>
        </w:tc>
      </w:tr>
      <w:tr w:rsidR="006175A6">
        <w:trPr>
          <w:trHeight w:val="340"/>
        </w:trPr>
        <w:tc>
          <w:tcPr>
            <w:tcW w:w="594" w:type="pct"/>
            <w:vAlign w:val="center"/>
          </w:tcPr>
          <w:p w:rsidR="006175A6" w:rsidRDefault="009B4BA7">
            <w:pPr>
              <w:pStyle w:val="TableParagraph"/>
              <w:rPr>
                <w:sz w:val="21"/>
              </w:rPr>
            </w:pPr>
            <w:r>
              <w:rPr>
                <w:sz w:val="21"/>
              </w:rPr>
              <w:t>参数值</w:t>
            </w:r>
          </w:p>
        </w:tc>
        <w:tc>
          <w:tcPr>
            <w:tcW w:w="829" w:type="pct"/>
            <w:vAlign w:val="center"/>
          </w:tcPr>
          <w:p w:rsidR="006175A6" w:rsidRDefault="009B4BA7">
            <w:pPr>
              <w:pStyle w:val="TableParagraph"/>
              <w:rPr>
                <w:rFonts w:ascii="Times New Roman" w:hAnsi="Times New Roman"/>
                <w:sz w:val="13"/>
              </w:rPr>
            </w:pPr>
            <w:r>
              <w:rPr>
                <w:rFonts w:ascii="Times New Roman" w:hAnsi="Times New Roman"/>
                <w:sz w:val="21"/>
              </w:rPr>
              <w:t>0.</w:t>
            </w:r>
            <w:r>
              <w:rPr>
                <w:rFonts w:ascii="Times New Roman" w:hAnsi="Times New Roman" w:hint="eastAsia"/>
                <w:sz w:val="21"/>
                <w:lang w:eastAsia="zh-CN"/>
              </w:rPr>
              <w:t>492</w:t>
            </w:r>
            <w:r>
              <w:rPr>
                <w:rFonts w:ascii="Times New Roman" w:hAnsi="Times New Roman"/>
                <w:sz w:val="21"/>
              </w:rPr>
              <w:t>×10</w:t>
            </w:r>
            <w:r>
              <w:rPr>
                <w:rFonts w:ascii="Times New Roman" w:hAnsi="Times New Roman"/>
                <w:position w:val="7"/>
                <w:sz w:val="13"/>
              </w:rPr>
              <w:t>8</w:t>
            </w:r>
          </w:p>
        </w:tc>
        <w:tc>
          <w:tcPr>
            <w:tcW w:w="829" w:type="pct"/>
            <w:vAlign w:val="center"/>
          </w:tcPr>
          <w:p w:rsidR="006175A6" w:rsidRDefault="009B4BA7">
            <w:pPr>
              <w:pStyle w:val="TableParagraph"/>
              <w:rPr>
                <w:rFonts w:ascii="Times New Roman" w:hAnsi="Times New Roman"/>
                <w:sz w:val="13"/>
                <w:lang w:eastAsia="zh-CN"/>
              </w:rPr>
            </w:pPr>
            <w:r>
              <w:rPr>
                <w:rFonts w:ascii="Times New Roman" w:hAnsi="Times New Roman"/>
                <w:sz w:val="21"/>
              </w:rPr>
              <w:t>0.</w:t>
            </w:r>
            <w:r>
              <w:rPr>
                <w:rFonts w:ascii="Times New Roman" w:hAnsi="Times New Roman" w:hint="eastAsia"/>
                <w:sz w:val="21"/>
                <w:lang w:eastAsia="zh-CN"/>
              </w:rPr>
              <w:t>1075</w:t>
            </w:r>
            <w:r>
              <w:rPr>
                <w:rFonts w:ascii="Times New Roman" w:hAnsi="Times New Roman"/>
                <w:sz w:val="21"/>
              </w:rPr>
              <w:t>×10</w:t>
            </w:r>
            <w:r>
              <w:rPr>
                <w:rFonts w:ascii="Times New Roman" w:hAnsi="Times New Roman"/>
                <w:position w:val="7"/>
                <w:sz w:val="13"/>
              </w:rPr>
              <w:t>8</w:t>
            </w:r>
          </w:p>
        </w:tc>
        <w:tc>
          <w:tcPr>
            <w:tcW w:w="758" w:type="pct"/>
            <w:vAlign w:val="center"/>
          </w:tcPr>
          <w:p w:rsidR="006175A6" w:rsidRDefault="009B4BA7">
            <w:pPr>
              <w:pStyle w:val="TableParagraph"/>
              <w:rPr>
                <w:rFonts w:ascii="Times New Roman" w:hAnsi="Times New Roman"/>
                <w:sz w:val="13"/>
              </w:rPr>
            </w:pPr>
            <w:r>
              <w:rPr>
                <w:rFonts w:ascii="Times New Roman" w:hAnsi="Times New Roman" w:hint="eastAsia"/>
                <w:sz w:val="21"/>
                <w:lang w:eastAsia="zh-CN"/>
              </w:rPr>
              <w:t>0.39</w:t>
            </w:r>
            <w:r>
              <w:rPr>
                <w:rFonts w:ascii="Times New Roman" w:hAnsi="Times New Roman"/>
                <w:sz w:val="21"/>
              </w:rPr>
              <w:t>×10</w:t>
            </w:r>
            <w:r>
              <w:rPr>
                <w:rFonts w:ascii="Times New Roman" w:hAnsi="Times New Roman"/>
                <w:position w:val="7"/>
                <w:sz w:val="13"/>
              </w:rPr>
              <w:t>6</w:t>
            </w:r>
          </w:p>
        </w:tc>
        <w:tc>
          <w:tcPr>
            <w:tcW w:w="667" w:type="pct"/>
            <w:vAlign w:val="center"/>
          </w:tcPr>
          <w:p w:rsidR="006175A6" w:rsidRDefault="009B4BA7">
            <w:pPr>
              <w:pStyle w:val="TableParagraph"/>
              <w:rPr>
                <w:rFonts w:ascii="Times New Roman"/>
                <w:sz w:val="21"/>
                <w:lang w:eastAsia="zh-CN"/>
              </w:rPr>
            </w:pPr>
            <w:r>
              <w:rPr>
                <w:rFonts w:ascii="Times New Roman" w:hint="eastAsia"/>
                <w:sz w:val="21"/>
                <w:lang w:eastAsia="zh-CN"/>
              </w:rPr>
              <w:t>27.6</w:t>
            </w:r>
          </w:p>
        </w:tc>
        <w:tc>
          <w:tcPr>
            <w:tcW w:w="418" w:type="pct"/>
            <w:vAlign w:val="center"/>
          </w:tcPr>
          <w:p w:rsidR="006175A6" w:rsidRDefault="009B4BA7">
            <w:pPr>
              <w:pStyle w:val="TableParagraph"/>
              <w:rPr>
                <w:rFonts w:ascii="Times New Roman"/>
                <w:sz w:val="21"/>
                <w:lang w:eastAsia="zh-CN"/>
              </w:rPr>
            </w:pPr>
            <w:r>
              <w:rPr>
                <w:rFonts w:ascii="Times New Roman" w:hint="eastAsia"/>
                <w:sz w:val="21"/>
                <w:lang w:eastAsia="zh-CN"/>
              </w:rPr>
              <w:t>4.58</w:t>
            </w:r>
          </w:p>
        </w:tc>
        <w:tc>
          <w:tcPr>
            <w:tcW w:w="489" w:type="pct"/>
            <w:vAlign w:val="center"/>
          </w:tcPr>
          <w:p w:rsidR="006175A6" w:rsidRDefault="009B4BA7">
            <w:pPr>
              <w:pStyle w:val="TableParagraph"/>
              <w:rPr>
                <w:rFonts w:ascii="Times New Roman"/>
                <w:sz w:val="21"/>
                <w:lang w:eastAsia="zh-CN"/>
              </w:rPr>
            </w:pPr>
            <w:r>
              <w:rPr>
                <w:rFonts w:ascii="Times New Roman" w:hint="eastAsia"/>
                <w:sz w:val="21"/>
                <w:lang w:eastAsia="zh-CN"/>
              </w:rPr>
              <w:t>126.15</w:t>
            </w:r>
          </w:p>
        </w:tc>
        <w:tc>
          <w:tcPr>
            <w:tcW w:w="416" w:type="pct"/>
            <w:vAlign w:val="center"/>
          </w:tcPr>
          <w:p w:rsidR="006175A6" w:rsidRDefault="009B4BA7">
            <w:pPr>
              <w:pStyle w:val="TableParagraph"/>
              <w:rPr>
                <w:rFonts w:ascii="Times New Roman"/>
                <w:sz w:val="21"/>
                <w:lang w:eastAsia="zh-CN"/>
              </w:rPr>
            </w:pPr>
            <w:r>
              <w:rPr>
                <w:rFonts w:ascii="Times New Roman"/>
                <w:sz w:val="21"/>
              </w:rPr>
              <w:t>0.</w:t>
            </w:r>
            <w:r>
              <w:rPr>
                <w:rFonts w:ascii="Times New Roman" w:hint="eastAsia"/>
                <w:sz w:val="21"/>
                <w:lang w:eastAsia="zh-CN"/>
              </w:rPr>
              <w:t>17</w:t>
            </w:r>
          </w:p>
        </w:tc>
      </w:tr>
    </w:tbl>
    <w:p w:rsidR="006175A6" w:rsidRDefault="009B4BA7">
      <w:pPr>
        <w:ind w:firstLine="460"/>
        <w:rPr>
          <w:spacing w:val="-5"/>
        </w:rPr>
      </w:pPr>
      <w:r>
        <w:rPr>
          <w:rFonts w:hint="eastAsia"/>
          <w:spacing w:val="-5"/>
        </w:rPr>
        <w:t>根据</w:t>
      </w:r>
      <w:r>
        <w:rPr>
          <w:rFonts w:hint="eastAsia"/>
          <w:spacing w:val="-5"/>
        </w:rPr>
        <w:t>5.3.2.2</w:t>
      </w:r>
      <w:r>
        <w:rPr>
          <w:rFonts w:hint="eastAsia"/>
          <w:spacing w:val="-5"/>
        </w:rPr>
        <w:t>小节，水库运行后，入库的氮、磷负荷总量分别为</w:t>
      </w:r>
      <w:r>
        <w:rPr>
          <w:rFonts w:hint="eastAsia"/>
          <w:spacing w:val="-5"/>
        </w:rPr>
        <w:t xml:space="preserve">13.18t/a </w:t>
      </w:r>
      <w:r>
        <w:rPr>
          <w:rFonts w:hint="eastAsia"/>
          <w:spacing w:val="-5"/>
        </w:rPr>
        <w:t>和</w:t>
      </w:r>
      <w:r>
        <w:rPr>
          <w:rFonts w:hint="eastAsia"/>
          <w:spacing w:val="-5"/>
        </w:rPr>
        <w:t>1.41t/a</w:t>
      </w:r>
      <w:r>
        <w:rPr>
          <w:rFonts w:hint="eastAsia"/>
          <w:spacing w:val="-5"/>
        </w:rPr>
        <w:t>。将以上数据及各类参数带入狄龙模型计算得知：水库运行后，库水中氮的年平均浓度为</w:t>
      </w:r>
      <w:r>
        <w:rPr>
          <w:rFonts w:hint="eastAsia"/>
          <w:spacing w:val="-5"/>
        </w:rPr>
        <w:t xml:space="preserve"> 0.221mg/L</w:t>
      </w:r>
      <w:r>
        <w:rPr>
          <w:rFonts w:hint="eastAsia"/>
          <w:spacing w:val="-5"/>
        </w:rPr>
        <w:t>，磷的平均浓度为</w:t>
      </w:r>
      <w:r>
        <w:rPr>
          <w:rFonts w:hint="eastAsia"/>
          <w:spacing w:val="-5"/>
        </w:rPr>
        <w:t xml:space="preserve"> 0.024mg/L</w:t>
      </w:r>
      <w:r>
        <w:rPr>
          <w:rFonts w:hint="eastAsia"/>
          <w:spacing w:val="-5"/>
        </w:rPr>
        <w:t>。对照《地表水环境质量标准》</w:t>
      </w:r>
      <w:r w:rsidR="00E97427">
        <w:rPr>
          <w:rFonts w:hint="eastAsia"/>
          <w:spacing w:val="-5"/>
        </w:rPr>
        <w:t>（</w:t>
      </w:r>
      <w:r>
        <w:rPr>
          <w:rFonts w:hint="eastAsia"/>
          <w:spacing w:val="-5"/>
        </w:rPr>
        <w:t>GB3838-2002</w:t>
      </w:r>
      <w:r w:rsidR="00E97427">
        <w:rPr>
          <w:rFonts w:hint="eastAsia"/>
          <w:spacing w:val="-5"/>
        </w:rPr>
        <w:t>）（</w:t>
      </w:r>
      <w:r>
        <w:rPr>
          <w:rFonts w:hint="eastAsia"/>
          <w:spacing w:val="-5"/>
        </w:rPr>
        <w:t>TN</w:t>
      </w:r>
      <w:r>
        <w:rPr>
          <w:rFonts w:hint="eastAsia"/>
          <w:spacing w:val="-5"/>
        </w:rPr>
        <w:t>≤</w:t>
      </w:r>
      <w:r>
        <w:rPr>
          <w:rFonts w:hint="eastAsia"/>
          <w:spacing w:val="-5"/>
        </w:rPr>
        <w:t>0.5mg/L</w:t>
      </w:r>
      <w:r>
        <w:rPr>
          <w:rFonts w:hint="eastAsia"/>
          <w:spacing w:val="-5"/>
        </w:rPr>
        <w:t>，</w:t>
      </w:r>
      <w:r>
        <w:rPr>
          <w:rFonts w:hint="eastAsia"/>
          <w:spacing w:val="-5"/>
        </w:rPr>
        <w:t>TP</w:t>
      </w:r>
      <w:r>
        <w:rPr>
          <w:rFonts w:hint="eastAsia"/>
          <w:spacing w:val="-5"/>
        </w:rPr>
        <w:t>≤</w:t>
      </w:r>
      <w:r>
        <w:rPr>
          <w:rFonts w:hint="eastAsia"/>
          <w:spacing w:val="-5"/>
        </w:rPr>
        <w:t>0.025mg/L</w:t>
      </w:r>
      <w:r w:rsidR="00E97427">
        <w:rPr>
          <w:rFonts w:hint="eastAsia"/>
          <w:spacing w:val="-5"/>
        </w:rPr>
        <w:t>）</w:t>
      </w:r>
      <w:r>
        <w:rPr>
          <w:rFonts w:hint="eastAsia"/>
          <w:spacing w:val="-5"/>
        </w:rPr>
        <w:t>，表明两河口水库运行导致富营养化的可能性较小，水库建成后水体水质满足</w:t>
      </w:r>
      <w:r>
        <w:rPr>
          <w:rFonts w:hint="eastAsia"/>
          <w:spacing w:val="-5"/>
        </w:rPr>
        <w:t>II</w:t>
      </w:r>
      <w:r>
        <w:rPr>
          <w:rFonts w:hint="eastAsia"/>
          <w:spacing w:val="-5"/>
        </w:rPr>
        <w:t>类水质标准要求。</w:t>
      </w:r>
    </w:p>
    <w:p w:rsidR="006175A6" w:rsidRDefault="009B4BA7">
      <w:pPr>
        <w:ind w:firstLine="460"/>
        <w:rPr>
          <w:spacing w:val="-5"/>
        </w:rPr>
      </w:pPr>
      <w:r>
        <w:rPr>
          <w:rFonts w:hint="eastAsia"/>
          <w:spacing w:val="-5"/>
        </w:rPr>
        <w:t>由于两河口水库属深水型水库，为不完全年调节水库，调节性能强，一定时期内不会有富营养化趋势。为确保水质，防止水库长期运行昌盛富营养化趋势，应加强水库管理。为确保供水水质满足要求，保证人民生命健康，水库建成后必须按水源地的要求进行严格管理。落实流域水土保持治理工作，推广节水灌溉与合理施肥，控制上游人居生活污染物不直接排入河道，从各种途径降低库区面源污染。同时水库设置冲沙设施，在汛期控沙排浑，减少库内泥沙淤积。</w:t>
      </w:r>
    </w:p>
    <w:p w:rsidR="006175A6" w:rsidRDefault="009B4BA7">
      <w:pPr>
        <w:pStyle w:val="3"/>
      </w:pPr>
      <w:r>
        <w:rPr>
          <w:rFonts w:hint="eastAsia"/>
        </w:rPr>
        <w:t>水库水温的预测</w:t>
      </w:r>
    </w:p>
    <w:p w:rsidR="006175A6" w:rsidRDefault="009B4BA7">
      <w:pPr>
        <w:pStyle w:val="4"/>
      </w:pPr>
      <w:r>
        <w:rPr>
          <w:rFonts w:hint="eastAsia"/>
        </w:rPr>
        <w:t>水库水温结构</w:t>
      </w:r>
    </w:p>
    <w:p w:rsidR="006175A6" w:rsidRDefault="009B4BA7">
      <w:pPr>
        <w:ind w:firstLine="480"/>
      </w:pPr>
      <w:r>
        <w:rPr>
          <w:rFonts w:hint="eastAsia"/>
        </w:rPr>
        <w:t>受太阳辐射、库容、来水量、水库调度方式等制约，水库中不同水深处的水温是不同的，一般可将水库分为混合型、分层型和过渡性</w:t>
      </w:r>
      <w:r>
        <w:rPr>
          <w:rFonts w:hint="eastAsia"/>
        </w:rPr>
        <w:t>3</w:t>
      </w:r>
      <w:r>
        <w:rPr>
          <w:rFonts w:hint="eastAsia"/>
        </w:rPr>
        <w:t>种。</w:t>
      </w:r>
    </w:p>
    <w:p w:rsidR="006175A6" w:rsidRDefault="009B4BA7">
      <w:pPr>
        <w:ind w:firstLine="480"/>
      </w:pPr>
      <w:r>
        <w:rPr>
          <w:rFonts w:hint="eastAsia"/>
        </w:rPr>
        <w:t>（</w:t>
      </w:r>
      <w:r>
        <w:rPr>
          <w:rFonts w:hint="eastAsia"/>
        </w:rPr>
        <w:t>1</w:t>
      </w:r>
      <w:r>
        <w:rPr>
          <w:rFonts w:hint="eastAsia"/>
        </w:rPr>
        <w:t>）混合型</w:t>
      </w:r>
      <w:r w:rsidR="00E97427">
        <w:rPr>
          <w:rFonts w:hint="eastAsia"/>
        </w:rPr>
        <w:t>（</w:t>
      </w:r>
      <w:r>
        <w:rPr>
          <w:rFonts w:hint="eastAsia"/>
        </w:rPr>
        <w:t>等温型</w:t>
      </w:r>
      <w:r w:rsidR="00E97427">
        <w:rPr>
          <w:rFonts w:hint="eastAsia"/>
        </w:rPr>
        <w:t>）</w:t>
      </w:r>
      <w:r>
        <w:rPr>
          <w:rFonts w:hint="eastAsia"/>
        </w:rPr>
        <w:t>：水库在任何时间水温分布比较均匀，水温梯度很小；</w:t>
      </w:r>
    </w:p>
    <w:p w:rsidR="006175A6" w:rsidRDefault="009B4BA7">
      <w:pPr>
        <w:ind w:firstLine="480"/>
      </w:pPr>
      <w:r>
        <w:rPr>
          <w:rFonts w:hint="eastAsia"/>
        </w:rPr>
        <w:t>（</w:t>
      </w:r>
      <w:r>
        <w:rPr>
          <w:rFonts w:hint="eastAsia"/>
        </w:rPr>
        <w:t>2</w:t>
      </w:r>
      <w:r>
        <w:rPr>
          <w:rFonts w:hint="eastAsia"/>
        </w:rPr>
        <w:t>）分层型：升温期水库表面水温明显高于中下层水温而出现温度分层，梯度可达</w:t>
      </w:r>
      <w:r>
        <w:rPr>
          <w:rFonts w:hint="eastAsia"/>
        </w:rPr>
        <w:t>15</w:t>
      </w:r>
      <w:r>
        <w:rPr>
          <w:rFonts w:hint="eastAsia"/>
        </w:rPr>
        <w:t>℃以上。库底层水温年较差一般不超过</w:t>
      </w:r>
      <w:r>
        <w:rPr>
          <w:rFonts w:hint="eastAsia"/>
        </w:rPr>
        <w:t>15</w:t>
      </w:r>
      <w:r>
        <w:rPr>
          <w:rFonts w:hint="eastAsia"/>
        </w:rPr>
        <w:t>℃。</w:t>
      </w:r>
    </w:p>
    <w:p w:rsidR="006175A6" w:rsidRDefault="009B4BA7">
      <w:pPr>
        <w:ind w:firstLine="480"/>
      </w:pPr>
      <w:r>
        <w:rPr>
          <w:rFonts w:hint="eastAsia"/>
        </w:rPr>
        <w:t>（</w:t>
      </w:r>
      <w:r>
        <w:rPr>
          <w:rFonts w:hint="eastAsia"/>
        </w:rPr>
        <w:t>3</w:t>
      </w:r>
      <w:r>
        <w:rPr>
          <w:rFonts w:hint="eastAsia"/>
        </w:rPr>
        <w:t>）过渡型：水库水温同时兼有混合型和分层型水库特征。</w:t>
      </w:r>
    </w:p>
    <w:p w:rsidR="006175A6" w:rsidRDefault="009B4BA7">
      <w:pPr>
        <w:pStyle w:val="4"/>
      </w:pPr>
      <w:r>
        <w:rPr>
          <w:rFonts w:hint="eastAsia"/>
        </w:rPr>
        <w:t>水库水温类型判定</w:t>
      </w:r>
    </w:p>
    <w:p w:rsidR="006175A6" w:rsidRDefault="009B4BA7">
      <w:pPr>
        <w:ind w:firstLine="480"/>
      </w:pPr>
      <w:r>
        <w:rPr>
          <w:rFonts w:hint="eastAsia"/>
        </w:rPr>
        <w:t>关于水温类型判定，采用《水利水电工程水文计算规范》</w:t>
      </w:r>
      <w:r w:rsidR="00E97427">
        <w:rPr>
          <w:rFonts w:hint="eastAsia"/>
        </w:rPr>
        <w:t>（</w:t>
      </w:r>
      <w:r>
        <w:rPr>
          <w:rFonts w:hint="eastAsia"/>
        </w:rPr>
        <w:t>SL278</w:t>
      </w:r>
      <w:r>
        <w:rPr>
          <w:rFonts w:hint="eastAsia"/>
        </w:rPr>
        <w:t>—</w:t>
      </w:r>
      <w:r>
        <w:rPr>
          <w:rFonts w:hint="eastAsia"/>
        </w:rPr>
        <w:t>2002</w:t>
      </w:r>
      <w:r w:rsidR="00E97427">
        <w:rPr>
          <w:rFonts w:hint="eastAsia"/>
        </w:rPr>
        <w:t>）</w:t>
      </w:r>
      <w:r>
        <w:rPr>
          <w:rFonts w:hint="eastAsia"/>
        </w:rPr>
        <w:t xml:space="preserve"> </w:t>
      </w:r>
      <w:r>
        <w:rPr>
          <w:rFonts w:hint="eastAsia"/>
        </w:rPr>
        <w:t>中推荐的判别公式对水文结构进行判别，即先由下式求得α值，然后根据</w:t>
      </w:r>
      <w:r>
        <w:fldChar w:fldCharType="begin"/>
      </w:r>
      <w:r>
        <w:instrText xml:space="preserve"> </w:instrText>
      </w:r>
      <w:r>
        <w:rPr>
          <w:rFonts w:hint="eastAsia"/>
        </w:rPr>
        <w:instrText>REF _Ref79492556 \h</w:instrText>
      </w:r>
      <w:r>
        <w:instrText xml:space="preserve"> </w:instrText>
      </w:r>
      <w:r>
        <w:fldChar w:fldCharType="separate"/>
      </w:r>
      <w:r w:rsidR="00E97427">
        <w:rPr>
          <w:rFonts w:hint="eastAsia"/>
        </w:rPr>
        <w:t>表</w:t>
      </w:r>
      <w:r w:rsidR="00E97427">
        <w:rPr>
          <w:rFonts w:hint="eastAsia"/>
        </w:rPr>
        <w:t xml:space="preserve"> </w:t>
      </w:r>
      <w:r w:rsidR="00E97427">
        <w:rPr>
          <w:noProof/>
        </w:rPr>
        <w:t>6.4</w:t>
      </w:r>
      <w:r w:rsidR="00E97427">
        <w:noBreakHyphen/>
      </w:r>
      <w:r w:rsidR="00E97427">
        <w:rPr>
          <w:noProof/>
        </w:rPr>
        <w:t>2</w:t>
      </w:r>
      <w:r>
        <w:fldChar w:fldCharType="end"/>
      </w:r>
      <w:r>
        <w:rPr>
          <w:rFonts w:hint="eastAsia"/>
        </w:rPr>
        <w:t>所列值判定。</w:t>
      </w:r>
    </w:p>
    <w:p w:rsidR="006175A6" w:rsidRDefault="009B4BA7">
      <w:pPr>
        <w:ind w:firstLine="480"/>
      </w:pPr>
      <m:oMathPara>
        <m:oMath>
          <m:r>
            <m:rPr>
              <m:sty m:val="p"/>
            </m:rPr>
            <w:rPr>
              <w:rFonts w:ascii="Cambria Math" w:hAnsi="Cambria Math"/>
            </w:rPr>
            <m:t>α=</m:t>
          </m:r>
          <m:f>
            <m:fPr>
              <m:ctrlPr>
                <w:rPr>
                  <w:rFonts w:ascii="Cambria Math" w:hAnsi="Cambria Math"/>
                </w:rPr>
              </m:ctrlPr>
            </m:fPr>
            <m:num>
              <m:r>
                <m:rPr>
                  <m:sty m:val="p"/>
                </m:rPr>
                <w:rPr>
                  <w:rFonts w:ascii="Cambria Math" w:hAnsi="Cambria Math"/>
                </w:rPr>
                <m:t>多年平均径流流量（</m:t>
              </m:r>
              <m:sSup>
                <m:sSupPr>
                  <m:ctrlPr>
                    <w:rPr>
                      <w:rFonts w:ascii="Cambria Math" w:hAnsi="Cambria Math"/>
                    </w:rPr>
                  </m:ctrlPr>
                </m:sSupPr>
                <m:e>
                  <m:r>
                    <w:rPr>
                      <w:rFonts w:ascii="Cambria Math" w:hAnsi="Cambria Math"/>
                    </w:rPr>
                    <m:t>m</m:t>
                  </m:r>
                </m:e>
                <m:sup>
                  <m:r>
                    <w:rPr>
                      <w:rFonts w:ascii="Cambria Math" w:hAnsi="Cambria Math"/>
                    </w:rPr>
                    <m:t>3</m:t>
                  </m:r>
                </m:sup>
              </m:sSup>
              <m:r>
                <m:rPr>
                  <m:sty m:val="p"/>
                </m:rPr>
                <w:rPr>
                  <w:rFonts w:ascii="Cambria Math" w:hAnsi="Cambria Math"/>
                </w:rPr>
                <m:t>）</m:t>
              </m:r>
            </m:num>
            <m:den>
              <m:r>
                <m:rPr>
                  <m:sty m:val="p"/>
                </m:rPr>
                <w:rPr>
                  <w:rFonts w:ascii="Cambria Math" w:hAnsi="Cambria Math"/>
                </w:rPr>
                <m:t>总库容（</m:t>
              </m:r>
              <m:sSup>
                <m:sSupPr>
                  <m:ctrlPr>
                    <w:rPr>
                      <w:rFonts w:ascii="Cambria Math" w:hAnsi="Cambria Math"/>
                    </w:rPr>
                  </m:ctrlPr>
                </m:sSupPr>
                <m:e>
                  <m:r>
                    <w:rPr>
                      <w:rFonts w:ascii="Cambria Math" w:hAnsi="Cambria Math"/>
                    </w:rPr>
                    <m:t>m</m:t>
                  </m:r>
                </m:e>
                <m:sup>
                  <m:r>
                    <w:rPr>
                      <w:rFonts w:ascii="Cambria Math" w:hAnsi="Cambria Math"/>
                    </w:rPr>
                    <m:t>3</m:t>
                  </m:r>
                </m:sup>
              </m:sSup>
              <m:r>
                <m:rPr>
                  <m:sty m:val="p"/>
                </m:rPr>
                <w:rPr>
                  <w:rFonts w:ascii="Cambria Math" w:hAnsi="Cambria Math"/>
                </w:rPr>
                <m:t>）</m:t>
              </m:r>
            </m:den>
          </m:f>
        </m:oMath>
      </m:oMathPara>
    </w:p>
    <w:p w:rsidR="006175A6" w:rsidRDefault="006175A6">
      <w:pPr>
        <w:pStyle w:val="a5"/>
        <w:spacing w:before="3"/>
        <w:ind w:firstLine="220"/>
        <w:rPr>
          <w:sz w:val="11"/>
        </w:rPr>
      </w:pPr>
    </w:p>
    <w:p w:rsidR="006175A6" w:rsidRDefault="009B4BA7">
      <w:pPr>
        <w:pStyle w:val="a3"/>
      </w:pPr>
      <w:bookmarkStart w:id="70" w:name="_Ref79492556"/>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bookmarkEnd w:id="70"/>
      <w:r>
        <w:rPr>
          <w:rFonts w:hint="eastAsia"/>
        </w:rPr>
        <w:t xml:space="preserve">  </w:t>
      </w:r>
      <w:r>
        <w:rPr>
          <w:rFonts w:hint="eastAsia"/>
        </w:rPr>
        <w:t>水库水温α值判定表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6"/>
        <w:gridCol w:w="5470"/>
      </w:tblGrid>
      <w:tr w:rsidR="006175A6">
        <w:trPr>
          <w:trHeight w:val="340"/>
        </w:trPr>
        <w:tc>
          <w:tcPr>
            <w:tcW w:w="1711" w:type="pct"/>
            <w:vAlign w:val="center"/>
          </w:tcPr>
          <w:p w:rsidR="006175A6" w:rsidRDefault="009B4BA7">
            <w:pPr>
              <w:pStyle w:val="TableParagraph"/>
              <w:rPr>
                <w:sz w:val="21"/>
              </w:rPr>
            </w:pPr>
            <w:r>
              <w:rPr>
                <w:rFonts w:ascii="Times New Roman" w:eastAsia="Times New Roman" w:hAnsi="Times New Roman"/>
                <w:sz w:val="21"/>
              </w:rPr>
              <w:lastRenderedPageBreak/>
              <w:t>α</w:t>
            </w:r>
            <w:r>
              <w:rPr>
                <w:sz w:val="21"/>
              </w:rPr>
              <w:t>值</w:t>
            </w:r>
          </w:p>
        </w:tc>
        <w:tc>
          <w:tcPr>
            <w:tcW w:w="3289" w:type="pct"/>
            <w:vAlign w:val="center"/>
          </w:tcPr>
          <w:p w:rsidR="006175A6" w:rsidRDefault="009B4BA7">
            <w:pPr>
              <w:pStyle w:val="TableParagraph"/>
              <w:rPr>
                <w:sz w:val="21"/>
              </w:rPr>
            </w:pPr>
            <w:r>
              <w:rPr>
                <w:sz w:val="21"/>
              </w:rPr>
              <w:t>水库水温类型</w:t>
            </w:r>
          </w:p>
        </w:tc>
      </w:tr>
      <w:tr w:rsidR="006175A6">
        <w:trPr>
          <w:trHeight w:val="340"/>
        </w:trPr>
        <w:tc>
          <w:tcPr>
            <w:tcW w:w="1711" w:type="pct"/>
            <w:vAlign w:val="center"/>
          </w:tcPr>
          <w:p w:rsidR="006175A6" w:rsidRDefault="009B4BA7">
            <w:pPr>
              <w:pStyle w:val="TableParagraph"/>
              <w:rPr>
                <w:rFonts w:ascii="Times New Roman" w:eastAsia="Times New Roman"/>
                <w:sz w:val="21"/>
              </w:rPr>
            </w:pPr>
            <w:r>
              <w:rPr>
                <w:sz w:val="21"/>
              </w:rPr>
              <w:t>＜</w:t>
            </w:r>
            <w:r>
              <w:rPr>
                <w:rFonts w:ascii="Times New Roman" w:eastAsia="Times New Roman"/>
                <w:sz w:val="21"/>
              </w:rPr>
              <w:t>10</w:t>
            </w:r>
          </w:p>
        </w:tc>
        <w:tc>
          <w:tcPr>
            <w:tcW w:w="3289" w:type="pct"/>
            <w:vAlign w:val="center"/>
          </w:tcPr>
          <w:p w:rsidR="006175A6" w:rsidRDefault="009B4BA7">
            <w:pPr>
              <w:pStyle w:val="TableParagraph"/>
              <w:rPr>
                <w:sz w:val="21"/>
              </w:rPr>
            </w:pPr>
            <w:r>
              <w:rPr>
                <w:sz w:val="21"/>
              </w:rPr>
              <w:t>分层型</w:t>
            </w:r>
          </w:p>
        </w:tc>
      </w:tr>
      <w:tr w:rsidR="006175A6">
        <w:trPr>
          <w:trHeight w:val="340"/>
        </w:trPr>
        <w:tc>
          <w:tcPr>
            <w:tcW w:w="1711" w:type="pct"/>
            <w:vAlign w:val="center"/>
          </w:tcPr>
          <w:p w:rsidR="006175A6" w:rsidRDefault="009B4BA7">
            <w:pPr>
              <w:pStyle w:val="TableParagraph"/>
              <w:rPr>
                <w:rFonts w:ascii="Times New Roman" w:eastAsia="Times New Roman"/>
                <w:sz w:val="21"/>
              </w:rPr>
            </w:pPr>
            <w:r>
              <w:rPr>
                <w:sz w:val="21"/>
              </w:rPr>
              <w:t>＞</w:t>
            </w:r>
            <w:r>
              <w:rPr>
                <w:rFonts w:ascii="Times New Roman" w:eastAsia="Times New Roman"/>
                <w:sz w:val="21"/>
              </w:rPr>
              <w:t>20</w:t>
            </w:r>
          </w:p>
        </w:tc>
        <w:tc>
          <w:tcPr>
            <w:tcW w:w="3289" w:type="pct"/>
            <w:vAlign w:val="center"/>
          </w:tcPr>
          <w:p w:rsidR="006175A6" w:rsidRDefault="009B4BA7">
            <w:pPr>
              <w:pStyle w:val="TableParagraph"/>
              <w:rPr>
                <w:sz w:val="21"/>
              </w:rPr>
            </w:pPr>
            <w:r>
              <w:rPr>
                <w:sz w:val="21"/>
              </w:rPr>
              <w:t>混合型</w:t>
            </w:r>
          </w:p>
        </w:tc>
      </w:tr>
      <w:tr w:rsidR="006175A6">
        <w:trPr>
          <w:trHeight w:val="340"/>
        </w:trPr>
        <w:tc>
          <w:tcPr>
            <w:tcW w:w="1711" w:type="pct"/>
            <w:vAlign w:val="center"/>
          </w:tcPr>
          <w:p w:rsidR="006175A6" w:rsidRDefault="009B4BA7">
            <w:pPr>
              <w:pStyle w:val="TableParagraph"/>
              <w:rPr>
                <w:rFonts w:ascii="Times New Roman"/>
                <w:sz w:val="21"/>
              </w:rPr>
            </w:pPr>
            <w:r>
              <w:rPr>
                <w:rFonts w:ascii="Times New Roman"/>
                <w:sz w:val="21"/>
              </w:rPr>
              <w:t>10~20</w:t>
            </w:r>
          </w:p>
        </w:tc>
        <w:tc>
          <w:tcPr>
            <w:tcW w:w="3289" w:type="pct"/>
            <w:vAlign w:val="center"/>
          </w:tcPr>
          <w:p w:rsidR="006175A6" w:rsidRDefault="009B4BA7">
            <w:pPr>
              <w:pStyle w:val="TableParagraph"/>
              <w:rPr>
                <w:sz w:val="21"/>
              </w:rPr>
            </w:pPr>
            <w:r>
              <w:rPr>
                <w:sz w:val="21"/>
              </w:rPr>
              <w:t>过渡型</w:t>
            </w:r>
          </w:p>
        </w:tc>
      </w:tr>
    </w:tbl>
    <w:p w:rsidR="006175A6" w:rsidRDefault="009B4BA7">
      <w:pPr>
        <w:ind w:firstLine="480"/>
      </w:pPr>
      <w:r>
        <w:rPr>
          <w:rFonts w:hint="eastAsia"/>
        </w:rPr>
        <w:t>两河口水库多年平均径流流量为</w:t>
      </w:r>
      <w:r>
        <w:rPr>
          <w:rFonts w:hint="eastAsia"/>
        </w:rPr>
        <w:t>4920</w:t>
      </w:r>
      <w:r>
        <w:rPr>
          <w:rFonts w:hint="eastAsia"/>
        </w:rPr>
        <w:t>万</w:t>
      </w:r>
      <w:r>
        <w:rPr>
          <w:rFonts w:hint="eastAsia"/>
        </w:rPr>
        <w:t>m</w:t>
      </w:r>
      <w:r>
        <w:rPr>
          <w:rFonts w:hint="eastAsia"/>
          <w:vertAlign w:val="superscript"/>
        </w:rPr>
        <w:t>3</w:t>
      </w:r>
      <w:r>
        <w:rPr>
          <w:rFonts w:hint="eastAsia"/>
        </w:rPr>
        <w:t>，总库容为</w:t>
      </w:r>
      <w:r>
        <w:rPr>
          <w:rFonts w:hint="eastAsia"/>
        </w:rPr>
        <w:t>1075</w:t>
      </w:r>
      <w:r>
        <w:rPr>
          <w:rFonts w:hint="eastAsia"/>
        </w:rPr>
        <w:t>万</w:t>
      </w:r>
      <w:r>
        <w:rPr>
          <w:rFonts w:hint="eastAsia"/>
        </w:rPr>
        <w:t>m</w:t>
      </w:r>
      <w:r>
        <w:rPr>
          <w:rFonts w:hint="eastAsia"/>
          <w:vertAlign w:val="superscript"/>
        </w:rPr>
        <w:t>3</w:t>
      </w:r>
      <w:r>
        <w:rPr>
          <w:rFonts w:hint="eastAsia"/>
        </w:rPr>
        <w:t>，即α值为</w:t>
      </w:r>
      <w:r>
        <w:rPr>
          <w:rFonts w:hint="eastAsia"/>
        </w:rPr>
        <w:t xml:space="preserve"> 4.58</w:t>
      </w:r>
      <w:r w:rsidR="00E97427">
        <w:rPr>
          <w:rFonts w:hint="eastAsia"/>
        </w:rPr>
        <w:t>（</w:t>
      </w:r>
      <w:r>
        <w:rPr>
          <w:rFonts w:hint="eastAsia"/>
        </w:rPr>
        <w:t>＜</w:t>
      </w:r>
      <w:r>
        <w:rPr>
          <w:rFonts w:hint="eastAsia"/>
        </w:rPr>
        <w:t>10</w:t>
      </w:r>
      <w:r w:rsidR="00E97427">
        <w:rPr>
          <w:rFonts w:hint="eastAsia"/>
        </w:rPr>
        <w:t>）</w:t>
      </w:r>
      <w:r>
        <w:rPr>
          <w:rFonts w:hint="eastAsia"/>
        </w:rPr>
        <w:t>，根据水温结构划分原则，两河口水库为分层型水库。</w:t>
      </w:r>
    </w:p>
    <w:p w:rsidR="006175A6" w:rsidRDefault="009B4BA7">
      <w:pPr>
        <w:pStyle w:val="4"/>
      </w:pPr>
      <w:r>
        <w:rPr>
          <w:rFonts w:hint="eastAsia"/>
        </w:rPr>
        <w:t>水库水温预测</w:t>
      </w:r>
    </w:p>
    <w:p w:rsidR="006175A6" w:rsidRDefault="009B4BA7">
      <w:pPr>
        <w:ind w:firstLine="480"/>
      </w:pPr>
      <w:r>
        <w:rPr>
          <w:rFonts w:hint="eastAsia"/>
        </w:rPr>
        <w:t>根据两河口水库工程初步设计报告，水库表面水温约为</w:t>
      </w:r>
      <w:r>
        <w:rPr>
          <w:rFonts w:hint="eastAsia"/>
        </w:rPr>
        <w:t>18</w:t>
      </w:r>
      <w:r>
        <w:rPr>
          <w:rFonts w:hint="eastAsia"/>
        </w:rPr>
        <w:t>℃，上游库底年平均水温取为</w:t>
      </w:r>
      <w:r>
        <w:rPr>
          <w:rFonts w:hint="eastAsia"/>
        </w:rPr>
        <w:t>10.0</w:t>
      </w:r>
      <w:r>
        <w:rPr>
          <w:rFonts w:hint="eastAsia"/>
        </w:rPr>
        <w:t>℃。下游水深较浅，取尾水平均水温为与气温一致，即</w:t>
      </w:r>
      <w:r>
        <w:rPr>
          <w:rFonts w:hint="eastAsia"/>
        </w:rPr>
        <w:t>14.5</w:t>
      </w:r>
      <w:r>
        <w:rPr>
          <w:rFonts w:hint="eastAsia"/>
        </w:rPr>
        <w:t>℃。坝址上游、下游水温分布如下表：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两河口上游库水温分布</w:t>
      </w:r>
      <w:r>
        <w:rPr>
          <w:rFonts w:hint="eastAsia"/>
        </w:rPr>
        <w:t xml:space="preserve">  </w:t>
      </w:r>
      <w:r>
        <w:rPr>
          <w:rFonts w:hint="eastAsia"/>
        </w:rPr>
        <w:t>单位：深度</w:t>
      </w:r>
      <w:r>
        <w:rPr>
          <w:rFonts w:hint="eastAsia"/>
        </w:rPr>
        <w:t xml:space="preserve"> m</w:t>
      </w:r>
      <w:r>
        <w:rPr>
          <w:rFonts w:hint="eastAsia"/>
        </w:rPr>
        <w:t>；温度℃</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38"/>
        <w:gridCol w:w="633"/>
        <w:gridCol w:w="487"/>
        <w:gridCol w:w="637"/>
        <w:gridCol w:w="637"/>
        <w:gridCol w:w="637"/>
        <w:gridCol w:w="635"/>
        <w:gridCol w:w="637"/>
        <w:gridCol w:w="637"/>
        <w:gridCol w:w="635"/>
        <w:gridCol w:w="637"/>
        <w:gridCol w:w="637"/>
        <w:gridCol w:w="629"/>
      </w:tblGrid>
      <w:tr w:rsidR="006175A6">
        <w:trPr>
          <w:trHeight w:val="340"/>
        </w:trPr>
        <w:tc>
          <w:tcPr>
            <w:tcW w:w="503" w:type="pct"/>
            <w:tcBorders>
              <w:tl2br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月份</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深度</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7.96</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16.18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22.25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27.54</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30.62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30.68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27.69</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22.46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16.39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11.10</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8.02</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8.35</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15.58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20.94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25.61</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28.34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28.41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25.78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21.18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15.82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11.15</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8.41</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8.62</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14.99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19.72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23.85</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26.27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26.34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24.03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19.97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15.25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8.69</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8.81</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10.83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14.41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18.58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22.23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24.38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24.45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22.43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18.85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14.68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11.03</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8.88</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8.91</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10.69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13.84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17.52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20.75</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22.65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22.73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20.95</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17.79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14.11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10.89</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8.98</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8.95</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10.51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13.29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16.54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19.39</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21.07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21.15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19.58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16.81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13.56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10.71</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9.02</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8.93</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10.30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12.75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15.61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18.13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19.63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19.70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18.33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15.88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13.01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10.49</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9.00</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8.86</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12.22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14.75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16.98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18.30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18.37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17.17</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15.01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12.48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10.25</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8.93</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8.75</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9.81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11.71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13.94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15.91</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17.08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17.15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16.09</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14.19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11.96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9.99</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8.82</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8.61</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11.21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13.18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14.92</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15.96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16.03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15.10</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13.42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11.45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9.72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8.67</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8.44</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9.26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10.73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12.47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14.01</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14.93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14.99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14.18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12.70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9.43</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8.50</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8.25</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10.27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11.80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13.16</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13.98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14.04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13.32</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12.02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10.49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9.13</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8.31</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8.05</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9.82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12.38</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13.10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13.16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11.38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8.83</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8.10</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7.83</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8.38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9.39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10.59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11.65</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12.29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12.34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11.79</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10.78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7.88</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7.60</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8.09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10.03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10.97</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11.54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11.59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11.10</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10.21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9.16</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8.22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7.65</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75</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7.37</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7.79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10.33</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10.84</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10.88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10.46</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9.68</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7.92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7.41</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80</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7.13</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7.50</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8.19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9.01</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9.74</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10.19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10.23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9.86</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9.17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8.35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7.62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7.17</w:t>
            </w:r>
          </w:p>
        </w:tc>
      </w:tr>
      <w:tr w:rsidR="006175A6">
        <w:trPr>
          <w:trHeight w:val="340"/>
        </w:trPr>
        <w:tc>
          <w:tcPr>
            <w:tcW w:w="50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w:t>
            </w:r>
          </w:p>
        </w:tc>
        <w:tc>
          <w:tcPr>
            <w:tcW w:w="38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6.89</w:t>
            </w:r>
          </w:p>
        </w:tc>
        <w:tc>
          <w:tcPr>
            <w:tcW w:w="29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7.22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7.82</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9.19</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9.63</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9.30</w:t>
            </w:r>
          </w:p>
        </w:tc>
        <w:tc>
          <w:tcPr>
            <w:tcW w:w="3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8.69</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7.97</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7.32</w:t>
            </w:r>
          </w:p>
        </w:tc>
        <w:tc>
          <w:tcPr>
            <w:tcW w:w="378"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6.93</w:t>
            </w:r>
          </w:p>
        </w:tc>
      </w:tr>
    </w:tbl>
    <w:p w:rsidR="006175A6" w:rsidRDefault="006175A6">
      <w:pPr>
        <w:ind w:firstLine="480"/>
      </w:pPr>
    </w:p>
    <w:p w:rsidR="006175A6" w:rsidRDefault="009B4BA7">
      <w:pPr>
        <w:ind w:firstLineChars="0" w:firstLine="0"/>
        <w:jc w:val="center"/>
      </w:pPr>
      <w:r>
        <w:rPr>
          <w:noProof/>
        </w:rPr>
        <w:lastRenderedPageBreak/>
        <w:drawing>
          <wp:inline distT="0" distB="0" distL="0" distR="0" wp14:anchorId="7FF67991" wp14:editId="2DA29E92">
            <wp:extent cx="5231765" cy="3351530"/>
            <wp:effectExtent l="0" t="0" r="698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32329" cy="3351960"/>
                    </a:xfrm>
                    <a:prstGeom prst="rect">
                      <a:avLst/>
                    </a:prstGeom>
                  </pic:spPr>
                </pic:pic>
              </a:graphicData>
            </a:graphic>
          </wp:inline>
        </w:drawing>
      </w:r>
    </w:p>
    <w:p w:rsidR="006175A6" w:rsidRDefault="009B4BA7">
      <w:pPr>
        <w:pStyle w:val="a3"/>
      </w:pPr>
      <w:r>
        <w:rPr>
          <w:rFonts w:hint="eastAsia"/>
        </w:rPr>
        <w:t>图</w:t>
      </w:r>
      <w:r>
        <w:rPr>
          <w:rFonts w:hint="eastAsia"/>
        </w:rPr>
        <w:t xml:space="preserve"> </w:t>
      </w:r>
      <w:r w:rsidR="00AC2588">
        <w:fldChar w:fldCharType="begin"/>
      </w:r>
      <w:r w:rsidR="00AC2588">
        <w:instrText xml:space="preserve"> </w:instrText>
      </w:r>
      <w:r w:rsidR="00AC2588">
        <w:rPr>
          <w:rFonts w:hint="eastAsia"/>
        </w:rPr>
        <w:instrText>STYLEREF 2 \s</w:instrText>
      </w:r>
      <w:r w:rsidR="00AC2588">
        <w:instrText xml:space="preserve"> </w:instrText>
      </w:r>
      <w:r w:rsidR="00AC2588">
        <w:fldChar w:fldCharType="separate"/>
      </w:r>
      <w:r w:rsidR="00E97427">
        <w:rPr>
          <w:noProof/>
        </w:rPr>
        <w:t>6.4</w:t>
      </w:r>
      <w:r w:rsidR="00AC2588">
        <w:fldChar w:fldCharType="end"/>
      </w:r>
      <w:r w:rsidR="00AC2588">
        <w:noBreakHyphen/>
      </w:r>
      <w:r w:rsidR="00AC2588">
        <w:fldChar w:fldCharType="begin"/>
      </w:r>
      <w:r w:rsidR="00AC2588">
        <w:instrText xml:space="preserve"> </w:instrText>
      </w:r>
      <w:r w:rsidR="00AC2588">
        <w:rPr>
          <w:rFonts w:hint="eastAsia"/>
        </w:rPr>
        <w:instrText xml:space="preserve">SEQ </w:instrText>
      </w:r>
      <w:r w:rsidR="00AC2588">
        <w:rPr>
          <w:rFonts w:hint="eastAsia"/>
        </w:rPr>
        <w:instrText>图</w:instrText>
      </w:r>
      <w:r w:rsidR="00AC2588">
        <w:rPr>
          <w:rFonts w:hint="eastAsia"/>
        </w:rPr>
        <w:instrText xml:space="preserve"> \* ARABIC \s 2</w:instrText>
      </w:r>
      <w:r w:rsidR="00AC2588">
        <w:instrText xml:space="preserve"> </w:instrText>
      </w:r>
      <w:r w:rsidR="00AC2588">
        <w:fldChar w:fldCharType="separate"/>
      </w:r>
      <w:r w:rsidR="00E97427">
        <w:rPr>
          <w:noProof/>
        </w:rPr>
        <w:t>1</w:t>
      </w:r>
      <w:r w:rsidR="00AC2588">
        <w:fldChar w:fldCharType="end"/>
      </w:r>
      <w:r>
        <w:rPr>
          <w:rFonts w:hint="eastAsia"/>
        </w:rPr>
        <w:t xml:space="preserve">  </w:t>
      </w:r>
      <w:r>
        <w:rPr>
          <w:rFonts w:hint="eastAsia"/>
        </w:rPr>
        <w:t>库水温的时空分布</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两河口下游库水温分布</w:t>
      </w:r>
      <w:r>
        <w:rPr>
          <w:rFonts w:hint="eastAsia"/>
        </w:rPr>
        <w:tab/>
      </w:r>
      <w:r>
        <w:rPr>
          <w:rFonts w:hint="eastAsia"/>
        </w:rPr>
        <w:t>单位：深度</w:t>
      </w:r>
      <w:r>
        <w:rPr>
          <w:rFonts w:hint="eastAsia"/>
        </w:rPr>
        <w:t xml:space="preserve"> m</w:t>
      </w:r>
      <w:r>
        <w:rPr>
          <w:rFonts w:hint="eastAsia"/>
        </w:rPr>
        <w:t>；温度℃</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92"/>
        <w:gridCol w:w="523"/>
        <w:gridCol w:w="523"/>
        <w:gridCol w:w="666"/>
        <w:gridCol w:w="666"/>
        <w:gridCol w:w="666"/>
        <w:gridCol w:w="666"/>
        <w:gridCol w:w="665"/>
        <w:gridCol w:w="665"/>
        <w:gridCol w:w="665"/>
        <w:gridCol w:w="665"/>
        <w:gridCol w:w="522"/>
        <w:gridCol w:w="532"/>
      </w:tblGrid>
      <w:tr w:rsidR="006175A6">
        <w:trPr>
          <w:trHeight w:val="340"/>
        </w:trPr>
        <w:tc>
          <w:tcPr>
            <w:tcW w:w="536" w:type="pct"/>
            <w:tcBorders>
              <w:tl2br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rPr>
              <w:t>月份</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深度</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r w:rsidR="006175A6">
        <w:trPr>
          <w:trHeight w:val="340"/>
        </w:trPr>
        <w:tc>
          <w:tcPr>
            <w:tcW w:w="536"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18</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28.26</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24.95</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19.21</w:t>
            </w:r>
          </w:p>
        </w:tc>
        <w:tc>
          <w:tcPr>
            <w:tcW w:w="40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12.59</w:t>
            </w:r>
          </w:p>
        </w:tc>
        <w:tc>
          <w:tcPr>
            <w:tcW w:w="31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6.85</w:t>
            </w:r>
          </w:p>
        </w:tc>
        <w:tc>
          <w:tcPr>
            <w:tcW w:w="320"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3.54</w:t>
            </w:r>
          </w:p>
        </w:tc>
      </w:tr>
    </w:tbl>
    <w:p w:rsidR="006175A6" w:rsidRDefault="009B4BA7">
      <w:pPr>
        <w:ind w:firstLine="480"/>
      </w:pPr>
      <w:r>
        <w:rPr>
          <w:rFonts w:hint="eastAsia"/>
        </w:rPr>
        <w:t>从上述图、表可以看出，上游最高表面水温为</w:t>
      </w:r>
      <w:r>
        <w:rPr>
          <w:rFonts w:hint="eastAsia"/>
        </w:rPr>
        <w:t>30.62</w:t>
      </w:r>
      <w:r>
        <w:rPr>
          <w:rFonts w:hint="eastAsia"/>
        </w:rPr>
        <w:t>℃，下游最高表面水温为</w:t>
      </w:r>
      <w:r>
        <w:rPr>
          <w:rFonts w:hint="eastAsia"/>
        </w:rPr>
        <w:t xml:space="preserve"> 28.26</w:t>
      </w:r>
      <w:r>
        <w:rPr>
          <w:rFonts w:hint="eastAsia"/>
        </w:rPr>
        <w:t>℃，均发生在</w:t>
      </w:r>
      <w:r>
        <w:rPr>
          <w:rFonts w:hint="eastAsia"/>
        </w:rPr>
        <w:t>7</w:t>
      </w:r>
      <w:r>
        <w:rPr>
          <w:rFonts w:hint="eastAsia"/>
        </w:rPr>
        <w:t>月，上游水温仍有一定的温度梯度，从</w:t>
      </w:r>
      <w:r>
        <w:rPr>
          <w:rFonts w:hint="eastAsia"/>
        </w:rPr>
        <w:t>4</w:t>
      </w:r>
      <w:r>
        <w:rPr>
          <w:rFonts w:hint="eastAsia"/>
        </w:rPr>
        <w:t>月～</w:t>
      </w:r>
      <w:r>
        <w:rPr>
          <w:rFonts w:hint="eastAsia"/>
        </w:rPr>
        <w:t xml:space="preserve">9 </w:t>
      </w:r>
      <w:r>
        <w:rPr>
          <w:rFonts w:hint="eastAsia"/>
        </w:rPr>
        <w:t>月表现明显，底部水温为</w:t>
      </w:r>
      <w:r>
        <w:rPr>
          <w:rFonts w:hint="eastAsia"/>
        </w:rPr>
        <w:t xml:space="preserve"> 6</w:t>
      </w:r>
      <w:r>
        <w:rPr>
          <w:rFonts w:hint="eastAsia"/>
        </w:rPr>
        <w:t>～</w:t>
      </w:r>
      <w:r>
        <w:rPr>
          <w:rFonts w:hint="eastAsia"/>
        </w:rPr>
        <w:t>8</w:t>
      </w:r>
      <w:r>
        <w:rPr>
          <w:rFonts w:hint="eastAsia"/>
        </w:rPr>
        <w:t>℃，</w:t>
      </w:r>
      <w:r>
        <w:rPr>
          <w:rFonts w:hint="eastAsia"/>
        </w:rPr>
        <w:t xml:space="preserve">50m </w:t>
      </w:r>
      <w:r>
        <w:rPr>
          <w:rFonts w:hint="eastAsia"/>
        </w:rPr>
        <w:t>以下平均水温约为</w:t>
      </w:r>
      <w:r>
        <w:rPr>
          <w:rFonts w:hint="eastAsia"/>
        </w:rPr>
        <w:t xml:space="preserve"> 10</w:t>
      </w:r>
      <w:r>
        <w:rPr>
          <w:rFonts w:hint="eastAsia"/>
        </w:rPr>
        <w:t>℃，表面平均水温</w:t>
      </w:r>
      <w:r>
        <w:rPr>
          <w:rFonts w:hint="eastAsia"/>
        </w:rPr>
        <w:t xml:space="preserve"> 19.32</w:t>
      </w:r>
      <w:r>
        <w:rPr>
          <w:rFonts w:hint="eastAsia"/>
        </w:rPr>
        <w:t>℃。有关气象资料显示，兴山县年平均气温为</w:t>
      </w:r>
      <w:r>
        <w:rPr>
          <w:rFonts w:hint="eastAsia"/>
        </w:rPr>
        <w:t>15.3</w:t>
      </w:r>
      <w:r>
        <w:rPr>
          <w:rFonts w:hint="eastAsia"/>
        </w:rPr>
        <w:t>℃，由此可以判断同期的水库表面水温比气温高。因此，水库建成后水面水温变化将对水库周围局地气候产生一定的影响。</w:t>
      </w:r>
    </w:p>
    <w:p w:rsidR="006175A6" w:rsidRDefault="009B4BA7">
      <w:pPr>
        <w:ind w:firstLine="480"/>
      </w:pPr>
      <w:r>
        <w:rPr>
          <w:rFonts w:hint="eastAsia"/>
        </w:rPr>
        <w:t>两河口水库供水设计引用最大流量为</w:t>
      </w:r>
      <w:r>
        <w:rPr>
          <w:rFonts w:hint="eastAsia"/>
        </w:rPr>
        <w:t>2m</w:t>
      </w:r>
      <w:r>
        <w:rPr>
          <w:rFonts w:hint="eastAsia"/>
          <w:vertAlign w:val="superscript"/>
        </w:rPr>
        <w:t>3</w:t>
      </w:r>
      <w:r>
        <w:rPr>
          <w:rFonts w:hint="eastAsia"/>
        </w:rPr>
        <w:t>/s</w:t>
      </w:r>
      <w:r>
        <w:rPr>
          <w:rFonts w:hint="eastAsia"/>
        </w:rPr>
        <w:t>，为保障供水水质，设计拟定采用分层取水方式设计。水库正常水位</w:t>
      </w:r>
      <w:r>
        <w:rPr>
          <w:rFonts w:hint="eastAsia"/>
        </w:rPr>
        <w:t>1058m</w:t>
      </w:r>
      <w:r>
        <w:rPr>
          <w:rFonts w:hint="eastAsia"/>
        </w:rPr>
        <w:t>，死水位为</w:t>
      </w:r>
      <w:r>
        <w:rPr>
          <w:rFonts w:hint="eastAsia"/>
        </w:rPr>
        <w:t>1013m</w:t>
      </w:r>
      <w:r>
        <w:rPr>
          <w:rFonts w:hint="eastAsia"/>
        </w:rPr>
        <w:t>，底层取水口底板高程</w:t>
      </w:r>
      <w:r>
        <w:rPr>
          <w:rFonts w:hint="eastAsia"/>
        </w:rPr>
        <w:t xml:space="preserve"> 1011.4m</w:t>
      </w:r>
      <w:r>
        <w:rPr>
          <w:rFonts w:hint="eastAsia"/>
        </w:rPr>
        <w:t>，位于正常水位以下</w:t>
      </w:r>
      <w:r>
        <w:rPr>
          <w:rFonts w:hint="eastAsia"/>
        </w:rPr>
        <w:t>46.6m</w:t>
      </w:r>
      <w:r>
        <w:rPr>
          <w:rFonts w:hint="eastAsia"/>
        </w:rPr>
        <w:t>，约为</w:t>
      </w:r>
      <w:r>
        <w:rPr>
          <w:rFonts w:hint="eastAsia"/>
        </w:rPr>
        <w:t>8.44~16.03</w:t>
      </w:r>
      <w:r>
        <w:rPr>
          <w:rFonts w:hint="eastAsia"/>
        </w:rPr>
        <w:t>℃，和库表水温相比，</w:t>
      </w:r>
      <w:r>
        <w:rPr>
          <w:rFonts w:hint="eastAsia"/>
        </w:rPr>
        <w:t>1</w:t>
      </w:r>
      <w:r>
        <w:rPr>
          <w:rFonts w:hint="eastAsia"/>
        </w:rPr>
        <w:t>、</w:t>
      </w:r>
      <w:r>
        <w:rPr>
          <w:rFonts w:hint="eastAsia"/>
        </w:rPr>
        <w:t>12</w:t>
      </w:r>
      <w:r>
        <w:rPr>
          <w:rFonts w:hint="eastAsia"/>
        </w:rPr>
        <w:t>月份稍高，其它月份则明显偏低。因采取分层取水方式，可以使表层取水</w:t>
      </w:r>
      <w:r>
        <w:rPr>
          <w:rFonts w:hint="eastAsia"/>
        </w:rPr>
        <w:lastRenderedPageBreak/>
        <w:t>口和底层取水口所取水充分混合。</w:t>
      </w:r>
    </w:p>
    <w:p w:rsidR="006175A6" w:rsidRDefault="009B4BA7">
      <w:pPr>
        <w:ind w:firstLine="480"/>
      </w:pPr>
      <w:r>
        <w:rPr>
          <w:rFonts w:hint="eastAsia"/>
        </w:rPr>
        <w:t>生态放水口设置在</w:t>
      </w:r>
      <w:r>
        <w:rPr>
          <w:rFonts w:hint="eastAsia"/>
        </w:rPr>
        <w:t>1000m</w:t>
      </w:r>
      <w:r>
        <w:rPr>
          <w:rFonts w:hint="eastAsia"/>
        </w:rPr>
        <w:t>以下，下泄低温水会对下游水生生态及鱼类会产生一定影响。但该河段流量小，坝下游鱼类种类和数量都很少，且均为广布种，因此不利影响十分有限。</w:t>
      </w:r>
    </w:p>
    <w:p w:rsidR="006175A6" w:rsidRDefault="009B4BA7">
      <w:pPr>
        <w:pStyle w:val="3"/>
      </w:pPr>
      <w:r>
        <w:rPr>
          <w:rFonts w:hint="eastAsia"/>
        </w:rPr>
        <w:t>对下游河段纳污能力的影响</w:t>
      </w:r>
    </w:p>
    <w:p w:rsidR="006175A6" w:rsidRDefault="009B4BA7">
      <w:pPr>
        <w:ind w:firstLine="480"/>
      </w:pPr>
      <w:r>
        <w:rPr>
          <w:rFonts w:hint="eastAsia"/>
        </w:rPr>
        <w:t>根据《水域纳污能力计算规程规范》（</w:t>
      </w:r>
      <w:r>
        <w:t>GB/T 25173-2010</w:t>
      </w:r>
      <w:r>
        <w:rPr>
          <w:rFonts w:hint="eastAsia"/>
        </w:rPr>
        <w:t>）中推荐的相关公式计算建库前后两河口水库坝下的纳污能力变化情况，以进一步说明水质变化情况。</w:t>
      </w:r>
    </w:p>
    <w:p w:rsidR="006175A6" w:rsidRDefault="009B4BA7">
      <w:pPr>
        <w:ind w:firstLine="480"/>
      </w:pPr>
      <w:r>
        <w:rPr>
          <w:rFonts w:hint="eastAsia"/>
        </w:rPr>
        <w:t>（</w:t>
      </w:r>
      <w:r>
        <w:rPr>
          <w:rFonts w:hint="eastAsia"/>
        </w:rPr>
        <w:t>1</w:t>
      </w:r>
      <w:r>
        <w:rPr>
          <w:rFonts w:hint="eastAsia"/>
        </w:rPr>
        <w:t>）计算范围</w:t>
      </w:r>
    </w:p>
    <w:p w:rsidR="006175A6" w:rsidRDefault="009B4BA7">
      <w:pPr>
        <w:ind w:firstLine="480"/>
      </w:pPr>
      <w:r>
        <w:rPr>
          <w:rFonts w:hint="eastAsia"/>
        </w:rPr>
        <w:t>本次坝下河段纳污能力计算范围取两河口水库坝址下游</w:t>
      </w:r>
      <w:r>
        <w:rPr>
          <w:rFonts w:hint="eastAsia"/>
        </w:rPr>
        <w:t>500m</w:t>
      </w:r>
      <w:r>
        <w:rPr>
          <w:rFonts w:hint="eastAsia"/>
        </w:rPr>
        <w:t>处至入两河口电站厂房，全长约</w:t>
      </w:r>
      <w:r>
        <w:rPr>
          <w:rFonts w:hint="eastAsia"/>
        </w:rPr>
        <w:t>4.5km</w:t>
      </w:r>
      <w:r>
        <w:rPr>
          <w:rFonts w:hint="eastAsia"/>
        </w:rPr>
        <w:t>。</w:t>
      </w:r>
    </w:p>
    <w:p w:rsidR="006175A6" w:rsidRDefault="009B4BA7">
      <w:pPr>
        <w:ind w:firstLine="480"/>
      </w:pPr>
      <w:r>
        <w:rPr>
          <w:rFonts w:hint="eastAsia"/>
        </w:rPr>
        <w:t>（</w:t>
      </w:r>
      <w:r>
        <w:rPr>
          <w:rFonts w:hint="eastAsia"/>
        </w:rPr>
        <w:t>2</w:t>
      </w:r>
      <w:r>
        <w:rPr>
          <w:rFonts w:hint="eastAsia"/>
        </w:rPr>
        <w:t>）计算方法</w:t>
      </w:r>
    </w:p>
    <w:p w:rsidR="006175A6" w:rsidRDefault="009B4BA7">
      <w:pPr>
        <w:ind w:firstLine="480"/>
      </w:pPr>
      <w:r>
        <w:rPr>
          <w:rFonts w:hint="eastAsia"/>
        </w:rPr>
        <w:t>两河口水库为河道型水库，因此采用《水域纳污能力计算规程规范》（</w:t>
      </w:r>
      <w:r>
        <w:t>GB/T 25173-2010</w:t>
      </w:r>
      <w:r>
        <w:rPr>
          <w:rFonts w:hint="eastAsia"/>
        </w:rPr>
        <w:t>）中推荐的一般河流水功能区纳污能力计算的一维模型计算建库前后下游纳污能力。根据两河口水质现状和水污染特点，纳污能力计算控制指标确定为生化需氧量（</w:t>
      </w:r>
      <w:r>
        <w:rPr>
          <w:rFonts w:hint="eastAsia"/>
        </w:rPr>
        <w:t>BOD</w:t>
      </w:r>
      <w:r>
        <w:rPr>
          <w:rFonts w:hint="eastAsia"/>
          <w:vertAlign w:val="subscript"/>
        </w:rPr>
        <w:t>5</w:t>
      </w:r>
      <w:r>
        <w:rPr>
          <w:rFonts w:hint="eastAsia"/>
        </w:rPr>
        <w:t>）和氨氮。</w:t>
      </w:r>
    </w:p>
    <w:p w:rsidR="006175A6" w:rsidRDefault="009B4BA7">
      <w:pPr>
        <w:ind w:firstLine="480"/>
      </w:pPr>
      <w:r>
        <w:rPr>
          <w:rFonts w:hint="eastAsia"/>
        </w:rPr>
        <w:t>水功能区下断面的污染物浓度：</w:t>
      </w:r>
    </w:p>
    <w:p w:rsidR="006175A6" w:rsidRDefault="009D20DC">
      <w:pPr>
        <w:ind w:firstLine="480"/>
      </w:pPr>
      <m:oMathPara>
        <m:oMath>
          <m:sSub>
            <m:sSubPr>
              <m:ctrlPr>
                <w:rPr>
                  <w:rFonts w:ascii="Cambria Math" w:hAnsi="Cambria Math"/>
                </w:rPr>
              </m:ctrlPr>
            </m:sSubPr>
            <m:e>
              <m:r>
                <w:rPr>
                  <w:rFonts w:ascii="Cambria Math" w:hAnsi="Cambria Math"/>
                </w:rPr>
                <m:t>C</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 xml:space="preserve">0 </m:t>
              </m:r>
            </m:sub>
          </m:sSub>
          <m:r>
            <m:rPr>
              <m:sty m:val="p"/>
            </m:rPr>
            <w:rPr>
              <w:rFonts w:ascii="Cambria Math" w:hAnsi="Cambria Math"/>
            </w:rPr>
            <m:t>exp⁡</m:t>
          </m:r>
          <m:r>
            <m:rPr>
              <m:sty m:val="p"/>
            </m:rPr>
            <w:rPr>
              <w:rFonts w:ascii="Cambria Math" w:hAnsi="Cambria Math"/>
            </w:rPr>
            <m:t>（</m:t>
          </m:r>
          <m:r>
            <w:rPr>
              <w:rFonts w:ascii="Cambria Math" w:hAnsi="Cambria Math"/>
            </w:rPr>
            <m:t>-K</m:t>
          </m:r>
          <m:f>
            <m:fPr>
              <m:ctrlPr>
                <w:rPr>
                  <w:rFonts w:ascii="Cambria Math" w:hAnsi="Cambria Math"/>
                  <w:i/>
                </w:rPr>
              </m:ctrlPr>
            </m:fPr>
            <m:num>
              <m:r>
                <w:rPr>
                  <w:rFonts w:ascii="Cambria Math" w:hAnsi="Cambria Math"/>
                </w:rPr>
                <m:t>x</m:t>
              </m:r>
            </m:num>
            <m:den>
              <m:r>
                <w:rPr>
                  <w:rFonts w:ascii="Cambria Math" w:hAnsi="Cambria Math"/>
                </w:rPr>
                <m:t>u</m:t>
              </m:r>
            </m:den>
          </m:f>
          <m:r>
            <m:rPr>
              <m:sty m:val="p"/>
            </m:rPr>
            <w:rPr>
              <w:rFonts w:ascii="Cambria Math" w:hAnsi="Cambria Math"/>
            </w:rPr>
            <m:t>）</m:t>
          </m:r>
        </m:oMath>
      </m:oMathPara>
    </w:p>
    <w:p w:rsidR="006175A6" w:rsidRDefault="009B4BA7">
      <w:pPr>
        <w:ind w:firstLine="480"/>
      </w:pPr>
      <w:r>
        <w:rPr>
          <w:rFonts w:hint="eastAsia"/>
        </w:rPr>
        <w:t>式中：</w:t>
      </w:r>
      <w:r>
        <w:rPr>
          <w:rFonts w:hint="eastAsia"/>
        </w:rPr>
        <w:t xml:space="preserve"> Cx</w:t>
      </w:r>
      <w:r>
        <w:rPr>
          <w:rFonts w:hint="eastAsia"/>
        </w:rPr>
        <w:t>——流经</w:t>
      </w:r>
      <w:r>
        <w:rPr>
          <w:rFonts w:hint="eastAsia"/>
        </w:rPr>
        <w:t xml:space="preserve">x </w:t>
      </w:r>
      <w:r>
        <w:rPr>
          <w:rFonts w:hint="eastAsia"/>
        </w:rPr>
        <w:t>距离后的污染物浓度，</w:t>
      </w:r>
      <w:r>
        <w:rPr>
          <w:rFonts w:hint="eastAsia"/>
        </w:rPr>
        <w:t>mg/L</w:t>
      </w:r>
      <w:r>
        <w:rPr>
          <w:rFonts w:hint="eastAsia"/>
        </w:rPr>
        <w:t>；</w:t>
      </w:r>
    </w:p>
    <w:p w:rsidR="006175A6" w:rsidRDefault="009B4BA7">
      <w:pPr>
        <w:ind w:left="780" w:firstLine="480"/>
      </w:pPr>
      <w:r>
        <w:rPr>
          <w:rFonts w:hint="eastAsia"/>
        </w:rPr>
        <w:t>C</w:t>
      </w:r>
      <w:r>
        <w:rPr>
          <w:rFonts w:hint="eastAsia"/>
          <w:vertAlign w:val="subscript"/>
        </w:rPr>
        <w:t>0</w:t>
      </w:r>
      <w:r>
        <w:rPr>
          <w:rFonts w:hint="eastAsia"/>
        </w:rPr>
        <w:t>——初始断面的污染物浓度，</w:t>
      </w:r>
      <w:r>
        <w:rPr>
          <w:rFonts w:hint="eastAsia"/>
        </w:rPr>
        <w:t>mg/L</w:t>
      </w:r>
      <w:r>
        <w:rPr>
          <w:rFonts w:hint="eastAsia"/>
        </w:rPr>
        <w:t>；</w:t>
      </w:r>
    </w:p>
    <w:p w:rsidR="006175A6" w:rsidRDefault="009B4BA7">
      <w:pPr>
        <w:ind w:left="780" w:firstLine="480"/>
      </w:pPr>
      <w:r>
        <w:rPr>
          <w:rFonts w:hint="eastAsia"/>
        </w:rPr>
        <w:t>x</w:t>
      </w:r>
      <w:r>
        <w:rPr>
          <w:rFonts w:hint="eastAsia"/>
        </w:rPr>
        <w:t>——沿河段的纵向距离，</w:t>
      </w:r>
      <w:r>
        <w:rPr>
          <w:rFonts w:hint="eastAsia"/>
        </w:rPr>
        <w:t>m</w:t>
      </w:r>
      <w:r>
        <w:rPr>
          <w:rFonts w:hint="eastAsia"/>
        </w:rPr>
        <w:t>；</w:t>
      </w:r>
    </w:p>
    <w:p w:rsidR="006175A6" w:rsidRDefault="009B4BA7">
      <w:pPr>
        <w:ind w:left="780" w:firstLine="480"/>
      </w:pPr>
      <w:r>
        <w:rPr>
          <w:rFonts w:hint="eastAsia"/>
        </w:rPr>
        <w:t>u</w:t>
      </w:r>
      <w:r>
        <w:rPr>
          <w:rFonts w:hint="eastAsia"/>
        </w:rPr>
        <w:t>——设计流量下河道断面的平均流速，</w:t>
      </w:r>
      <w:r>
        <w:rPr>
          <w:rFonts w:hint="eastAsia"/>
        </w:rPr>
        <w:t>m/s</w:t>
      </w:r>
      <w:r>
        <w:rPr>
          <w:rFonts w:hint="eastAsia"/>
        </w:rPr>
        <w:t>，河流过水断面面积约为；</w:t>
      </w:r>
    </w:p>
    <w:p w:rsidR="006175A6" w:rsidRDefault="009B4BA7">
      <w:pPr>
        <w:ind w:left="780" w:firstLine="480"/>
      </w:pPr>
      <w:r>
        <w:rPr>
          <w:rFonts w:hint="eastAsia"/>
        </w:rPr>
        <w:t>K</w:t>
      </w:r>
      <w:r>
        <w:rPr>
          <w:rFonts w:hint="eastAsia"/>
        </w:rPr>
        <w:t>——污染物综合衰减系数，</w:t>
      </w:r>
      <w:r>
        <w:rPr>
          <w:rFonts w:hint="eastAsia"/>
        </w:rPr>
        <w:t>1/s</w:t>
      </w:r>
      <w:r>
        <w:rPr>
          <w:rFonts w:hint="eastAsia"/>
        </w:rPr>
        <w:t>。</w:t>
      </w:r>
    </w:p>
    <w:p w:rsidR="006175A6" w:rsidRDefault="009B4BA7">
      <w:pPr>
        <w:ind w:firstLine="480"/>
      </w:pPr>
      <w:r>
        <w:rPr>
          <w:rFonts w:hint="eastAsia"/>
        </w:rPr>
        <w:t>相应的水域纳污能力分别按下式计算：</w:t>
      </w:r>
    </w:p>
    <w:p w:rsidR="006175A6" w:rsidRDefault="009B4BA7">
      <w:pPr>
        <w:ind w:firstLine="480"/>
      </w:pPr>
      <m:oMathPara>
        <m:oMath>
          <m:r>
            <m:rPr>
              <m:sty m:val="p"/>
            </m:rP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sub>
          </m:sSub>
          <m:r>
            <m:rPr>
              <m:sty m:val="p"/>
            </m:rPr>
            <w:rPr>
              <w:rFonts w:ascii="Cambria Math" w:hAnsi="Cambria Math"/>
            </w:rPr>
            <m:t>）</m:t>
          </m:r>
          <m:r>
            <m:rPr>
              <m:sty m:val="p"/>
            </m:rPr>
            <w:rPr>
              <w:rFonts w:ascii="Cambria Math" w:hAnsi="Cambria Math"/>
            </w:rPr>
            <m:t>（</m:t>
          </m:r>
          <m:r>
            <m:rPr>
              <m:sty m:val="p"/>
            </m:rPr>
            <w:rPr>
              <w:rFonts w:ascii="Cambria Math" w:hAnsi="Cambria Math"/>
            </w:rPr>
            <m:t>Q+</m:t>
          </m:r>
          <m:sSub>
            <m:sSubPr>
              <m:ctrlPr>
                <w:rPr>
                  <w:rFonts w:ascii="Cambria Math" w:hAnsi="Cambria Math"/>
                </w:rPr>
              </m:ctrlPr>
            </m:sSubPr>
            <m:e>
              <m:r>
                <w:rPr>
                  <w:rFonts w:ascii="Cambria Math" w:hAnsi="Cambria Math"/>
                </w:rPr>
                <m:t>Q</m:t>
              </m:r>
            </m:e>
            <m:sub>
              <m:r>
                <w:rPr>
                  <w:rFonts w:ascii="Cambria Math" w:hAnsi="Cambria Math"/>
                </w:rPr>
                <m:t>P</m:t>
              </m:r>
            </m:sub>
          </m:sSub>
          <m:r>
            <w:rPr>
              <w:rFonts w:ascii="Cambria Math" w:hAnsi="Cambria Math"/>
            </w:rPr>
            <m:t>）</m:t>
          </m:r>
        </m:oMath>
      </m:oMathPara>
    </w:p>
    <w:p w:rsidR="006175A6" w:rsidRDefault="009B4BA7">
      <w:pPr>
        <w:ind w:firstLine="480"/>
      </w:pPr>
      <w:r>
        <w:rPr>
          <w:rFonts w:hint="eastAsia"/>
        </w:rPr>
        <w:t>式中：</w:t>
      </w:r>
      <w:r>
        <w:rPr>
          <w:rFonts w:hint="eastAsia"/>
        </w:rPr>
        <w:t xml:space="preserve"> M</w:t>
      </w:r>
      <w:r>
        <w:rPr>
          <w:rFonts w:hint="eastAsia"/>
        </w:rPr>
        <w:t>——水域纳污能力，</w:t>
      </w:r>
      <w:r>
        <w:rPr>
          <w:rFonts w:hint="eastAsia"/>
        </w:rPr>
        <w:t>g/s</w:t>
      </w:r>
      <w:r>
        <w:rPr>
          <w:rFonts w:hint="eastAsia"/>
        </w:rPr>
        <w:t>；</w:t>
      </w:r>
    </w:p>
    <w:p w:rsidR="006175A6" w:rsidRDefault="009B4BA7">
      <w:pPr>
        <w:ind w:left="780" w:firstLine="480"/>
      </w:pPr>
      <w:r>
        <w:rPr>
          <w:rFonts w:hint="eastAsia"/>
        </w:rPr>
        <w:t>Cz</w:t>
      </w:r>
      <w:r>
        <w:rPr>
          <w:rFonts w:hint="eastAsia"/>
        </w:rPr>
        <w:t>——水质目标浓度值，</w:t>
      </w:r>
      <w:r>
        <w:rPr>
          <w:rFonts w:hint="eastAsia"/>
        </w:rPr>
        <w:t>mg/L</w:t>
      </w:r>
      <w:r>
        <w:rPr>
          <w:rFonts w:hint="eastAsia"/>
        </w:rPr>
        <w:t>（</w:t>
      </w:r>
      <w:r>
        <w:rPr>
          <w:rFonts w:hint="eastAsia"/>
        </w:rPr>
        <w:t>BOD</w:t>
      </w:r>
      <w:r>
        <w:rPr>
          <w:rFonts w:hint="eastAsia"/>
          <w:vertAlign w:val="subscript"/>
        </w:rPr>
        <w:t>5</w:t>
      </w:r>
      <w:r>
        <w:rPr>
          <w:rFonts w:hint="eastAsia"/>
        </w:rPr>
        <w:t>为</w:t>
      </w:r>
      <w:r>
        <w:rPr>
          <w:rFonts w:hint="eastAsia"/>
        </w:rPr>
        <w:t>4 mg/L</w:t>
      </w:r>
      <w:r>
        <w:rPr>
          <w:rFonts w:hint="eastAsia"/>
        </w:rPr>
        <w:t>，氨氮</w:t>
      </w:r>
      <w:r>
        <w:rPr>
          <w:rFonts w:hint="eastAsia"/>
        </w:rPr>
        <w:t>1.0 mg/L</w:t>
      </w:r>
      <w:r>
        <w:rPr>
          <w:rFonts w:hint="eastAsia"/>
        </w:rPr>
        <w:t>）；</w:t>
      </w:r>
    </w:p>
    <w:p w:rsidR="006175A6" w:rsidRDefault="009B4BA7">
      <w:pPr>
        <w:ind w:left="780" w:firstLine="480"/>
      </w:pPr>
      <w:r>
        <w:rPr>
          <w:rFonts w:hint="eastAsia"/>
        </w:rPr>
        <w:t>Qp</w:t>
      </w:r>
      <w:r>
        <w:rPr>
          <w:rFonts w:hint="eastAsia"/>
        </w:rPr>
        <w:t>——污水排放流量，</w:t>
      </w:r>
      <w:r>
        <w:rPr>
          <w:rFonts w:hint="eastAsia"/>
        </w:rPr>
        <w:t>m</w:t>
      </w:r>
      <w:r>
        <w:rPr>
          <w:rFonts w:hint="eastAsia"/>
          <w:vertAlign w:val="superscript"/>
        </w:rPr>
        <w:t>3</w:t>
      </w:r>
      <w:r>
        <w:rPr>
          <w:rFonts w:hint="eastAsia"/>
        </w:rPr>
        <w:t>/s</w:t>
      </w:r>
      <w:r>
        <w:rPr>
          <w:rFonts w:hint="eastAsia"/>
        </w:rPr>
        <w:t>；</w:t>
      </w:r>
    </w:p>
    <w:p w:rsidR="006175A6" w:rsidRDefault="009B4BA7">
      <w:pPr>
        <w:ind w:left="780" w:firstLine="480"/>
      </w:pPr>
      <w:r>
        <w:rPr>
          <w:rFonts w:hint="eastAsia"/>
        </w:rPr>
        <w:lastRenderedPageBreak/>
        <w:t>Q</w:t>
      </w:r>
      <w:r>
        <w:rPr>
          <w:rFonts w:hint="eastAsia"/>
        </w:rPr>
        <w:t>——初始断面的入流流量，</w:t>
      </w:r>
      <w:r>
        <w:rPr>
          <w:rFonts w:hint="eastAsia"/>
        </w:rPr>
        <w:t>m</w:t>
      </w:r>
      <w:r>
        <w:rPr>
          <w:rFonts w:hint="eastAsia"/>
          <w:vertAlign w:val="superscript"/>
        </w:rPr>
        <w:t>3</w:t>
      </w:r>
      <w:r>
        <w:rPr>
          <w:rFonts w:hint="eastAsia"/>
        </w:rPr>
        <w:t>/s</w:t>
      </w:r>
      <w:r>
        <w:rPr>
          <w:rFonts w:hint="eastAsia"/>
        </w:rPr>
        <w:t>；</w:t>
      </w:r>
    </w:p>
    <w:p w:rsidR="006175A6" w:rsidRDefault="009B4BA7">
      <w:pPr>
        <w:ind w:firstLine="480"/>
      </w:pPr>
      <w:r>
        <w:rPr>
          <w:rFonts w:hint="eastAsia"/>
        </w:rPr>
        <w:t>（</w:t>
      </w:r>
      <w:r>
        <w:rPr>
          <w:rFonts w:hint="eastAsia"/>
        </w:rPr>
        <w:t>3</w:t>
      </w:r>
      <w:r>
        <w:rPr>
          <w:rFonts w:hint="eastAsia"/>
        </w:rPr>
        <w:t>）相关计算参数</w:t>
      </w:r>
    </w:p>
    <w:p w:rsidR="006175A6" w:rsidRDefault="009B4BA7">
      <w:pPr>
        <w:ind w:firstLine="480"/>
        <w:rPr>
          <w:color w:val="FF0000"/>
        </w:rPr>
      </w:pPr>
      <w:r>
        <w:rPr>
          <w:rFonts w:hint="eastAsia"/>
        </w:rPr>
        <w:t>建库前坝址处多年平均流量为</w:t>
      </w:r>
      <w:r>
        <w:rPr>
          <w:rFonts w:hint="eastAsia"/>
        </w:rPr>
        <w:t>1.56m</w:t>
      </w:r>
      <w:r>
        <w:rPr>
          <w:rFonts w:hint="eastAsia"/>
          <w:vertAlign w:val="superscript"/>
        </w:rPr>
        <w:t>3</w:t>
      </w:r>
      <w:r>
        <w:rPr>
          <w:rFonts w:hint="eastAsia"/>
        </w:rPr>
        <w:t>/s</w:t>
      </w:r>
      <w:r>
        <w:rPr>
          <w:rFonts w:hint="eastAsia"/>
        </w:rPr>
        <w:t>，设计下泄生态流量为多年平均流量的</w:t>
      </w:r>
      <w:r>
        <w:rPr>
          <w:rFonts w:hint="eastAsia"/>
        </w:rPr>
        <w:t>20%</w:t>
      </w:r>
      <w:r>
        <w:rPr>
          <w:rFonts w:hint="eastAsia"/>
        </w:rPr>
        <w:t>，建库后由于水库的调节作用保证生态下泄流量为</w:t>
      </w:r>
      <w:r>
        <w:rPr>
          <w:rFonts w:hint="eastAsia"/>
        </w:rPr>
        <w:t>0.312m</w:t>
      </w:r>
      <w:r>
        <w:rPr>
          <w:rFonts w:hint="eastAsia"/>
          <w:vertAlign w:val="superscript"/>
        </w:rPr>
        <w:t>3</w:t>
      </w:r>
      <w:r>
        <w:rPr>
          <w:rFonts w:hint="eastAsia"/>
        </w:rPr>
        <w:t>/s</w:t>
      </w:r>
      <w:r>
        <w:rPr>
          <w:rFonts w:hint="eastAsia"/>
        </w:rPr>
        <w:t>。</w:t>
      </w:r>
    </w:p>
    <w:p w:rsidR="006175A6" w:rsidRDefault="009B4BA7">
      <w:pPr>
        <w:ind w:firstLine="480"/>
      </w:pPr>
      <w:r>
        <w:rPr>
          <w:rFonts w:hint="eastAsia"/>
        </w:rPr>
        <w:t>坝址断面浓度取自湖北求实检测技术有限公司</w:t>
      </w:r>
      <w:r>
        <w:rPr>
          <w:rFonts w:hint="eastAsia"/>
        </w:rPr>
        <w:t>2021</w:t>
      </w:r>
      <w:r>
        <w:rPr>
          <w:rFonts w:hint="eastAsia"/>
        </w:rPr>
        <w:t>年</w:t>
      </w:r>
      <w:r>
        <w:rPr>
          <w:rFonts w:hint="eastAsia"/>
        </w:rPr>
        <w:t>7</w:t>
      </w:r>
      <w:r>
        <w:rPr>
          <w:rFonts w:hint="eastAsia"/>
        </w:rPr>
        <w:t>月对两河口水库坝址下游</w:t>
      </w:r>
      <w:r>
        <w:rPr>
          <w:rFonts w:hint="eastAsia"/>
        </w:rPr>
        <w:t>500m</w:t>
      </w:r>
      <w:r>
        <w:rPr>
          <w:rFonts w:hint="eastAsia"/>
        </w:rPr>
        <w:t>处得监测值，</w:t>
      </w:r>
      <w:r>
        <w:rPr>
          <w:rFonts w:hint="eastAsia"/>
        </w:rPr>
        <w:t>BOD</w:t>
      </w:r>
      <w:r>
        <w:rPr>
          <w:rFonts w:hint="eastAsia"/>
          <w:vertAlign w:val="subscript"/>
        </w:rPr>
        <w:t>5</w:t>
      </w:r>
      <w:r>
        <w:rPr>
          <w:rFonts w:hint="eastAsia"/>
        </w:rPr>
        <w:t xml:space="preserve"> </w:t>
      </w:r>
      <w:r>
        <w:rPr>
          <w:rFonts w:hint="eastAsia"/>
        </w:rPr>
        <w:t>为</w:t>
      </w:r>
      <w:r>
        <w:rPr>
          <w:rFonts w:hint="eastAsia"/>
        </w:rPr>
        <w:t>1.25mg/L</w:t>
      </w:r>
      <w:r>
        <w:rPr>
          <w:rFonts w:hint="eastAsia"/>
        </w:rPr>
        <w:t>，氨氮为</w:t>
      </w:r>
      <w:r>
        <w:rPr>
          <w:rFonts w:hint="eastAsia"/>
        </w:rPr>
        <w:t>0.055mg/L</w:t>
      </w:r>
      <w:r>
        <w:rPr>
          <w:rFonts w:hint="eastAsia"/>
        </w:rPr>
        <w:t>。</w:t>
      </w:r>
    </w:p>
    <w:p w:rsidR="006175A6" w:rsidRDefault="009B4BA7">
      <w:pPr>
        <w:ind w:firstLine="480"/>
      </w:pPr>
      <w:r>
        <w:rPr>
          <w:rFonts w:hint="eastAsia"/>
        </w:rPr>
        <w:t>门家河污染物的综合自净系数氨氮的</w:t>
      </w:r>
      <w:r>
        <w:rPr>
          <w:rFonts w:hint="eastAsia"/>
        </w:rPr>
        <w:t>K</w:t>
      </w:r>
      <w:r>
        <w:rPr>
          <w:rFonts w:hint="eastAsia"/>
        </w:rPr>
        <w:t>值为</w:t>
      </w:r>
      <w:r>
        <w:rPr>
          <w:rFonts w:hint="eastAsia"/>
        </w:rPr>
        <w:t>0.1~0.2d</w:t>
      </w:r>
      <w:r>
        <w:rPr>
          <w:rFonts w:hint="eastAsia"/>
          <w:vertAlign w:val="superscript"/>
        </w:rPr>
        <w:t>-1</w:t>
      </w:r>
      <w:r>
        <w:rPr>
          <w:rFonts w:hint="eastAsia"/>
        </w:rPr>
        <w:t>，</w:t>
      </w:r>
      <w:r>
        <w:rPr>
          <w:rFonts w:hint="eastAsia"/>
        </w:rPr>
        <w:t>BOD</w:t>
      </w:r>
      <w:r>
        <w:rPr>
          <w:rFonts w:hint="eastAsia"/>
          <w:vertAlign w:val="subscript"/>
        </w:rPr>
        <w:t>5</w:t>
      </w:r>
      <w:r>
        <w:rPr>
          <w:rFonts w:hint="eastAsia"/>
        </w:rPr>
        <w:t xml:space="preserve"> </w:t>
      </w:r>
      <w:r>
        <w:rPr>
          <w:rFonts w:hint="eastAsia"/>
        </w:rPr>
        <w:t>的</w:t>
      </w:r>
      <w:r>
        <w:rPr>
          <w:rFonts w:hint="eastAsia"/>
        </w:rPr>
        <w:t>K</w:t>
      </w:r>
      <w:r>
        <w:rPr>
          <w:rFonts w:hint="eastAsia"/>
        </w:rPr>
        <w:t>值为</w:t>
      </w:r>
      <w:r>
        <w:rPr>
          <w:rFonts w:hint="eastAsia"/>
        </w:rPr>
        <w:t>0.14~0.30d</w:t>
      </w:r>
      <w:r>
        <w:rPr>
          <w:rFonts w:hint="eastAsia"/>
          <w:vertAlign w:val="superscript"/>
        </w:rPr>
        <w:t>-1</w:t>
      </w:r>
      <w:r>
        <w:rPr>
          <w:rFonts w:hint="eastAsia"/>
        </w:rPr>
        <w:t>。</w:t>
      </w:r>
    </w:p>
    <w:p w:rsidR="006175A6" w:rsidRDefault="009B4BA7">
      <w:pPr>
        <w:ind w:firstLine="480"/>
      </w:pPr>
      <w:r>
        <w:rPr>
          <w:rFonts w:hint="eastAsia"/>
        </w:rPr>
        <w:t>（</w:t>
      </w:r>
      <w:r>
        <w:rPr>
          <w:rFonts w:hint="eastAsia"/>
        </w:rPr>
        <w:t>4</w:t>
      </w:r>
      <w:r>
        <w:rPr>
          <w:rFonts w:hint="eastAsia"/>
        </w:rPr>
        <w:t>）沿途排污口</w:t>
      </w:r>
    </w:p>
    <w:p w:rsidR="006175A6" w:rsidRDefault="009B4BA7">
      <w:pPr>
        <w:ind w:firstLine="480"/>
      </w:pPr>
      <w:r>
        <w:rPr>
          <w:rFonts w:hint="eastAsia"/>
        </w:rPr>
        <w:t>两河口水库坝址下游两河口沿岸石柱村。石柱村村居民生活污水采取分散式处理，经化粪池处理后进入旱厕沤肥，用作农田施肥，不外排。因此，两河口水库坝址下游两河口沿岸无排污口。</w:t>
      </w:r>
    </w:p>
    <w:p w:rsidR="006175A6" w:rsidRDefault="009B4BA7">
      <w:pPr>
        <w:ind w:firstLine="480"/>
      </w:pPr>
      <w:r>
        <w:rPr>
          <w:rFonts w:hint="eastAsia"/>
        </w:rPr>
        <w:t>（</w:t>
      </w:r>
      <w:r>
        <w:rPr>
          <w:rFonts w:hint="eastAsia"/>
        </w:rPr>
        <w:t>5</w:t>
      </w:r>
      <w:r>
        <w:rPr>
          <w:rFonts w:hint="eastAsia"/>
        </w:rPr>
        <w:t>）计算结果</w:t>
      </w:r>
    </w:p>
    <w:p w:rsidR="006175A6" w:rsidRDefault="009B4BA7">
      <w:pPr>
        <w:ind w:firstLine="480"/>
      </w:pPr>
      <w:r>
        <w:rPr>
          <w:rFonts w:hint="eastAsia"/>
        </w:rPr>
        <w:t>两河口水库建设前后坝址下游两河口纳污能力见下表，建库前坝址处多年平均流量为</w:t>
      </w:r>
      <w:r>
        <w:rPr>
          <w:rFonts w:hint="eastAsia"/>
        </w:rPr>
        <w:t>1.56m</w:t>
      </w:r>
      <w:r>
        <w:rPr>
          <w:rFonts w:hint="eastAsia"/>
          <w:vertAlign w:val="superscript"/>
        </w:rPr>
        <w:t>3</w:t>
      </w:r>
      <w:r>
        <w:rPr>
          <w:rFonts w:hint="eastAsia"/>
        </w:rPr>
        <w:t>/s</w:t>
      </w:r>
      <w:r>
        <w:rPr>
          <w:rFonts w:hint="eastAsia"/>
        </w:rPr>
        <w:t>，建库后由于水库的调节作用保证生态下泄流量为</w:t>
      </w:r>
      <w:r>
        <w:rPr>
          <w:rFonts w:hint="eastAsia"/>
        </w:rPr>
        <w:t>0.312m</w:t>
      </w:r>
      <w:r>
        <w:rPr>
          <w:rFonts w:hint="eastAsia"/>
          <w:vertAlign w:val="superscript"/>
        </w:rPr>
        <w:t>3</w:t>
      </w:r>
      <w:r>
        <w:rPr>
          <w:rFonts w:hint="eastAsia"/>
        </w:rPr>
        <w:t>/s</w:t>
      </w:r>
      <w:r>
        <w:rPr>
          <w:rFonts w:hint="eastAsia"/>
        </w:rPr>
        <w:t>，不会减少纳污能力，生态流量的设定具有一定的合理性。</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5</w:t>
      </w:r>
      <w:r w:rsidR="00A524F9">
        <w:fldChar w:fldCharType="end"/>
      </w:r>
      <w:r>
        <w:rPr>
          <w:rFonts w:hint="eastAsia"/>
        </w:rPr>
        <w:t xml:space="preserve">  </w:t>
      </w:r>
      <w:r>
        <w:rPr>
          <w:rFonts w:hint="eastAsia"/>
        </w:rPr>
        <w:t>建库前后水库下游纳污能力计算结果表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0"/>
        <w:gridCol w:w="1467"/>
        <w:gridCol w:w="1430"/>
        <w:gridCol w:w="1404"/>
        <w:gridCol w:w="1430"/>
        <w:gridCol w:w="1405"/>
      </w:tblGrid>
      <w:tr w:rsidR="006175A6">
        <w:trPr>
          <w:trHeight w:val="340"/>
        </w:trPr>
        <w:tc>
          <w:tcPr>
            <w:tcW w:w="709" w:type="pct"/>
            <w:vMerge w:val="restart"/>
            <w:vAlign w:val="center"/>
          </w:tcPr>
          <w:p w:rsidR="006175A6" w:rsidRDefault="009B4BA7">
            <w:pPr>
              <w:pStyle w:val="TableParagraph"/>
              <w:rPr>
                <w:sz w:val="21"/>
              </w:rPr>
            </w:pPr>
            <w:r>
              <w:rPr>
                <w:sz w:val="21"/>
              </w:rPr>
              <w:t>功能区</w:t>
            </w:r>
          </w:p>
        </w:tc>
        <w:tc>
          <w:tcPr>
            <w:tcW w:w="882" w:type="pct"/>
            <w:vMerge w:val="restart"/>
            <w:vAlign w:val="center"/>
          </w:tcPr>
          <w:p w:rsidR="006175A6" w:rsidRDefault="009B4BA7">
            <w:pPr>
              <w:pStyle w:val="TableParagraph"/>
              <w:rPr>
                <w:rFonts w:ascii="Times New Roman" w:eastAsia="Times New Roman"/>
                <w:sz w:val="21"/>
              </w:rPr>
            </w:pPr>
            <w:r>
              <w:rPr>
                <w:sz w:val="21"/>
              </w:rPr>
              <w:t>河长</w:t>
            </w:r>
            <w:r w:rsidR="00E97427">
              <w:rPr>
                <w:rFonts w:hint="eastAsia"/>
                <w:sz w:val="21"/>
              </w:rPr>
              <w:t>（</w:t>
            </w:r>
            <w:r>
              <w:rPr>
                <w:rFonts w:ascii="Times New Roman" w:eastAsia="Times New Roman"/>
                <w:sz w:val="21"/>
              </w:rPr>
              <w:t>km</w:t>
            </w:r>
            <w:r w:rsidR="00E97427">
              <w:rPr>
                <w:rFonts w:hint="eastAsia"/>
                <w:sz w:val="21"/>
              </w:rPr>
              <w:t>）</w:t>
            </w:r>
          </w:p>
        </w:tc>
        <w:tc>
          <w:tcPr>
            <w:tcW w:w="3409" w:type="pct"/>
            <w:gridSpan w:val="4"/>
            <w:vAlign w:val="center"/>
          </w:tcPr>
          <w:p w:rsidR="006175A6" w:rsidRDefault="009B4BA7">
            <w:pPr>
              <w:pStyle w:val="TableParagraph"/>
              <w:rPr>
                <w:sz w:val="21"/>
              </w:rPr>
            </w:pPr>
            <w:r>
              <w:rPr>
                <w:sz w:val="21"/>
              </w:rPr>
              <w:t>纳污能力</w:t>
            </w:r>
          </w:p>
        </w:tc>
      </w:tr>
      <w:tr w:rsidR="006175A6">
        <w:trPr>
          <w:trHeight w:val="340"/>
        </w:trPr>
        <w:tc>
          <w:tcPr>
            <w:tcW w:w="709" w:type="pct"/>
            <w:vMerge/>
            <w:vAlign w:val="center"/>
          </w:tcPr>
          <w:p w:rsidR="006175A6" w:rsidRDefault="006175A6">
            <w:pPr>
              <w:spacing w:line="240" w:lineRule="auto"/>
              <w:ind w:firstLineChars="0" w:firstLine="0"/>
              <w:jc w:val="center"/>
              <w:rPr>
                <w:sz w:val="2"/>
                <w:szCs w:val="2"/>
              </w:rPr>
            </w:pPr>
          </w:p>
        </w:tc>
        <w:tc>
          <w:tcPr>
            <w:tcW w:w="882" w:type="pct"/>
            <w:vMerge/>
            <w:vAlign w:val="center"/>
          </w:tcPr>
          <w:p w:rsidR="006175A6" w:rsidRDefault="006175A6">
            <w:pPr>
              <w:spacing w:line="240" w:lineRule="auto"/>
              <w:ind w:firstLineChars="0" w:firstLine="0"/>
              <w:jc w:val="center"/>
              <w:rPr>
                <w:sz w:val="2"/>
                <w:szCs w:val="2"/>
              </w:rPr>
            </w:pPr>
          </w:p>
        </w:tc>
        <w:tc>
          <w:tcPr>
            <w:tcW w:w="1704" w:type="pct"/>
            <w:gridSpan w:val="2"/>
            <w:vAlign w:val="center"/>
          </w:tcPr>
          <w:p w:rsidR="006175A6" w:rsidRDefault="009B4BA7">
            <w:pPr>
              <w:pStyle w:val="TableParagraph"/>
              <w:rPr>
                <w:sz w:val="21"/>
              </w:rPr>
            </w:pPr>
            <w:r>
              <w:rPr>
                <w:sz w:val="21"/>
              </w:rPr>
              <w:t>建库前</w:t>
            </w:r>
          </w:p>
        </w:tc>
        <w:tc>
          <w:tcPr>
            <w:tcW w:w="1704" w:type="pct"/>
            <w:gridSpan w:val="2"/>
            <w:vAlign w:val="center"/>
          </w:tcPr>
          <w:p w:rsidR="006175A6" w:rsidRDefault="009B4BA7">
            <w:pPr>
              <w:pStyle w:val="TableParagraph"/>
              <w:rPr>
                <w:sz w:val="21"/>
              </w:rPr>
            </w:pPr>
            <w:r>
              <w:rPr>
                <w:sz w:val="21"/>
              </w:rPr>
              <w:t>建库后</w:t>
            </w:r>
          </w:p>
        </w:tc>
      </w:tr>
      <w:tr w:rsidR="006175A6">
        <w:trPr>
          <w:trHeight w:val="340"/>
        </w:trPr>
        <w:tc>
          <w:tcPr>
            <w:tcW w:w="709" w:type="pct"/>
            <w:vMerge/>
            <w:vAlign w:val="center"/>
          </w:tcPr>
          <w:p w:rsidR="006175A6" w:rsidRDefault="006175A6">
            <w:pPr>
              <w:spacing w:line="240" w:lineRule="auto"/>
              <w:ind w:firstLineChars="0" w:firstLine="0"/>
              <w:jc w:val="center"/>
              <w:rPr>
                <w:sz w:val="2"/>
                <w:szCs w:val="2"/>
              </w:rPr>
            </w:pPr>
          </w:p>
        </w:tc>
        <w:tc>
          <w:tcPr>
            <w:tcW w:w="882" w:type="pct"/>
            <w:vMerge/>
            <w:vAlign w:val="center"/>
          </w:tcPr>
          <w:p w:rsidR="006175A6" w:rsidRDefault="006175A6">
            <w:pPr>
              <w:spacing w:line="240" w:lineRule="auto"/>
              <w:ind w:firstLineChars="0" w:firstLine="0"/>
              <w:jc w:val="center"/>
              <w:rPr>
                <w:sz w:val="2"/>
                <w:szCs w:val="2"/>
              </w:rPr>
            </w:pPr>
          </w:p>
        </w:tc>
        <w:tc>
          <w:tcPr>
            <w:tcW w:w="860" w:type="pct"/>
            <w:vAlign w:val="center"/>
          </w:tcPr>
          <w:p w:rsidR="006175A6" w:rsidRDefault="009B4BA7">
            <w:pPr>
              <w:pStyle w:val="TableParagraph"/>
              <w:rPr>
                <w:rFonts w:ascii="Times New Roman"/>
                <w:sz w:val="21"/>
              </w:rPr>
            </w:pPr>
            <w:r>
              <w:rPr>
                <w:rFonts w:ascii="Times New Roman" w:hint="eastAsia"/>
                <w:sz w:val="21"/>
                <w:lang w:eastAsia="zh-CN"/>
              </w:rPr>
              <w:t>B</w:t>
            </w:r>
            <w:r>
              <w:rPr>
                <w:rFonts w:ascii="Times New Roman"/>
                <w:sz w:val="21"/>
              </w:rPr>
              <w:t>OD</w:t>
            </w:r>
            <w:r>
              <w:rPr>
                <w:rFonts w:ascii="Times New Roman" w:hint="eastAsia"/>
                <w:sz w:val="21"/>
                <w:vertAlign w:val="subscript"/>
                <w:lang w:eastAsia="zh-CN"/>
              </w:rPr>
              <w:t>5</w:t>
            </w:r>
            <w:r w:rsidR="00E97427">
              <w:rPr>
                <w:rFonts w:ascii="Times New Roman"/>
                <w:sz w:val="21"/>
              </w:rPr>
              <w:t>（</w:t>
            </w:r>
            <w:r>
              <w:rPr>
                <w:rFonts w:ascii="Times New Roman"/>
                <w:sz w:val="21"/>
              </w:rPr>
              <w:t>t/a</w:t>
            </w:r>
            <w:r w:rsidR="00E97427">
              <w:rPr>
                <w:rFonts w:ascii="Times New Roman"/>
                <w:sz w:val="21"/>
              </w:rPr>
              <w:t>）</w:t>
            </w:r>
          </w:p>
        </w:tc>
        <w:tc>
          <w:tcPr>
            <w:tcW w:w="844" w:type="pct"/>
            <w:vAlign w:val="center"/>
          </w:tcPr>
          <w:p w:rsidR="006175A6" w:rsidRDefault="009B4BA7">
            <w:pPr>
              <w:pStyle w:val="TableParagraph"/>
              <w:rPr>
                <w:rFonts w:ascii="Times New Roman" w:eastAsia="Times New Roman"/>
                <w:sz w:val="21"/>
              </w:rPr>
            </w:pPr>
            <w:r>
              <w:rPr>
                <w:sz w:val="21"/>
              </w:rPr>
              <w:t>氨氮</w:t>
            </w:r>
            <w:r w:rsidR="00E97427">
              <w:rPr>
                <w:rFonts w:hint="eastAsia"/>
                <w:sz w:val="21"/>
              </w:rPr>
              <w:t>（</w:t>
            </w:r>
            <w:r>
              <w:rPr>
                <w:rFonts w:ascii="Times New Roman" w:eastAsia="Times New Roman"/>
                <w:sz w:val="21"/>
              </w:rPr>
              <w:t>t/a</w:t>
            </w:r>
            <w:r w:rsidR="00E97427">
              <w:rPr>
                <w:rFonts w:hint="eastAsia"/>
                <w:sz w:val="21"/>
              </w:rPr>
              <w:t>）</w:t>
            </w:r>
          </w:p>
        </w:tc>
        <w:tc>
          <w:tcPr>
            <w:tcW w:w="860" w:type="pct"/>
            <w:vAlign w:val="center"/>
          </w:tcPr>
          <w:p w:rsidR="006175A6" w:rsidRDefault="009B4BA7">
            <w:pPr>
              <w:pStyle w:val="TableParagraph"/>
              <w:rPr>
                <w:rFonts w:ascii="Times New Roman"/>
                <w:sz w:val="21"/>
              </w:rPr>
            </w:pPr>
            <w:r>
              <w:rPr>
                <w:rFonts w:ascii="Times New Roman" w:hint="eastAsia"/>
                <w:sz w:val="21"/>
                <w:lang w:eastAsia="zh-CN"/>
              </w:rPr>
              <w:t>B</w:t>
            </w:r>
            <w:r>
              <w:rPr>
                <w:rFonts w:ascii="Times New Roman"/>
                <w:sz w:val="21"/>
              </w:rPr>
              <w:t>OD</w:t>
            </w:r>
            <w:r>
              <w:rPr>
                <w:rFonts w:ascii="Times New Roman" w:hint="eastAsia"/>
                <w:sz w:val="21"/>
                <w:vertAlign w:val="subscript"/>
                <w:lang w:eastAsia="zh-CN"/>
              </w:rPr>
              <w:t>5</w:t>
            </w:r>
            <w:r>
              <w:rPr>
                <w:rFonts w:ascii="Times New Roman"/>
                <w:sz w:val="21"/>
              </w:rPr>
              <w:t xml:space="preserve"> </w:t>
            </w:r>
            <w:r w:rsidR="00E97427">
              <w:rPr>
                <w:rFonts w:ascii="Times New Roman"/>
                <w:sz w:val="21"/>
              </w:rPr>
              <w:t>（</w:t>
            </w:r>
            <w:r>
              <w:rPr>
                <w:rFonts w:ascii="Times New Roman"/>
                <w:sz w:val="21"/>
              </w:rPr>
              <w:t>t/a</w:t>
            </w:r>
            <w:r w:rsidR="00E97427">
              <w:rPr>
                <w:rFonts w:ascii="Times New Roman"/>
                <w:sz w:val="21"/>
              </w:rPr>
              <w:t>）</w:t>
            </w:r>
          </w:p>
        </w:tc>
        <w:tc>
          <w:tcPr>
            <w:tcW w:w="844" w:type="pct"/>
            <w:vAlign w:val="center"/>
          </w:tcPr>
          <w:p w:rsidR="006175A6" w:rsidRDefault="009B4BA7">
            <w:pPr>
              <w:pStyle w:val="TableParagraph"/>
              <w:rPr>
                <w:rFonts w:ascii="Times New Roman" w:eastAsia="Times New Roman"/>
                <w:sz w:val="21"/>
              </w:rPr>
            </w:pPr>
            <w:r>
              <w:rPr>
                <w:sz w:val="21"/>
              </w:rPr>
              <w:t>氨氮</w:t>
            </w:r>
            <w:r w:rsidR="00E97427">
              <w:rPr>
                <w:rFonts w:hint="eastAsia"/>
                <w:sz w:val="21"/>
              </w:rPr>
              <w:t>（</w:t>
            </w:r>
            <w:r>
              <w:rPr>
                <w:rFonts w:ascii="Times New Roman" w:eastAsia="Times New Roman"/>
                <w:sz w:val="21"/>
              </w:rPr>
              <w:t>t/a</w:t>
            </w:r>
            <w:r w:rsidR="00E97427">
              <w:rPr>
                <w:rFonts w:hint="eastAsia"/>
                <w:sz w:val="21"/>
              </w:rPr>
              <w:t>）</w:t>
            </w:r>
          </w:p>
        </w:tc>
      </w:tr>
      <w:tr w:rsidR="006175A6">
        <w:trPr>
          <w:trHeight w:val="340"/>
        </w:trPr>
        <w:tc>
          <w:tcPr>
            <w:tcW w:w="709" w:type="pct"/>
            <w:vAlign w:val="center"/>
          </w:tcPr>
          <w:p w:rsidR="006175A6" w:rsidRDefault="009B4BA7">
            <w:pPr>
              <w:pStyle w:val="TableParagraph"/>
              <w:rPr>
                <w:sz w:val="21"/>
                <w:lang w:eastAsia="zh-CN"/>
              </w:rPr>
            </w:pPr>
            <w:r>
              <w:rPr>
                <w:sz w:val="21"/>
              </w:rPr>
              <w:t>坝下下游</w:t>
            </w:r>
            <w:r>
              <w:rPr>
                <w:rFonts w:hint="eastAsia"/>
                <w:sz w:val="21"/>
                <w:lang w:eastAsia="zh-CN"/>
              </w:rPr>
              <w:t>门家河</w:t>
            </w:r>
          </w:p>
        </w:tc>
        <w:tc>
          <w:tcPr>
            <w:tcW w:w="882" w:type="pct"/>
            <w:vAlign w:val="center"/>
          </w:tcPr>
          <w:p w:rsidR="006175A6" w:rsidRDefault="009B4BA7">
            <w:pPr>
              <w:pStyle w:val="TableParagraph"/>
              <w:rPr>
                <w:rFonts w:ascii="Times New Roman"/>
                <w:sz w:val="21"/>
                <w:lang w:eastAsia="zh-CN"/>
              </w:rPr>
            </w:pPr>
            <w:r>
              <w:rPr>
                <w:rFonts w:ascii="Times New Roman" w:hint="eastAsia"/>
                <w:sz w:val="21"/>
                <w:lang w:eastAsia="zh-CN"/>
              </w:rPr>
              <w:t>4.5</w:t>
            </w:r>
          </w:p>
        </w:tc>
        <w:tc>
          <w:tcPr>
            <w:tcW w:w="860" w:type="pct"/>
            <w:vAlign w:val="center"/>
          </w:tcPr>
          <w:p w:rsidR="006175A6" w:rsidRDefault="009B4BA7">
            <w:pPr>
              <w:pStyle w:val="TableParagraph"/>
              <w:rPr>
                <w:rFonts w:ascii="Times New Roman"/>
                <w:sz w:val="21"/>
                <w:lang w:eastAsia="zh-CN"/>
              </w:rPr>
            </w:pPr>
            <w:r>
              <w:rPr>
                <w:rFonts w:ascii="Times New Roman" w:hint="eastAsia"/>
                <w:sz w:val="21"/>
                <w:lang w:eastAsia="zh-CN"/>
              </w:rPr>
              <w:t>135.29</w:t>
            </w:r>
          </w:p>
        </w:tc>
        <w:tc>
          <w:tcPr>
            <w:tcW w:w="844" w:type="pct"/>
            <w:vAlign w:val="center"/>
          </w:tcPr>
          <w:p w:rsidR="006175A6" w:rsidRDefault="009B4BA7">
            <w:pPr>
              <w:pStyle w:val="TableParagraph"/>
              <w:rPr>
                <w:rFonts w:ascii="Times New Roman"/>
                <w:sz w:val="21"/>
                <w:lang w:eastAsia="zh-CN"/>
              </w:rPr>
            </w:pPr>
            <w:r>
              <w:rPr>
                <w:rFonts w:ascii="Times New Roman" w:hint="eastAsia"/>
                <w:sz w:val="21"/>
                <w:lang w:eastAsia="zh-CN"/>
              </w:rPr>
              <w:t>46.49</w:t>
            </w:r>
          </w:p>
        </w:tc>
        <w:tc>
          <w:tcPr>
            <w:tcW w:w="860" w:type="pct"/>
            <w:vAlign w:val="center"/>
          </w:tcPr>
          <w:p w:rsidR="006175A6" w:rsidRDefault="009B4BA7">
            <w:pPr>
              <w:pStyle w:val="TableParagraph"/>
              <w:rPr>
                <w:rFonts w:ascii="Times New Roman"/>
                <w:sz w:val="21"/>
                <w:lang w:eastAsia="zh-CN"/>
              </w:rPr>
            </w:pPr>
            <w:r>
              <w:rPr>
                <w:rFonts w:ascii="Times New Roman" w:hint="eastAsia"/>
                <w:sz w:val="21"/>
                <w:lang w:eastAsia="zh-CN"/>
              </w:rPr>
              <w:t>27.06</w:t>
            </w:r>
          </w:p>
        </w:tc>
        <w:tc>
          <w:tcPr>
            <w:tcW w:w="844" w:type="pct"/>
            <w:vAlign w:val="center"/>
          </w:tcPr>
          <w:p w:rsidR="006175A6" w:rsidRDefault="009B4BA7">
            <w:pPr>
              <w:pStyle w:val="TableParagraph"/>
              <w:rPr>
                <w:rFonts w:ascii="Times New Roman"/>
                <w:sz w:val="21"/>
                <w:lang w:eastAsia="zh-CN"/>
              </w:rPr>
            </w:pPr>
            <w:r>
              <w:rPr>
                <w:rFonts w:ascii="Times New Roman" w:hint="eastAsia"/>
                <w:sz w:val="21"/>
                <w:lang w:eastAsia="zh-CN"/>
              </w:rPr>
              <w:t>9.30</w:t>
            </w:r>
          </w:p>
        </w:tc>
      </w:tr>
    </w:tbl>
    <w:p w:rsidR="006175A6" w:rsidRDefault="009B4BA7">
      <w:pPr>
        <w:ind w:firstLine="480"/>
      </w:pPr>
      <w:r>
        <w:rPr>
          <w:rFonts w:hint="eastAsia"/>
        </w:rPr>
        <w:t>根据预测结果可知，坝址下游减水河段长度较小，地表水污染物削减量较小，由于项目的建设，导致河流的流量变小，对河流的纳污能力产生一定影响，本项目所在区域基本无生活污水以及工业废水外排，总体上来说，项目的建设对河流水质影响不大。</w:t>
      </w:r>
    </w:p>
    <w:p w:rsidR="006175A6" w:rsidRDefault="009B4BA7">
      <w:pPr>
        <w:pStyle w:val="3"/>
      </w:pPr>
      <w:r>
        <w:rPr>
          <w:rFonts w:hint="eastAsia"/>
        </w:rPr>
        <w:t>水文情势、泥沙情势影响分析</w:t>
      </w:r>
    </w:p>
    <w:p w:rsidR="006175A6" w:rsidRDefault="009B4BA7">
      <w:pPr>
        <w:ind w:firstLine="480"/>
      </w:pPr>
      <w:r>
        <w:rPr>
          <w:rFonts w:hint="eastAsia"/>
        </w:rPr>
        <w:t>两河口水库为不完全年调节库容，水库总库容为</w:t>
      </w:r>
      <w:r>
        <w:rPr>
          <w:rFonts w:hint="eastAsia"/>
        </w:rPr>
        <w:t>1075</w:t>
      </w:r>
      <w:r>
        <w:rPr>
          <w:rFonts w:hint="eastAsia"/>
        </w:rPr>
        <w:t>万</w:t>
      </w:r>
      <w:r>
        <w:rPr>
          <w:rFonts w:hint="eastAsia"/>
        </w:rPr>
        <w:t>m</w:t>
      </w:r>
      <w:r>
        <w:rPr>
          <w:rFonts w:hint="eastAsia"/>
          <w:vertAlign w:val="superscript"/>
        </w:rPr>
        <w:t>3</w:t>
      </w:r>
      <w:r>
        <w:rPr>
          <w:rFonts w:hint="eastAsia"/>
        </w:rPr>
        <w:t>，调节库容为</w:t>
      </w:r>
      <w:r>
        <w:rPr>
          <w:rFonts w:hint="eastAsia"/>
        </w:rPr>
        <w:t>910</w:t>
      </w:r>
      <w:r>
        <w:rPr>
          <w:rFonts w:hint="eastAsia"/>
        </w:rPr>
        <w:t>万</w:t>
      </w:r>
      <w:r>
        <w:rPr>
          <w:rFonts w:hint="eastAsia"/>
        </w:rPr>
        <w:t>m</w:t>
      </w:r>
      <w:r>
        <w:rPr>
          <w:rFonts w:hint="eastAsia"/>
          <w:vertAlign w:val="superscript"/>
        </w:rPr>
        <w:t>3</w:t>
      </w:r>
      <w:r>
        <w:rPr>
          <w:rFonts w:hint="eastAsia"/>
        </w:rPr>
        <w:t>，坝址处多年平均径流量</w:t>
      </w:r>
      <w:r>
        <w:rPr>
          <w:rFonts w:hint="eastAsia"/>
        </w:rPr>
        <w:t>4920</w:t>
      </w:r>
      <w:r>
        <w:rPr>
          <w:rFonts w:hint="eastAsia"/>
        </w:rPr>
        <w:t>万</w:t>
      </w:r>
      <w:r>
        <w:rPr>
          <w:rFonts w:hint="eastAsia"/>
        </w:rPr>
        <w:t>m</w:t>
      </w:r>
      <w:r>
        <w:rPr>
          <w:rFonts w:hint="eastAsia"/>
          <w:vertAlign w:val="superscript"/>
        </w:rPr>
        <w:t>3</w:t>
      </w:r>
      <w:r>
        <w:rPr>
          <w:rFonts w:hint="eastAsia"/>
        </w:rPr>
        <w:t>，年库水交换频次为</w:t>
      </w:r>
      <w:r>
        <w:rPr>
          <w:rFonts w:hint="eastAsia"/>
        </w:rPr>
        <w:t>4.58</w:t>
      </w:r>
      <w:r>
        <w:rPr>
          <w:rFonts w:hint="eastAsia"/>
        </w:rPr>
        <w:t>次，库容系数</w:t>
      </w:r>
      <w:r>
        <w:rPr>
          <w:rFonts w:hint="eastAsia"/>
        </w:rPr>
        <w:t>0.184</w:t>
      </w:r>
      <w:r>
        <w:rPr>
          <w:rFonts w:hint="eastAsia"/>
        </w:rPr>
        <w:t>，水库调节能力较强。两河口水库建设、运行将对两河口坝址天然</w:t>
      </w:r>
      <w:r>
        <w:rPr>
          <w:rFonts w:hint="eastAsia"/>
        </w:rPr>
        <w:lastRenderedPageBreak/>
        <w:t>水文情势产生影响，具体表现为施工期导流对河段水文情势的影响、水库初期蓄水对水文情势的影响、运行期水文情势影响。</w:t>
      </w:r>
    </w:p>
    <w:p w:rsidR="006175A6" w:rsidRDefault="009B4BA7">
      <w:pPr>
        <w:pStyle w:val="4"/>
      </w:pPr>
      <w:r>
        <w:rPr>
          <w:rFonts w:hint="eastAsia"/>
        </w:rPr>
        <w:t>施工期水文情势变化</w:t>
      </w:r>
    </w:p>
    <w:p w:rsidR="006175A6" w:rsidRDefault="009B4BA7">
      <w:pPr>
        <w:ind w:firstLine="480"/>
      </w:pPr>
      <w:r>
        <w:rPr>
          <w:rFonts w:hint="eastAsia"/>
        </w:rPr>
        <w:t>本工程采用导流隧洞，主体方案为“枯水期围堰挡水，隧洞导流，汛期坝体临时度汛断面挡水，隧洞导流”，截流后第一个枯水期施工（</w:t>
      </w:r>
      <w:r>
        <w:rPr>
          <w:rFonts w:hint="eastAsia"/>
        </w:rPr>
        <w:t>11-3</w:t>
      </w:r>
      <w:r>
        <w:rPr>
          <w:rFonts w:hint="eastAsia"/>
        </w:rPr>
        <w:t>月），采用围堰挡水，隧洞泄流，第二年的汛期（</w:t>
      </w:r>
      <w:r>
        <w:rPr>
          <w:rFonts w:hint="eastAsia"/>
        </w:rPr>
        <w:t>4-10</w:t>
      </w:r>
      <w:r>
        <w:rPr>
          <w:rFonts w:hint="eastAsia"/>
        </w:rPr>
        <w:t>月）汛期围堰过水，大坝挡水导流隧洞泄洪，因此，大坝截流过程中和截流后，导流隧洞一直可以向下游供水，坝下游河道不会断流。</w:t>
      </w:r>
    </w:p>
    <w:p w:rsidR="006175A6" w:rsidRDefault="009B4BA7">
      <w:pPr>
        <w:pStyle w:val="4"/>
      </w:pPr>
      <w:r>
        <w:rPr>
          <w:rFonts w:hint="eastAsia"/>
        </w:rPr>
        <w:t>水库初期蓄水水文情势变化</w:t>
      </w:r>
    </w:p>
    <w:p w:rsidR="006175A6" w:rsidRDefault="009B4BA7">
      <w:pPr>
        <w:ind w:firstLine="480"/>
        <w:rPr>
          <w:highlight w:val="yellow"/>
        </w:rPr>
      </w:pPr>
      <w:r>
        <w:rPr>
          <w:rFonts w:hint="eastAsia"/>
        </w:rPr>
        <w:t>据工程施工进度安排，水库下闸蓄水时段初选在第三年</w:t>
      </w:r>
      <w:r>
        <w:rPr>
          <w:rFonts w:hint="eastAsia"/>
        </w:rPr>
        <w:t>4</w:t>
      </w:r>
      <w:r>
        <w:rPr>
          <w:rFonts w:hint="eastAsia"/>
        </w:rPr>
        <w:t>月下闸蓄水。为解决初期蓄水期间坝下河段的生态用水，在水库水位达到死水位</w:t>
      </w:r>
      <w:r>
        <w:rPr>
          <w:rFonts w:hint="eastAsia"/>
        </w:rPr>
        <w:t>1013m</w:t>
      </w:r>
      <w:r>
        <w:rPr>
          <w:rFonts w:hint="eastAsia"/>
        </w:rPr>
        <w:t>之前，环评建议考虑采用水泵从上游抽水至坝下实现向下游泄放生态流量的功能。因此，水库初期蓄水期间也不会出现断流现象。</w:t>
      </w:r>
    </w:p>
    <w:p w:rsidR="006175A6" w:rsidRDefault="009B4BA7">
      <w:pPr>
        <w:pStyle w:val="4"/>
      </w:pPr>
      <w:r>
        <w:rPr>
          <w:rFonts w:hint="eastAsia"/>
        </w:rPr>
        <w:t>运行期水文情势变化</w:t>
      </w:r>
    </w:p>
    <w:p w:rsidR="006175A6" w:rsidRDefault="009B4BA7">
      <w:pPr>
        <w:ind w:firstLine="480"/>
      </w:pPr>
      <w:r>
        <w:rPr>
          <w:rFonts w:hint="eastAsia"/>
        </w:rPr>
        <w:t>运行期水文情势影响表现为坝上河道由河流特征转为湖库特征，坝下河段水文过程的时空分布较天然状况发生较大变化，运行期对河流水文情势影响分库区河段、坝下河段分别进行分析。</w:t>
      </w:r>
    </w:p>
    <w:p w:rsidR="006175A6" w:rsidRDefault="009B4BA7">
      <w:pPr>
        <w:ind w:firstLine="480"/>
      </w:pPr>
      <w:r>
        <w:rPr>
          <w:rFonts w:hint="eastAsia"/>
        </w:rPr>
        <w:t>（</w:t>
      </w:r>
      <w:r>
        <w:rPr>
          <w:rFonts w:hint="eastAsia"/>
        </w:rPr>
        <w:t>1</w:t>
      </w:r>
      <w:r>
        <w:rPr>
          <w:rFonts w:hint="eastAsia"/>
        </w:rPr>
        <w:t>）库区河段</w:t>
      </w:r>
    </w:p>
    <w:p w:rsidR="006175A6" w:rsidRDefault="009B4BA7">
      <w:pPr>
        <w:ind w:firstLine="480"/>
      </w:pPr>
      <w:r>
        <w:rPr>
          <w:rFonts w:hint="eastAsia"/>
        </w:rPr>
        <w:t>门家河为降水补给河流，天然情况下，流量的季节变化使得夏季河水水位高、冬季水位低。水库蓄水运行后，在水库调节作用下，秋末冬初时节水位最高，水库处于正常蓄水位，春末夏初库水位逐渐降低至最低水位。水库回水使上游河道水深增加，过水断面面积增大，断面平均流速减小，这种影响至库尾才逐渐消失。</w:t>
      </w:r>
    </w:p>
    <w:p w:rsidR="006175A6" w:rsidRDefault="009B4BA7">
      <w:pPr>
        <w:ind w:firstLine="480"/>
      </w:pPr>
      <w:r>
        <w:rPr>
          <w:rFonts w:hint="eastAsia"/>
        </w:rPr>
        <w:t>水库蓄水运行后对水位的影响较明显。两河口水库正常蓄水位为</w:t>
      </w:r>
      <w:r>
        <w:rPr>
          <w:rFonts w:hint="eastAsia"/>
        </w:rPr>
        <w:t>1058m</w:t>
      </w:r>
      <w:r>
        <w:rPr>
          <w:rFonts w:hint="eastAsia"/>
        </w:rPr>
        <w:t>，坝址以上</w:t>
      </w:r>
      <w:r>
        <w:rPr>
          <w:rFonts w:hint="eastAsia"/>
        </w:rPr>
        <w:t>2.1km</w:t>
      </w:r>
      <w:r>
        <w:rPr>
          <w:rFonts w:hint="eastAsia"/>
        </w:rPr>
        <w:t>河段水位比天然状态抬高，蓄水时水面面积达</w:t>
      </w:r>
      <w:r>
        <w:rPr>
          <w:rFonts w:hint="eastAsia"/>
        </w:rPr>
        <w:t>0.39km</w:t>
      </w:r>
      <w:r>
        <w:rPr>
          <w:rFonts w:hint="eastAsia"/>
          <w:vertAlign w:val="superscript"/>
        </w:rPr>
        <w:t>2</w:t>
      </w:r>
      <w:r>
        <w:rPr>
          <w:rFonts w:hint="eastAsia"/>
        </w:rPr>
        <w:t>，库区河段水位明显增大。</w:t>
      </w:r>
    </w:p>
    <w:p w:rsidR="006175A6" w:rsidRDefault="009B4BA7">
      <w:pPr>
        <w:ind w:firstLine="480"/>
      </w:pPr>
      <w:r>
        <w:rPr>
          <w:rFonts w:hint="eastAsia"/>
        </w:rPr>
        <w:t>根据两河口水库的河床地形，运行水位及泥沙淤积等情况分析，建库后库区河段的流速将发生较大变化。库区河段流速由于淤泥淤积和水位抬高的影响而有所减小，非汛期水库达到正常蓄水位时，整个水库内的水流基本趋于缓流状态。</w:t>
      </w:r>
    </w:p>
    <w:p w:rsidR="006175A6" w:rsidRDefault="009B4BA7">
      <w:pPr>
        <w:ind w:firstLine="480"/>
      </w:pPr>
      <w:r>
        <w:rPr>
          <w:rFonts w:hint="eastAsia"/>
        </w:rPr>
        <w:t>（</w:t>
      </w:r>
      <w:r>
        <w:rPr>
          <w:rFonts w:hint="eastAsia"/>
        </w:rPr>
        <w:t>2</w:t>
      </w:r>
      <w:r>
        <w:rPr>
          <w:rFonts w:hint="eastAsia"/>
        </w:rPr>
        <w:t>）坝下河段</w:t>
      </w:r>
    </w:p>
    <w:p w:rsidR="006175A6" w:rsidRDefault="009B4BA7">
      <w:pPr>
        <w:ind w:firstLine="480"/>
        <w:rPr>
          <w:highlight w:val="yellow"/>
        </w:rPr>
      </w:pPr>
      <w:r>
        <w:rPr>
          <w:rFonts w:hint="eastAsia"/>
        </w:rPr>
        <w:lastRenderedPageBreak/>
        <w:t>由于本工程需进行供水，两河口坝址处多年平均径流量为</w:t>
      </w:r>
      <w:r>
        <w:rPr>
          <w:rFonts w:hint="eastAsia"/>
        </w:rPr>
        <w:t>1.56m</w:t>
      </w:r>
      <w:r>
        <w:rPr>
          <w:rFonts w:hint="eastAsia"/>
        </w:rPr>
        <w:t>³</w:t>
      </w:r>
      <w:r>
        <w:rPr>
          <w:rFonts w:hint="eastAsia"/>
        </w:rPr>
        <w:t>/s</w:t>
      </w:r>
      <w:r>
        <w:rPr>
          <w:rFonts w:hint="eastAsia"/>
        </w:rPr>
        <w:t>，设计生态流量为最</w:t>
      </w:r>
      <w:r>
        <w:rPr>
          <w:rFonts w:hint="eastAsia"/>
        </w:rPr>
        <w:t>0.321m</w:t>
      </w:r>
      <w:r>
        <w:rPr>
          <w:rFonts w:hint="eastAsia"/>
        </w:rPr>
        <w:t>³</w:t>
      </w:r>
      <w:r>
        <w:rPr>
          <w:rFonts w:hint="eastAsia"/>
        </w:rPr>
        <w:t>/s</w:t>
      </w:r>
      <w:r>
        <w:rPr>
          <w:rFonts w:hint="eastAsia"/>
        </w:rPr>
        <w:t>。正常情况下坝址处的径流除部分生态流量通过生态输水设施下泄外，只有在丰水期泄洪情况下才有大量的余水从坝址处下泄，由于没有稳定的补充水源，在坝址下游门家河至门家河电站河段流量为生态流量和区间流域汇水量，这意味着在一年的大部分时间里，两河口坝址下游</w:t>
      </w:r>
      <w:r>
        <w:rPr>
          <w:rFonts w:hint="eastAsia"/>
        </w:rPr>
        <w:t>5km</w:t>
      </w:r>
      <w:r>
        <w:rPr>
          <w:rFonts w:hint="eastAsia"/>
        </w:rPr>
        <w:t>的河段会出现径流量减少、过水断面减小等变化。但由于坝体内埋设有生态输水管，可以保证坝址下游门家河不存在断流风险。</w:t>
      </w:r>
    </w:p>
    <w:p w:rsidR="006175A6" w:rsidRDefault="009B4BA7">
      <w:pPr>
        <w:pStyle w:val="4"/>
      </w:pPr>
      <w:r>
        <w:rPr>
          <w:rFonts w:hint="eastAsia"/>
        </w:rPr>
        <w:t>运行期坝下减水河段对下游居民用水和工农业生产的影响</w:t>
      </w:r>
    </w:p>
    <w:p w:rsidR="006175A6" w:rsidRDefault="009B4BA7">
      <w:pPr>
        <w:ind w:firstLine="480"/>
        <w:rPr>
          <w:highlight w:val="yellow"/>
        </w:rPr>
      </w:pPr>
      <w:r>
        <w:rPr>
          <w:rFonts w:hint="eastAsia"/>
        </w:rPr>
        <w:t>坝下减水河段所涉及的居民饮用水主要来自农村安全饮水工程管网供水，河段内无抽水泵站、水电站等设施；两岸没有工矿企业分布，灌溉用水主要通过山泉水进行灌溉，因此，两河口水库下游减水河段沿岸没有居民用水和工农业取水要求，本工程引水不会对坝下居民用水和工农业生产用水产生影响。</w:t>
      </w:r>
    </w:p>
    <w:p w:rsidR="006175A6" w:rsidRDefault="009B4BA7">
      <w:pPr>
        <w:pStyle w:val="4"/>
      </w:pPr>
      <w:r>
        <w:rPr>
          <w:rFonts w:hint="eastAsia"/>
        </w:rPr>
        <w:t>泥沙情势影响分析</w:t>
      </w:r>
    </w:p>
    <w:p w:rsidR="006175A6" w:rsidRDefault="009B4BA7">
      <w:pPr>
        <w:ind w:firstLine="480"/>
      </w:pPr>
      <w:r>
        <w:rPr>
          <w:rFonts w:hint="eastAsia"/>
        </w:rPr>
        <w:t>工程位于榛子乡高岚河上游段门家河上，门家河流域森林植被较好，土壤主要为棕色石灰土和泥质黄棕壤及碳酸盐黄棕壤。本流域泥沙主要来自暴雨对区内裸露表土的侵蚀及雨洪对地表、河床的冲刷，因此来沙量绝大部分集中在汛期。据统计分析，兴山站多年平均输沙模数为</w:t>
      </w:r>
      <w:r>
        <w:rPr>
          <w:rFonts w:hint="eastAsia"/>
        </w:rPr>
        <w:t xml:space="preserve"> 312.2t/km</w:t>
      </w:r>
      <w:r>
        <w:rPr>
          <w:rFonts w:hint="eastAsia"/>
        </w:rPr>
        <w:t>²，直接移用到两河口水库坝址。</w:t>
      </w:r>
    </w:p>
    <w:p w:rsidR="006175A6" w:rsidRDefault="009B4BA7">
      <w:pPr>
        <w:ind w:firstLine="480"/>
      </w:pPr>
      <w:r>
        <w:rPr>
          <w:rFonts w:hint="eastAsia"/>
        </w:rPr>
        <w:t>多年平均悬移质输沙量：</w:t>
      </w:r>
      <w:r>
        <w:t>R</w:t>
      </w:r>
      <w:r>
        <w:rPr>
          <w:rFonts w:hint="eastAsia"/>
          <w:vertAlign w:val="subscript"/>
        </w:rPr>
        <w:t>悬</w:t>
      </w:r>
      <w:r>
        <w:rPr>
          <w:rFonts w:hint="eastAsia"/>
        </w:rPr>
        <w:t>=</w:t>
      </w:r>
      <w:r>
        <w:t xml:space="preserve">Ms F </w:t>
      </w:r>
      <w:r>
        <w:rPr>
          <w:rFonts w:hint="eastAsia"/>
        </w:rPr>
        <w:t>=</w:t>
      </w:r>
      <w:r>
        <w:t>312.2</w:t>
      </w:r>
      <w:r>
        <w:rPr>
          <w:rFonts w:ascii="Arial" w:eastAsia="Times New Roman" w:hAnsi="Arial" w:cs="Arial"/>
        </w:rPr>
        <w:t>×</w:t>
      </w:r>
      <w:r>
        <w:t xml:space="preserve">85 </w:t>
      </w:r>
      <w:r>
        <w:rPr>
          <w:rFonts w:hint="eastAsia"/>
        </w:rPr>
        <w:t>=</w:t>
      </w:r>
      <w:r>
        <w:t>26537</w:t>
      </w:r>
      <w:r w:rsidR="00E97427">
        <w:t>（</w:t>
      </w:r>
      <w:r>
        <w:t>t</w:t>
      </w:r>
      <w:r w:rsidR="00E97427">
        <w:t>）</w:t>
      </w:r>
      <w:r>
        <w:rPr>
          <w:rFonts w:hint="eastAsia"/>
        </w:rPr>
        <w:t>=</w:t>
      </w:r>
      <w:r>
        <w:t xml:space="preserve"> 2.65</w:t>
      </w:r>
      <w:r w:rsidR="00E97427">
        <w:t>（</w:t>
      </w:r>
      <w:r>
        <w:rPr>
          <w:rFonts w:hint="eastAsia"/>
        </w:rPr>
        <w:t>万</w:t>
      </w:r>
      <w:r>
        <w:t>t</w:t>
      </w:r>
      <w:r w:rsidR="00E97427">
        <w:t>）</w:t>
      </w:r>
    </w:p>
    <w:p w:rsidR="006175A6" w:rsidRDefault="009B4BA7">
      <w:pPr>
        <w:ind w:firstLine="480"/>
      </w:pPr>
      <w:r>
        <w:rPr>
          <w:rFonts w:hint="eastAsia"/>
        </w:rPr>
        <w:t>门家河流域内植被良好，根据实际情况，推移质按悬移质的</w:t>
      </w:r>
      <w:r>
        <w:t>15%</w:t>
      </w:r>
      <w:r>
        <w:rPr>
          <w:rFonts w:hint="eastAsia"/>
        </w:rPr>
        <w:t>计算，则：</w:t>
      </w:r>
    </w:p>
    <w:p w:rsidR="006175A6" w:rsidRDefault="009B4BA7">
      <w:pPr>
        <w:ind w:firstLine="480"/>
      </w:pPr>
      <w:r>
        <w:rPr>
          <w:rFonts w:hint="eastAsia"/>
        </w:rPr>
        <w:t>多年平均推移质输沙量：</w:t>
      </w:r>
      <w:r>
        <w:t>R</w:t>
      </w:r>
      <w:r>
        <w:rPr>
          <w:rFonts w:hint="eastAsia"/>
          <w:vertAlign w:val="subscript"/>
        </w:rPr>
        <w:t>推</w:t>
      </w:r>
      <w:r>
        <w:t xml:space="preserve"> </w:t>
      </w:r>
      <w:r>
        <w:rPr>
          <w:rFonts w:hint="eastAsia"/>
        </w:rPr>
        <w:t>=</w:t>
      </w:r>
      <w:r>
        <w:t xml:space="preserve"> 0.15 </w:t>
      </w:r>
      <w:r>
        <w:rPr>
          <w:rFonts w:ascii="Arial" w:eastAsia="Times New Roman" w:hAnsi="Arial" w:cs="Arial"/>
        </w:rPr>
        <w:t>×</w:t>
      </w:r>
      <w:r>
        <w:t>R</w:t>
      </w:r>
      <w:r>
        <w:rPr>
          <w:rFonts w:hint="eastAsia"/>
          <w:vertAlign w:val="subscript"/>
        </w:rPr>
        <w:t>悬</w:t>
      </w:r>
      <w:r>
        <w:rPr>
          <w:rFonts w:hint="eastAsia"/>
        </w:rPr>
        <w:t>=</w:t>
      </w:r>
      <w:r>
        <w:t>0.40</w:t>
      </w:r>
      <w:r w:rsidR="00E97427">
        <w:t>（</w:t>
      </w:r>
      <w:r>
        <w:rPr>
          <w:rFonts w:hint="eastAsia"/>
        </w:rPr>
        <w:t>万</w:t>
      </w:r>
      <w:r>
        <w:t>t</w:t>
      </w:r>
      <w:r w:rsidR="00E97427">
        <w:t>）</w:t>
      </w:r>
    </w:p>
    <w:p w:rsidR="006175A6" w:rsidRDefault="009B4BA7">
      <w:pPr>
        <w:ind w:firstLine="480"/>
      </w:pPr>
      <w:r>
        <w:rPr>
          <w:rFonts w:hint="eastAsia"/>
        </w:rPr>
        <w:t>悬移质泥沙容重按</w:t>
      </w:r>
      <w:r>
        <w:rPr>
          <w:rFonts w:hint="eastAsia"/>
        </w:rPr>
        <w:t>1.3t/m</w:t>
      </w:r>
      <w:r>
        <w:rPr>
          <w:rFonts w:hint="eastAsia"/>
        </w:rPr>
        <w:t>³，推移质泥沙容重按</w:t>
      </w:r>
      <w:r>
        <w:rPr>
          <w:rFonts w:hint="eastAsia"/>
        </w:rPr>
        <w:t>1.4t/m</w:t>
      </w:r>
      <w:r>
        <w:rPr>
          <w:rFonts w:hint="eastAsia"/>
        </w:rPr>
        <w:t>³计，则换算为体积：</w:t>
      </w:r>
    </w:p>
    <w:p w:rsidR="006175A6" w:rsidRDefault="009B4BA7">
      <w:pPr>
        <w:ind w:firstLine="480"/>
      </w:pPr>
      <w:r>
        <w:rPr>
          <w:rFonts w:hint="eastAsia"/>
        </w:rPr>
        <w:t>多年平均悬移质输沙量：</w:t>
      </w:r>
      <w:r>
        <w:t>R</w:t>
      </w:r>
      <w:r>
        <w:rPr>
          <w:rFonts w:hint="eastAsia"/>
        </w:rPr>
        <w:t>=</w:t>
      </w:r>
      <w:r>
        <w:t>1.74</w:t>
      </w:r>
      <w:r w:rsidR="00E97427">
        <w:t>（</w:t>
      </w:r>
      <w:r>
        <w:rPr>
          <w:rFonts w:hint="eastAsia"/>
        </w:rPr>
        <w:t>万</w:t>
      </w:r>
      <w:r>
        <w:t>m</w:t>
      </w:r>
      <w:r>
        <w:rPr>
          <w:vertAlign w:val="superscript"/>
        </w:rPr>
        <w:t>3</w:t>
      </w:r>
      <w:r w:rsidR="00E97427">
        <w:t>）</w:t>
      </w:r>
    </w:p>
    <w:p w:rsidR="006175A6" w:rsidRDefault="009B4BA7">
      <w:pPr>
        <w:ind w:firstLine="480"/>
        <w:rPr>
          <w:highlight w:val="yellow"/>
        </w:rPr>
      </w:pPr>
      <w:r>
        <w:rPr>
          <w:rFonts w:hint="eastAsia"/>
        </w:rPr>
        <w:t>多年平均推移质输沙量：</w:t>
      </w:r>
      <w:r>
        <w:t>R</w:t>
      </w:r>
      <w:r>
        <w:rPr>
          <w:rFonts w:hint="eastAsia"/>
        </w:rPr>
        <w:t>=</w:t>
      </w:r>
      <w:r>
        <w:t>0.28</w:t>
      </w:r>
      <w:r w:rsidR="00E97427">
        <w:t>（</w:t>
      </w:r>
      <w:r>
        <w:rPr>
          <w:rFonts w:hint="eastAsia"/>
        </w:rPr>
        <w:t>万</w:t>
      </w:r>
      <w:r>
        <w:t>m</w:t>
      </w:r>
      <w:r>
        <w:rPr>
          <w:vertAlign w:val="superscript"/>
        </w:rPr>
        <w:t xml:space="preserve">3 </w:t>
      </w:r>
      <w:r w:rsidR="00E97427">
        <w:t>）</w:t>
      </w:r>
    </w:p>
    <w:p w:rsidR="006175A6" w:rsidRDefault="009B4BA7">
      <w:pPr>
        <w:ind w:firstLine="480"/>
      </w:pPr>
      <w:r>
        <w:rPr>
          <w:rFonts w:hint="eastAsia"/>
        </w:rPr>
        <w:t>两河口水库按</w:t>
      </w:r>
      <w:r>
        <w:rPr>
          <w:rFonts w:hint="eastAsia"/>
        </w:rPr>
        <w:t xml:space="preserve"> 50 </w:t>
      </w:r>
      <w:r>
        <w:rPr>
          <w:rFonts w:hint="eastAsia"/>
        </w:rPr>
        <w:t>年使用年限计算，悬移质拦砂率按取</w:t>
      </w:r>
      <w:r>
        <w:rPr>
          <w:rFonts w:hint="eastAsia"/>
        </w:rPr>
        <w:t xml:space="preserve"> 92.2%</w:t>
      </w:r>
      <w:r>
        <w:rPr>
          <w:rFonts w:hint="eastAsia"/>
        </w:rPr>
        <w:t>，假定泥沙淤积为水平淤积，则淤积总库容为</w:t>
      </w:r>
      <w:r>
        <w:rPr>
          <w:rFonts w:hint="eastAsia"/>
        </w:rPr>
        <w:t xml:space="preserve"> 94.1 m</w:t>
      </w:r>
      <w:r>
        <w:rPr>
          <w:rFonts w:hint="eastAsia"/>
        </w:rPr>
        <w:t>³。其中：悬移质淤积总量</w:t>
      </w:r>
      <w:r>
        <w:rPr>
          <w:rFonts w:hint="eastAsia"/>
        </w:rPr>
        <w:t xml:space="preserve"> 80.1m</w:t>
      </w:r>
      <w:r>
        <w:rPr>
          <w:rFonts w:hint="eastAsia"/>
        </w:rPr>
        <w:t>³，推移质淤积总量为</w:t>
      </w:r>
      <w:r>
        <w:rPr>
          <w:rFonts w:hint="eastAsia"/>
        </w:rPr>
        <w:t>14</w:t>
      </w:r>
      <w:r>
        <w:rPr>
          <w:rFonts w:hint="eastAsia"/>
        </w:rPr>
        <w:t>万</w:t>
      </w:r>
      <w:r>
        <w:rPr>
          <w:rFonts w:hint="eastAsia"/>
        </w:rPr>
        <w:t>m</w:t>
      </w:r>
      <w:r>
        <w:rPr>
          <w:rFonts w:hint="eastAsia"/>
        </w:rPr>
        <w:t>³。</w:t>
      </w:r>
    </w:p>
    <w:p w:rsidR="006175A6" w:rsidRDefault="009B4BA7">
      <w:pPr>
        <w:ind w:firstLine="480"/>
      </w:pPr>
      <w:r>
        <w:rPr>
          <w:rFonts w:hint="eastAsia"/>
        </w:rPr>
        <w:t>根据工程初步设计报告，水库</w:t>
      </w:r>
      <w:r>
        <w:rPr>
          <w:rFonts w:hint="eastAsia"/>
        </w:rPr>
        <w:t>50</w:t>
      </w:r>
      <w:r>
        <w:rPr>
          <w:rFonts w:hint="eastAsia"/>
        </w:rPr>
        <w:t>年泥沙落库总量对应的高程为为</w:t>
      </w:r>
      <w:r>
        <w:rPr>
          <w:rFonts w:hint="eastAsia"/>
        </w:rPr>
        <w:t xml:space="preserve"> 1011.40m</w:t>
      </w:r>
      <w:r>
        <w:rPr>
          <w:rFonts w:hint="eastAsia"/>
        </w:rPr>
        <w:t>，和高于进水口底板高程相同。考虑排沙设施，以保证水库在</w:t>
      </w:r>
      <w:r>
        <w:rPr>
          <w:rFonts w:hint="eastAsia"/>
        </w:rPr>
        <w:t>50</w:t>
      </w:r>
      <w:r>
        <w:rPr>
          <w:rFonts w:hint="eastAsia"/>
        </w:rPr>
        <w:t>年正常运行期内</w:t>
      </w:r>
      <w:r>
        <w:rPr>
          <w:rFonts w:hint="eastAsia"/>
        </w:rPr>
        <w:lastRenderedPageBreak/>
        <w:t>不被淤积。工程主要采用两种方式防治泥沙淤积：一是采取合理的调洪排沙运行方式，以达到排少效果；二是在进水口附近设置冲沙孔，以保证进水口能有效防沙取水。</w:t>
      </w:r>
    </w:p>
    <w:p w:rsidR="006175A6" w:rsidRDefault="009B4BA7">
      <w:pPr>
        <w:ind w:firstLine="480"/>
      </w:pPr>
      <w:r>
        <w:rPr>
          <w:rFonts w:hint="eastAsia"/>
        </w:rPr>
        <w:t>根据以上分析，工程运行改变了河道泥沙时间、空间的分布，但泥沙淤积</w:t>
      </w:r>
      <w:r>
        <w:rPr>
          <w:rFonts w:hint="eastAsia"/>
        </w:rPr>
        <w:t xml:space="preserve"> </w:t>
      </w:r>
      <w:r>
        <w:rPr>
          <w:rFonts w:hint="eastAsia"/>
        </w:rPr>
        <w:t>不会成为一个明显的环境问题。</w:t>
      </w:r>
    </w:p>
    <w:p w:rsidR="006175A6" w:rsidRDefault="009B4BA7">
      <w:pPr>
        <w:pStyle w:val="3"/>
      </w:pPr>
      <w:r>
        <w:rPr>
          <w:rFonts w:hint="eastAsia"/>
        </w:rPr>
        <w:t>项目运行期间退水影响分析</w:t>
      </w:r>
    </w:p>
    <w:p w:rsidR="006175A6" w:rsidRDefault="009B4BA7">
      <w:pPr>
        <w:pStyle w:val="4"/>
      </w:pPr>
      <w:r>
        <w:rPr>
          <w:rFonts w:hint="eastAsia"/>
        </w:rPr>
        <w:t>退水系统及退水方案</w:t>
      </w:r>
    </w:p>
    <w:p w:rsidR="006175A6" w:rsidRDefault="009B4BA7">
      <w:pPr>
        <w:ind w:firstLine="480"/>
      </w:pPr>
      <w:r>
        <w:rPr>
          <w:rFonts w:hint="eastAsia"/>
        </w:rPr>
        <w:t>两河口水库工程退水主要包括水库的泄水</w:t>
      </w:r>
      <w:r w:rsidR="00E97427">
        <w:rPr>
          <w:rFonts w:hint="eastAsia"/>
        </w:rPr>
        <w:t>（</w:t>
      </w:r>
      <w:r>
        <w:rPr>
          <w:rFonts w:hint="eastAsia"/>
        </w:rPr>
        <w:t>生态放水、弃水</w:t>
      </w:r>
      <w:r w:rsidR="00E97427">
        <w:rPr>
          <w:rFonts w:hint="eastAsia"/>
        </w:rPr>
        <w:t>）</w:t>
      </w:r>
      <w:r>
        <w:rPr>
          <w:rFonts w:hint="eastAsia"/>
        </w:rPr>
        <w:t>居民生产生活用水产生的废污水。</w:t>
      </w:r>
    </w:p>
    <w:p w:rsidR="006175A6" w:rsidRDefault="009B4BA7">
      <w:pPr>
        <w:ind w:firstLine="480"/>
      </w:pPr>
      <w:r>
        <w:rPr>
          <w:rFonts w:hint="eastAsia"/>
        </w:rPr>
        <w:t>水库的泄水主要是通过泄洪建筑物的弃水、为了不影响河道生态用水而泄放的生态基流，退水均直接退入坝址下游河道。</w:t>
      </w:r>
    </w:p>
    <w:p w:rsidR="006175A6" w:rsidRDefault="00E97427">
      <w:pPr>
        <w:ind w:firstLine="480"/>
      </w:pPr>
      <w:r>
        <w:rPr>
          <w:rFonts w:hint="eastAsia"/>
        </w:rPr>
        <w:t>（</w:t>
      </w:r>
      <w:r w:rsidR="009B4BA7">
        <w:rPr>
          <w:rFonts w:hint="eastAsia"/>
        </w:rPr>
        <w:t>1</w:t>
      </w:r>
      <w:r>
        <w:rPr>
          <w:rFonts w:hint="eastAsia"/>
        </w:rPr>
        <w:t>）</w:t>
      </w:r>
      <w:r w:rsidR="009B4BA7">
        <w:rPr>
          <w:rFonts w:hint="eastAsia"/>
        </w:rPr>
        <w:t>最小下泄流量泄放设施</w:t>
      </w:r>
    </w:p>
    <w:p w:rsidR="006175A6" w:rsidRDefault="009B4BA7">
      <w:pPr>
        <w:ind w:firstLine="480"/>
      </w:pPr>
      <w:r>
        <w:rPr>
          <w:rFonts w:hint="eastAsia"/>
        </w:rPr>
        <w:t>本工程最小下泄流量为下游河道生态需水流量，大坝设计在放空洞闸室前端侧墙埋置一根Φ</w:t>
      </w:r>
      <w:r>
        <w:rPr>
          <w:rFonts w:hint="eastAsia"/>
        </w:rPr>
        <w:t>1000</w:t>
      </w:r>
      <w:r>
        <w:rPr>
          <w:rFonts w:hint="eastAsia"/>
        </w:rPr>
        <w:t>钢管进水管，自隧洞底部钢筋混凝土衬砌中敷设至出口，常年不断下泄生态流量。生态供水流量为</w:t>
      </w:r>
      <w:r>
        <w:rPr>
          <w:rFonts w:hint="eastAsia"/>
        </w:rPr>
        <w:t>0.312m</w:t>
      </w:r>
      <w:r>
        <w:rPr>
          <w:rFonts w:hint="eastAsia"/>
          <w:vertAlign w:val="superscript"/>
        </w:rPr>
        <w:t>3</w:t>
      </w:r>
      <w:r>
        <w:rPr>
          <w:rFonts w:hint="eastAsia"/>
        </w:rPr>
        <w:t>/s</w:t>
      </w:r>
      <w:r>
        <w:rPr>
          <w:rFonts w:hint="eastAsia"/>
        </w:rPr>
        <w:t>。</w:t>
      </w:r>
    </w:p>
    <w:p w:rsidR="006175A6" w:rsidRDefault="00E97427">
      <w:pPr>
        <w:ind w:firstLine="480"/>
      </w:pPr>
      <w:r>
        <w:rPr>
          <w:rFonts w:hint="eastAsia"/>
        </w:rPr>
        <w:t>（</w:t>
      </w:r>
      <w:r w:rsidR="009B4BA7">
        <w:rPr>
          <w:rFonts w:hint="eastAsia"/>
        </w:rPr>
        <w:t>2</w:t>
      </w:r>
      <w:r>
        <w:rPr>
          <w:rFonts w:hint="eastAsia"/>
        </w:rPr>
        <w:t>）</w:t>
      </w:r>
      <w:r w:rsidR="009B4BA7">
        <w:rPr>
          <w:rFonts w:hint="eastAsia"/>
        </w:rPr>
        <w:t>泄洪建筑物</w:t>
      </w:r>
    </w:p>
    <w:p w:rsidR="006175A6" w:rsidRDefault="009B4BA7">
      <w:pPr>
        <w:ind w:firstLine="480"/>
      </w:pPr>
      <w:r>
        <w:rPr>
          <w:rFonts w:hint="eastAsia"/>
        </w:rPr>
        <w:t>泄洪建筑物布置在大坝中间段，坝身溢流，采用有闸表孔泄流方案。堰顶高程</w:t>
      </w:r>
      <w:r>
        <w:rPr>
          <w:rFonts w:hint="eastAsia"/>
        </w:rPr>
        <w:t>1050.5m</w:t>
      </w:r>
      <w:r>
        <w:rPr>
          <w:rFonts w:hint="eastAsia"/>
        </w:rPr>
        <w:t>，共</w:t>
      </w:r>
      <w:r>
        <w:rPr>
          <w:rFonts w:hint="eastAsia"/>
        </w:rPr>
        <w:t xml:space="preserve"> 2 </w:t>
      </w:r>
      <w:r>
        <w:rPr>
          <w:rFonts w:hint="eastAsia"/>
        </w:rPr>
        <w:t>孔，总净宽</w:t>
      </w:r>
      <w:r>
        <w:rPr>
          <w:rFonts w:hint="eastAsia"/>
        </w:rPr>
        <w:t xml:space="preserve"> 20.0m</w:t>
      </w:r>
      <w:r>
        <w:rPr>
          <w:rFonts w:hint="eastAsia"/>
        </w:rPr>
        <w:t>。水库从正常蓄水位</w:t>
      </w:r>
      <w:r>
        <w:rPr>
          <w:rFonts w:hint="eastAsia"/>
        </w:rPr>
        <w:t xml:space="preserve"> 1058.0m </w:t>
      </w:r>
      <w:r>
        <w:rPr>
          <w:rFonts w:hint="eastAsia"/>
        </w:rPr>
        <w:t>开始按有闸控制起调。当水库来水量小于或等于闸门控制泄量时，采用闸门进行控制，按来水流量下泄，保持闸前水位不变；当水库来水量大于</w:t>
      </w:r>
      <w:r>
        <w:rPr>
          <w:rFonts w:hint="eastAsia"/>
        </w:rPr>
        <w:t>1058.0m</w:t>
      </w:r>
      <w:r>
        <w:rPr>
          <w:rFonts w:hint="eastAsia"/>
        </w:rPr>
        <w:t>水位对应的下泄流量时，闸门全部打开，自由泄流。下泄校核标准洪水流量时闸门全开，达到校核洪水位。工程在设计洪水位时最大泄量为</w:t>
      </w:r>
      <w:r>
        <w:rPr>
          <w:rFonts w:hint="eastAsia"/>
        </w:rPr>
        <w:t>816 m</w:t>
      </w:r>
      <w:r>
        <w:rPr>
          <w:rFonts w:hint="eastAsia"/>
          <w:vertAlign w:val="superscript"/>
        </w:rPr>
        <w:t>3</w:t>
      </w:r>
      <w:r>
        <w:rPr>
          <w:rFonts w:hint="eastAsia"/>
        </w:rPr>
        <w:t>/s</w:t>
      </w:r>
      <w:r>
        <w:rPr>
          <w:rFonts w:hint="eastAsia"/>
        </w:rPr>
        <w:t>，核洪水位时最大泄量为</w:t>
      </w:r>
      <w:r>
        <w:rPr>
          <w:rFonts w:hint="eastAsia"/>
        </w:rPr>
        <w:t>1177m</w:t>
      </w:r>
      <w:r>
        <w:rPr>
          <w:rFonts w:hint="eastAsia"/>
          <w:vertAlign w:val="superscript"/>
        </w:rPr>
        <w:t>3</w:t>
      </w:r>
      <w:r>
        <w:rPr>
          <w:rFonts w:hint="eastAsia"/>
        </w:rPr>
        <w:t>/s</w:t>
      </w:r>
      <w:r>
        <w:rPr>
          <w:rFonts w:hint="eastAsia"/>
        </w:rPr>
        <w:t>。</w:t>
      </w:r>
    </w:p>
    <w:p w:rsidR="006175A6" w:rsidRDefault="009B4BA7">
      <w:pPr>
        <w:ind w:firstLine="480"/>
      </w:pPr>
      <w:r>
        <w:rPr>
          <w:rFonts w:hint="eastAsia"/>
        </w:rPr>
        <w:t>（</w:t>
      </w:r>
      <w:r>
        <w:rPr>
          <w:rFonts w:hint="eastAsia"/>
        </w:rPr>
        <w:t>3</w:t>
      </w:r>
      <w:r>
        <w:rPr>
          <w:rFonts w:hint="eastAsia"/>
        </w:rPr>
        <w:t>）黄粮镇供水退水</w:t>
      </w:r>
    </w:p>
    <w:p w:rsidR="006175A6" w:rsidRDefault="009B4BA7">
      <w:pPr>
        <w:ind w:firstLine="480"/>
        <w:rPr>
          <w:highlight w:val="yellow"/>
        </w:rPr>
      </w:pPr>
      <w:r>
        <w:rPr>
          <w:rFonts w:hint="eastAsia"/>
        </w:rPr>
        <w:t>两河口水库作为黄粮镇居民生活、工业、灌溉供水的水源地，水流经过供水引水隧洞和供水管道，把库水输送至水厂，经过一系列的净化处理工艺后，再通过供水管道汇入当地供水管网输送到各用水户。输水主要用于城镇居民的生活及农业供水，各乡镇居民和工况企业用水后，通过城市排污管网系统进入黄粮镇污水处理厂经过处理达标后经溪沟排放。</w:t>
      </w:r>
    </w:p>
    <w:p w:rsidR="006175A6" w:rsidRDefault="009B4BA7">
      <w:pPr>
        <w:pStyle w:val="4"/>
      </w:pPr>
      <w:r>
        <w:rPr>
          <w:rFonts w:hint="eastAsia"/>
        </w:rPr>
        <w:lastRenderedPageBreak/>
        <w:t>退水总量及排放方式</w:t>
      </w:r>
    </w:p>
    <w:p w:rsidR="006175A6" w:rsidRDefault="009B4BA7">
      <w:pPr>
        <w:ind w:firstLine="480"/>
      </w:pPr>
      <w:r>
        <w:rPr>
          <w:rFonts w:hint="eastAsia"/>
        </w:rPr>
        <w:t>（</w:t>
      </w:r>
      <w:r>
        <w:rPr>
          <w:rFonts w:hint="eastAsia"/>
        </w:rPr>
        <w:t>1</w:t>
      </w:r>
      <w:r>
        <w:rPr>
          <w:rFonts w:hint="eastAsia"/>
        </w:rPr>
        <w:t>）坝址下泄流量</w:t>
      </w:r>
    </w:p>
    <w:p w:rsidR="006175A6" w:rsidRDefault="009B4BA7">
      <w:pPr>
        <w:ind w:firstLine="480"/>
      </w:pPr>
      <w:r>
        <w:rPr>
          <w:rFonts w:hint="eastAsia"/>
        </w:rPr>
        <w:t>坝址下泄流量包括汛期多余来水的水库弃水和维持下游河道生态稳定的生态放水。工程在设计洪水位时最大泄量为</w:t>
      </w:r>
      <w:r>
        <w:rPr>
          <w:rFonts w:hint="eastAsia"/>
        </w:rPr>
        <w:t>816 m</w:t>
      </w:r>
      <w:r>
        <w:rPr>
          <w:rFonts w:hint="eastAsia"/>
          <w:vertAlign w:val="superscript"/>
        </w:rPr>
        <w:t>3</w:t>
      </w:r>
      <w:r>
        <w:rPr>
          <w:rFonts w:hint="eastAsia"/>
        </w:rPr>
        <w:t>/s</w:t>
      </w:r>
      <w:r>
        <w:rPr>
          <w:rFonts w:hint="eastAsia"/>
        </w:rPr>
        <w:t>，核洪水位时最大泄量为</w:t>
      </w:r>
      <w:r>
        <w:rPr>
          <w:rFonts w:hint="eastAsia"/>
        </w:rPr>
        <w:t>1177m</w:t>
      </w:r>
      <w:r>
        <w:rPr>
          <w:rFonts w:hint="eastAsia"/>
          <w:vertAlign w:val="superscript"/>
        </w:rPr>
        <w:t>3</w:t>
      </w:r>
      <w:r>
        <w:rPr>
          <w:rFonts w:hint="eastAsia"/>
        </w:rPr>
        <w:t>/s</w:t>
      </w:r>
      <w:r>
        <w:rPr>
          <w:rFonts w:hint="eastAsia"/>
        </w:rPr>
        <w:t>；生态供水流量为</w:t>
      </w:r>
      <w:r>
        <w:rPr>
          <w:rFonts w:hint="eastAsia"/>
        </w:rPr>
        <w:t>0.312m</w:t>
      </w:r>
      <w:r>
        <w:rPr>
          <w:rFonts w:hint="eastAsia"/>
          <w:vertAlign w:val="superscript"/>
        </w:rPr>
        <w:t>3</w:t>
      </w:r>
      <w:r>
        <w:rPr>
          <w:rFonts w:hint="eastAsia"/>
        </w:rPr>
        <w:t>/s</w:t>
      </w:r>
      <w:r>
        <w:rPr>
          <w:rFonts w:hint="eastAsia"/>
        </w:rPr>
        <w:t>，生态放水量为</w:t>
      </w:r>
      <w:r>
        <w:rPr>
          <w:rFonts w:hint="eastAsia"/>
        </w:rPr>
        <w:t>983.9</w:t>
      </w:r>
      <w:r>
        <w:rPr>
          <w:rFonts w:hint="eastAsia"/>
        </w:rPr>
        <w:t>万</w:t>
      </w:r>
      <w:r>
        <w:rPr>
          <w:rFonts w:hint="eastAsia"/>
        </w:rPr>
        <w:t>m</w:t>
      </w:r>
      <w:r>
        <w:rPr>
          <w:rFonts w:hint="eastAsia"/>
          <w:vertAlign w:val="superscript"/>
        </w:rPr>
        <w:t>3</w:t>
      </w:r>
      <w:r>
        <w:rPr>
          <w:rFonts w:hint="eastAsia"/>
        </w:rPr>
        <w:t>。</w:t>
      </w:r>
    </w:p>
    <w:p w:rsidR="006175A6" w:rsidRDefault="009B4BA7">
      <w:pPr>
        <w:ind w:firstLine="480"/>
      </w:pPr>
      <w:r>
        <w:rPr>
          <w:rFonts w:hint="eastAsia"/>
        </w:rPr>
        <w:t>（</w:t>
      </w:r>
      <w:r>
        <w:rPr>
          <w:rFonts w:hint="eastAsia"/>
        </w:rPr>
        <w:t>2</w:t>
      </w:r>
      <w:r>
        <w:rPr>
          <w:rFonts w:hint="eastAsia"/>
        </w:rPr>
        <w:t>）黄粮镇</w:t>
      </w:r>
      <w:r>
        <w:rPr>
          <w:rFonts w:hint="eastAsia"/>
          <w:color w:val="000000"/>
        </w:rPr>
        <w:t>供水退水量</w:t>
      </w:r>
    </w:p>
    <w:p w:rsidR="006175A6" w:rsidRDefault="009B4BA7">
      <w:pPr>
        <w:ind w:firstLine="480"/>
      </w:pPr>
      <w:r>
        <w:rPr>
          <w:rFonts w:hint="eastAsia"/>
        </w:rPr>
        <w:t>两河口水库工程的受水区，为以黄粮镇主，包括周边的峡口镇、昭君镇及古夫镇的部分村，共计</w:t>
      </w:r>
      <w:r>
        <w:rPr>
          <w:rFonts w:hint="eastAsia"/>
        </w:rPr>
        <w:t xml:space="preserve"> 4 </w:t>
      </w:r>
      <w:r>
        <w:rPr>
          <w:rFonts w:hint="eastAsia"/>
        </w:rPr>
        <w:t>个乡镇</w:t>
      </w:r>
      <w:r>
        <w:rPr>
          <w:rFonts w:hint="eastAsia"/>
        </w:rPr>
        <w:t xml:space="preserve"> 13 </w:t>
      </w:r>
      <w:r>
        <w:rPr>
          <w:rFonts w:hint="eastAsia"/>
        </w:rPr>
        <w:t>个村的范围，国土总面积</w:t>
      </w:r>
      <w:r>
        <w:rPr>
          <w:rFonts w:hint="eastAsia"/>
        </w:rPr>
        <w:t xml:space="preserve"> 55.8km</w:t>
      </w:r>
      <w:r>
        <w:rPr>
          <w:rFonts w:hint="eastAsia"/>
        </w:rPr>
        <w:t>²，耕地总面积</w:t>
      </w:r>
      <w:r>
        <w:rPr>
          <w:rFonts w:hint="eastAsia"/>
        </w:rPr>
        <w:t xml:space="preserve"> 35446</w:t>
      </w:r>
      <w:r>
        <w:rPr>
          <w:rFonts w:hint="eastAsia"/>
        </w:rPr>
        <w:t>亩，总人口</w:t>
      </w:r>
      <w:r>
        <w:rPr>
          <w:rFonts w:hint="eastAsia"/>
        </w:rPr>
        <w:t xml:space="preserve"> 26089 </w:t>
      </w:r>
      <w:r>
        <w:rPr>
          <w:rFonts w:hint="eastAsia"/>
        </w:rPr>
        <w:t>人。</w:t>
      </w:r>
    </w:p>
    <w:p w:rsidR="006175A6" w:rsidRDefault="009B4BA7">
      <w:pPr>
        <w:ind w:firstLine="480"/>
        <w:rPr>
          <w:highlight w:val="yellow"/>
        </w:rPr>
      </w:pPr>
      <w:r>
        <w:rPr>
          <w:rFonts w:hint="eastAsia"/>
        </w:rPr>
        <w:t>工程建成后，引水至黄粮等乡镇受水区，以满足受水区农业灌溉和居民综合用水及要求。据计算，至规划水平年，黄粮等乡镇受水区内的灌区设计灌溉面积</w:t>
      </w:r>
      <w:r>
        <w:rPr>
          <w:rFonts w:hint="eastAsia"/>
        </w:rPr>
        <w:t xml:space="preserve"> 2.8</w:t>
      </w:r>
      <w:r>
        <w:rPr>
          <w:rFonts w:hint="eastAsia"/>
        </w:rPr>
        <w:t>万亩，其中：灌溉基本烟田</w:t>
      </w:r>
      <w:r>
        <w:rPr>
          <w:rFonts w:hint="eastAsia"/>
        </w:rPr>
        <w:t xml:space="preserve"> 1.8 </w:t>
      </w:r>
      <w:r>
        <w:rPr>
          <w:rFonts w:hint="eastAsia"/>
        </w:rPr>
        <w:t>万亩，灌溉农田</w:t>
      </w:r>
      <w:r>
        <w:rPr>
          <w:rFonts w:hint="eastAsia"/>
        </w:rPr>
        <w:t xml:space="preserve"> 1.0 </w:t>
      </w:r>
      <w:r>
        <w:rPr>
          <w:rFonts w:hint="eastAsia"/>
        </w:rPr>
        <w:t>万亩，多年平均用水量</w:t>
      </w:r>
      <w:r>
        <w:rPr>
          <w:rFonts w:hint="eastAsia"/>
        </w:rPr>
        <w:t xml:space="preserve"> 1346 </w:t>
      </w:r>
      <w:r>
        <w:rPr>
          <w:rFonts w:hint="eastAsia"/>
        </w:rPr>
        <w:t>万</w:t>
      </w:r>
      <w:r>
        <w:rPr>
          <w:rFonts w:hint="eastAsia"/>
        </w:rPr>
        <w:t>m</w:t>
      </w:r>
      <w:r>
        <w:rPr>
          <w:rFonts w:hint="eastAsia"/>
        </w:rPr>
        <w:t>³。受水区内总人口</w:t>
      </w:r>
      <w:r>
        <w:rPr>
          <w:rFonts w:hint="eastAsia"/>
        </w:rPr>
        <w:t>3.1</w:t>
      </w:r>
      <w:r>
        <w:rPr>
          <w:rFonts w:hint="eastAsia"/>
        </w:rPr>
        <w:t>万人，多年平均用水量</w:t>
      </w:r>
      <w:r>
        <w:rPr>
          <w:rFonts w:hint="eastAsia"/>
        </w:rPr>
        <w:t xml:space="preserve"> 821 </w:t>
      </w:r>
      <w:r>
        <w:rPr>
          <w:rFonts w:hint="eastAsia"/>
        </w:rPr>
        <w:t>万</w:t>
      </w:r>
      <w:r>
        <w:rPr>
          <w:rFonts w:hint="eastAsia"/>
        </w:rPr>
        <w:t xml:space="preserve"> m</w:t>
      </w:r>
      <w:r>
        <w:rPr>
          <w:rFonts w:hint="eastAsia"/>
        </w:rPr>
        <w:t>³。合计多年平均用水总量</w:t>
      </w:r>
      <w:r>
        <w:rPr>
          <w:rFonts w:hint="eastAsia"/>
        </w:rPr>
        <w:t xml:space="preserve">2167 </w:t>
      </w:r>
      <w:r>
        <w:rPr>
          <w:rFonts w:hint="eastAsia"/>
        </w:rPr>
        <w:t>万</w:t>
      </w:r>
      <w:r>
        <w:rPr>
          <w:rFonts w:hint="eastAsia"/>
        </w:rPr>
        <w:t xml:space="preserve"> m</w:t>
      </w:r>
      <w:r>
        <w:rPr>
          <w:rFonts w:hint="eastAsia"/>
        </w:rPr>
        <w:t>³。</w:t>
      </w:r>
    </w:p>
    <w:p w:rsidR="006175A6" w:rsidRDefault="009B4BA7">
      <w:pPr>
        <w:ind w:firstLine="480"/>
      </w:pPr>
      <w:r>
        <w:rPr>
          <w:rFonts w:hint="eastAsia"/>
        </w:rPr>
        <w:t>根据《宜昌市市人民政府关于实行最严格水资源管理制度的通知》中对兴山县用水总量控制目标有明确的规定，</w:t>
      </w:r>
      <w:r>
        <w:rPr>
          <w:rFonts w:hint="eastAsia"/>
        </w:rPr>
        <w:t xml:space="preserve">2030 </w:t>
      </w:r>
      <w:r>
        <w:rPr>
          <w:rFonts w:hint="eastAsia"/>
        </w:rPr>
        <w:t>年用水总量不得超过</w:t>
      </w:r>
      <w:r>
        <w:rPr>
          <w:rFonts w:hint="eastAsia"/>
        </w:rPr>
        <w:t xml:space="preserve"> 0.83 </w:t>
      </w:r>
      <w:r>
        <w:rPr>
          <w:rFonts w:hint="eastAsia"/>
        </w:rPr>
        <w:t>亿</w:t>
      </w:r>
      <w:r>
        <w:rPr>
          <w:rFonts w:hint="eastAsia"/>
        </w:rPr>
        <w:t xml:space="preserve"> m</w:t>
      </w:r>
      <w:r>
        <w:rPr>
          <w:rFonts w:hint="eastAsia"/>
        </w:rPr>
        <w:t>³。根据高岚河流域地形地质条件，并根据兴山县“十三五”规划，除本报告所涉及的灌区和黄粮镇工业园外，由于高岚河流域内山大人稀，在未来的时期内不会兴建其他大型工业设施。因此，其用水量不会发生明显的变化。</w:t>
      </w:r>
    </w:p>
    <w:p w:rsidR="006175A6" w:rsidRDefault="009B4BA7">
      <w:pPr>
        <w:ind w:firstLine="480"/>
      </w:pPr>
      <w:r>
        <w:rPr>
          <w:rFonts w:hint="eastAsia"/>
        </w:rPr>
        <w:t>高岚河流域总人口为</w:t>
      </w:r>
      <w:r>
        <w:rPr>
          <w:rFonts w:hint="eastAsia"/>
        </w:rPr>
        <w:t xml:space="preserve"> 6.9 </w:t>
      </w:r>
      <w:r>
        <w:rPr>
          <w:rFonts w:hint="eastAsia"/>
        </w:rPr>
        <w:t>万人，占全县人口总量的</w:t>
      </w:r>
      <w:r>
        <w:rPr>
          <w:rFonts w:hint="eastAsia"/>
        </w:rPr>
        <w:t xml:space="preserve"> 40%</w:t>
      </w:r>
      <w:r>
        <w:rPr>
          <w:rFonts w:hint="eastAsia"/>
        </w:rPr>
        <w:t>，其经济总量约占全县经济总量的</w:t>
      </w:r>
      <w:r>
        <w:rPr>
          <w:rFonts w:hint="eastAsia"/>
        </w:rPr>
        <w:t xml:space="preserve"> 42.7%</w:t>
      </w:r>
      <w:r>
        <w:rPr>
          <w:rFonts w:hint="eastAsia"/>
        </w:rPr>
        <w:t>，则用水总量控制线为</w:t>
      </w:r>
      <w:r>
        <w:rPr>
          <w:rFonts w:hint="eastAsia"/>
        </w:rPr>
        <w:t xml:space="preserve"> 3320 </w:t>
      </w:r>
      <w:r>
        <w:rPr>
          <w:rFonts w:hint="eastAsia"/>
        </w:rPr>
        <w:t>万</w:t>
      </w:r>
      <w:r>
        <w:rPr>
          <w:rFonts w:hint="eastAsia"/>
        </w:rPr>
        <w:t xml:space="preserve"> m</w:t>
      </w:r>
      <w:r>
        <w:rPr>
          <w:rFonts w:hint="eastAsia"/>
        </w:rPr>
        <w:t>³，因此，至规划的</w:t>
      </w:r>
      <w:r>
        <w:rPr>
          <w:rFonts w:hint="eastAsia"/>
        </w:rPr>
        <w:t xml:space="preserve"> 2030 </w:t>
      </w:r>
      <w:r>
        <w:rPr>
          <w:rFonts w:hint="eastAsia"/>
        </w:rPr>
        <w:t>年，本报告所涉及的总用水量</w:t>
      </w:r>
      <w:r>
        <w:rPr>
          <w:rFonts w:hint="eastAsia"/>
        </w:rPr>
        <w:t xml:space="preserve"> 2101 </w:t>
      </w:r>
      <w:r>
        <w:rPr>
          <w:rFonts w:hint="eastAsia"/>
        </w:rPr>
        <w:t>万</w:t>
      </w:r>
      <w:r>
        <w:rPr>
          <w:rFonts w:hint="eastAsia"/>
        </w:rPr>
        <w:t xml:space="preserve"> m</w:t>
      </w:r>
      <w:r>
        <w:rPr>
          <w:rFonts w:hint="eastAsia"/>
        </w:rPr>
        <w:t>³，加上受水区外包括榛子乡一部分</w:t>
      </w:r>
      <w:r>
        <w:rPr>
          <w:rFonts w:hint="eastAsia"/>
        </w:rPr>
        <w:t xml:space="preserve"> 0.55 </w:t>
      </w:r>
      <w:r>
        <w:rPr>
          <w:rFonts w:hint="eastAsia"/>
        </w:rPr>
        <w:t>万人、水月寺镇</w:t>
      </w:r>
      <w:r>
        <w:rPr>
          <w:rFonts w:hint="eastAsia"/>
        </w:rPr>
        <w:t xml:space="preserve"> 2.37 </w:t>
      </w:r>
      <w:r>
        <w:rPr>
          <w:rFonts w:hint="eastAsia"/>
        </w:rPr>
        <w:t>万人、峡口镇一部分</w:t>
      </w:r>
      <w:r>
        <w:rPr>
          <w:rFonts w:hint="eastAsia"/>
        </w:rPr>
        <w:t xml:space="preserve"> 0.86 </w:t>
      </w:r>
      <w:r>
        <w:rPr>
          <w:rFonts w:hint="eastAsia"/>
        </w:rPr>
        <w:t>万人共计</w:t>
      </w:r>
      <w:r>
        <w:rPr>
          <w:rFonts w:hint="eastAsia"/>
        </w:rPr>
        <w:t xml:space="preserve"> 3.8 </w:t>
      </w:r>
      <w:r>
        <w:rPr>
          <w:rFonts w:hint="eastAsia"/>
        </w:rPr>
        <w:t>万人村镇居民综合用水（用水综合定额按</w:t>
      </w:r>
      <w:r>
        <w:rPr>
          <w:rFonts w:hint="eastAsia"/>
        </w:rPr>
        <w:t xml:space="preserve"> 130 </w:t>
      </w:r>
      <w:r>
        <w:rPr>
          <w:rFonts w:hint="eastAsia"/>
        </w:rPr>
        <w:t>升</w:t>
      </w:r>
      <w:r>
        <w:rPr>
          <w:rFonts w:hint="eastAsia"/>
        </w:rPr>
        <w:t>/</w:t>
      </w:r>
      <w:r>
        <w:rPr>
          <w:rFonts w:hint="eastAsia"/>
        </w:rPr>
        <w:t>人</w:t>
      </w:r>
      <w:r>
        <w:rPr>
          <w:rFonts w:hint="eastAsia"/>
        </w:rPr>
        <w:t xml:space="preserve">.d </w:t>
      </w:r>
      <w:r>
        <w:rPr>
          <w:rFonts w:hint="eastAsia"/>
        </w:rPr>
        <w:t>计），总用水量</w:t>
      </w:r>
      <w:r>
        <w:rPr>
          <w:rFonts w:hint="eastAsia"/>
        </w:rPr>
        <w:t xml:space="preserve"> 180 </w:t>
      </w:r>
      <w:r>
        <w:rPr>
          <w:rFonts w:hint="eastAsia"/>
        </w:rPr>
        <w:t>万</w:t>
      </w:r>
      <w:r>
        <w:rPr>
          <w:rFonts w:hint="eastAsia"/>
        </w:rPr>
        <w:t xml:space="preserve"> m</w:t>
      </w:r>
      <w:r>
        <w:rPr>
          <w:rFonts w:hint="eastAsia"/>
        </w:rPr>
        <w:t>³，两项合计总用水量</w:t>
      </w:r>
      <w:r>
        <w:rPr>
          <w:rFonts w:hint="eastAsia"/>
        </w:rPr>
        <w:t xml:space="preserve"> 2281 </w:t>
      </w:r>
      <w:r>
        <w:rPr>
          <w:rFonts w:hint="eastAsia"/>
        </w:rPr>
        <w:t>万</w:t>
      </w:r>
      <w:r>
        <w:rPr>
          <w:rFonts w:hint="eastAsia"/>
        </w:rPr>
        <w:t xml:space="preserve"> m</w:t>
      </w:r>
      <w:r>
        <w:rPr>
          <w:rFonts w:hint="eastAsia"/>
        </w:rPr>
        <w:t>³。没有突破高岚河流域用水总量</w:t>
      </w:r>
      <w:r>
        <w:rPr>
          <w:rFonts w:hint="eastAsia"/>
        </w:rPr>
        <w:t xml:space="preserve"> 3320 </w:t>
      </w:r>
      <w:r>
        <w:rPr>
          <w:rFonts w:hint="eastAsia"/>
        </w:rPr>
        <w:t>万</w:t>
      </w:r>
      <w:r>
        <w:rPr>
          <w:rFonts w:hint="eastAsia"/>
        </w:rPr>
        <w:t xml:space="preserve"> m</w:t>
      </w:r>
      <w:r>
        <w:rPr>
          <w:rFonts w:hint="eastAsia"/>
        </w:rPr>
        <w:t>³的控制指标。从另一方面看，县域水资源总量</w:t>
      </w:r>
      <w:r>
        <w:rPr>
          <w:rFonts w:hint="eastAsia"/>
        </w:rPr>
        <w:t xml:space="preserve"> 12.4 </w:t>
      </w:r>
      <w:r>
        <w:rPr>
          <w:rFonts w:hint="eastAsia"/>
        </w:rPr>
        <w:t>亿</w:t>
      </w:r>
      <w:r>
        <w:rPr>
          <w:rFonts w:hint="eastAsia"/>
        </w:rPr>
        <w:t xml:space="preserve"> m</w:t>
      </w:r>
      <w:r>
        <w:rPr>
          <w:rFonts w:hint="eastAsia"/>
        </w:rPr>
        <w:t>³，本次项目区处于高岚河流域片区（</w:t>
      </w:r>
      <w:r>
        <w:rPr>
          <w:rFonts w:hint="eastAsia"/>
        </w:rPr>
        <w:t>893km</w:t>
      </w:r>
      <w:r>
        <w:rPr>
          <w:rFonts w:hint="eastAsia"/>
        </w:rPr>
        <w:t>²）为</w:t>
      </w:r>
      <w:r>
        <w:rPr>
          <w:rFonts w:hint="eastAsia"/>
        </w:rPr>
        <w:t xml:space="preserve"> 4.5 </w:t>
      </w:r>
      <w:r>
        <w:rPr>
          <w:rFonts w:hint="eastAsia"/>
        </w:rPr>
        <w:t>亿</w:t>
      </w:r>
      <w:r>
        <w:rPr>
          <w:rFonts w:hint="eastAsia"/>
        </w:rPr>
        <w:t xml:space="preserve"> m</w:t>
      </w:r>
      <w:r>
        <w:rPr>
          <w:rFonts w:hint="eastAsia"/>
        </w:rPr>
        <w:t>³，即项目区占全县水资源总量的</w:t>
      </w:r>
      <w:r>
        <w:rPr>
          <w:rFonts w:hint="eastAsia"/>
        </w:rPr>
        <w:t xml:space="preserve"> 36.3%</w:t>
      </w:r>
      <w:r>
        <w:rPr>
          <w:rFonts w:hint="eastAsia"/>
        </w:rPr>
        <w:t>，相应控制用水量为</w:t>
      </w:r>
      <w:r>
        <w:rPr>
          <w:rFonts w:hint="eastAsia"/>
        </w:rPr>
        <w:t xml:space="preserve">3012 </w:t>
      </w:r>
      <w:r>
        <w:rPr>
          <w:rFonts w:hint="eastAsia"/>
        </w:rPr>
        <w:t>万</w:t>
      </w:r>
      <w:r>
        <w:rPr>
          <w:rFonts w:hint="eastAsia"/>
        </w:rPr>
        <w:t xml:space="preserve"> m</w:t>
      </w:r>
      <w:r>
        <w:rPr>
          <w:rFonts w:hint="eastAsia"/>
        </w:rPr>
        <w:t>³。也远大于至</w:t>
      </w:r>
      <w:r>
        <w:rPr>
          <w:rFonts w:hint="eastAsia"/>
        </w:rPr>
        <w:t xml:space="preserve"> 2030 </w:t>
      </w:r>
      <w:r>
        <w:rPr>
          <w:rFonts w:hint="eastAsia"/>
        </w:rPr>
        <w:t>年的用水总量</w:t>
      </w:r>
      <w:r>
        <w:rPr>
          <w:rFonts w:hint="eastAsia"/>
        </w:rPr>
        <w:t>2167</w:t>
      </w:r>
      <w:r>
        <w:rPr>
          <w:rFonts w:hint="eastAsia"/>
        </w:rPr>
        <w:t>万</w:t>
      </w:r>
      <w:r>
        <w:rPr>
          <w:rFonts w:hint="eastAsia"/>
        </w:rPr>
        <w:t xml:space="preserve"> m</w:t>
      </w:r>
      <w:r>
        <w:rPr>
          <w:rFonts w:hint="eastAsia"/>
        </w:rPr>
        <w:t>³。</w:t>
      </w:r>
    </w:p>
    <w:p w:rsidR="006175A6" w:rsidRDefault="009B4BA7">
      <w:pPr>
        <w:ind w:firstLine="480"/>
      </w:pPr>
      <w:r>
        <w:t>由于受水区的人口增量不是很大，</w:t>
      </w:r>
      <w:r>
        <w:rPr>
          <w:rFonts w:hint="eastAsia"/>
        </w:rPr>
        <w:t>新增生活污水排放量较小，对受水区纳污</w:t>
      </w:r>
      <w:r>
        <w:rPr>
          <w:rFonts w:hint="eastAsia"/>
        </w:rPr>
        <w:lastRenderedPageBreak/>
        <w:t>能力影响较小，对于工业园产业的排污问题，在《湖北省兴山县移民生态工业园规划（</w:t>
      </w:r>
      <w:r>
        <w:rPr>
          <w:rFonts w:hint="eastAsia"/>
        </w:rPr>
        <w:t>2011~2020</w:t>
      </w:r>
      <w:r>
        <w:rPr>
          <w:rFonts w:hint="eastAsia"/>
        </w:rPr>
        <w:t>）》有专门论述：</w:t>
      </w:r>
    </w:p>
    <w:p w:rsidR="006175A6" w:rsidRDefault="009B4BA7">
      <w:pPr>
        <w:ind w:firstLine="480"/>
      </w:pPr>
      <w:r>
        <w:rPr>
          <w:rFonts w:hint="eastAsia"/>
        </w:rPr>
        <w:t>“黄粮片区污水排放大多来自绿色食品加工，主要污染物为</w:t>
      </w:r>
      <w:r>
        <w:rPr>
          <w:rFonts w:hint="eastAsia"/>
        </w:rPr>
        <w:t xml:space="preserve"> 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w:t>
      </w:r>
      <w:r>
        <w:rPr>
          <w:rFonts w:hint="eastAsia"/>
        </w:rPr>
        <w:t>NH</w:t>
      </w:r>
      <w:r>
        <w:rPr>
          <w:rFonts w:hint="eastAsia"/>
          <w:vertAlign w:val="subscript"/>
        </w:rPr>
        <w:t>3</w:t>
      </w:r>
      <w:r>
        <w:rPr>
          <w:rFonts w:hint="eastAsia"/>
        </w:rPr>
        <w:t>-N</w:t>
      </w:r>
      <w:r>
        <w:rPr>
          <w:rFonts w:hint="eastAsia"/>
        </w:rPr>
        <w:t>等，主要特点是污水水量大。</w:t>
      </w:r>
    </w:p>
    <w:p w:rsidR="006175A6" w:rsidRDefault="009B4BA7">
      <w:pPr>
        <w:ind w:firstLine="480"/>
      </w:pPr>
      <w:r>
        <w:rPr>
          <w:rFonts w:hint="eastAsia"/>
        </w:rPr>
        <w:t>对于绿色食品加工产业强制推行清洁生产，减少生产过程中的废水产生量，提高该产业的废水循环利用率，制定明确的废水总量消减目标，加强审核监督力度。绿色食品加工产生的工业废水进入园区污水管网集中处理。由于水量大，污染负荷高，污水处理厂规模必须满足园区发展的需要，同时应预留改造和扩大规模所需用地。</w:t>
      </w:r>
    </w:p>
    <w:p w:rsidR="006175A6" w:rsidRDefault="009B4BA7">
      <w:pPr>
        <w:ind w:firstLine="480"/>
      </w:pPr>
      <w:r>
        <w:rPr>
          <w:rFonts w:hint="eastAsia"/>
        </w:rPr>
        <w:t>污水处理厂出水水质符合《污水综合排放标准》（</w:t>
      </w:r>
      <w:r>
        <w:rPr>
          <w:rFonts w:hint="eastAsia"/>
        </w:rPr>
        <w:t>GB8978-1996</w:t>
      </w:r>
      <w:r>
        <w:rPr>
          <w:rFonts w:hint="eastAsia"/>
        </w:rPr>
        <w:t>）的一级标准。园区污水处理厂提供中水，水质符合《城市污水再生利用城市杂用水水质》</w:t>
      </w:r>
      <w:r>
        <w:rPr>
          <w:rFonts w:hint="eastAsia"/>
        </w:rPr>
        <w:t xml:space="preserve">GB/T18920-2002 </w:t>
      </w:r>
      <w:r>
        <w:rPr>
          <w:rFonts w:hint="eastAsia"/>
        </w:rPr>
        <w:t>指标。园区内所有污水均需由经有关部门确认的污水排放口排放，禁止在规划的污水排放口外设新的污水排放口。污水排放口实施规范化建设，并安装在线监测，保证污水达标排放。</w:t>
      </w:r>
    </w:p>
    <w:p w:rsidR="006175A6" w:rsidRDefault="009B4BA7">
      <w:pPr>
        <w:ind w:firstLine="480"/>
      </w:pPr>
      <w:r>
        <w:rPr>
          <w:rFonts w:hint="eastAsia"/>
        </w:rPr>
        <w:t>园区范围内规划污水处理站一座，黄粮镇污水处理厂主要用于处理黄粮片区原有与新增生活污水以及部分工业废水。”</w:t>
      </w:r>
    </w:p>
    <w:p w:rsidR="006175A6" w:rsidRDefault="009B4BA7">
      <w:pPr>
        <w:ind w:firstLine="480"/>
      </w:pPr>
      <w:r>
        <w:rPr>
          <w:rFonts w:hint="eastAsia"/>
        </w:rPr>
        <w:t>总之，本工程受水区的污水排放主要来自工业园，但修建污水处理厂后，污水排放水质达标后才能容许排入下游，不会对高岚河造成污染。</w:t>
      </w:r>
    </w:p>
    <w:p w:rsidR="006175A6" w:rsidRDefault="009B4BA7">
      <w:pPr>
        <w:ind w:firstLine="480"/>
      </w:pPr>
      <w:r>
        <w:rPr>
          <w:rFonts w:hint="eastAsia"/>
        </w:rPr>
        <w:t>综上所述，两河口水库退水不会对水功能区产生不利影响。</w:t>
      </w:r>
    </w:p>
    <w:p w:rsidR="006175A6" w:rsidRDefault="009B4BA7">
      <w:pPr>
        <w:pStyle w:val="3"/>
      </w:pPr>
      <w:r>
        <w:rPr>
          <w:rFonts w:hint="eastAsia"/>
        </w:rPr>
        <w:t>项目运行期间下泄生态流量分析</w:t>
      </w:r>
    </w:p>
    <w:p w:rsidR="006175A6" w:rsidRDefault="009B4BA7">
      <w:pPr>
        <w:pStyle w:val="4"/>
      </w:pPr>
      <w:r>
        <w:rPr>
          <w:rFonts w:hint="eastAsia"/>
        </w:rPr>
        <w:t>生态流量合理性分析</w:t>
      </w:r>
    </w:p>
    <w:p w:rsidR="006175A6" w:rsidRDefault="009B4BA7">
      <w:pPr>
        <w:ind w:firstLine="480"/>
      </w:pPr>
      <w:r>
        <w:rPr>
          <w:rFonts w:hint="eastAsia"/>
        </w:rPr>
        <w:t>据《水利水电建设项目水资源论证导则》</w:t>
      </w:r>
      <w:r w:rsidR="00E97427">
        <w:rPr>
          <w:rFonts w:hint="eastAsia"/>
        </w:rPr>
        <w:t>（</w:t>
      </w:r>
      <w:r>
        <w:rPr>
          <w:rFonts w:hint="eastAsia"/>
        </w:rPr>
        <w:t>SL525-2011</w:t>
      </w:r>
      <w:r w:rsidR="00E97427">
        <w:rPr>
          <w:rFonts w:hint="eastAsia"/>
        </w:rPr>
        <w:t>）</w:t>
      </w:r>
      <w:r>
        <w:rPr>
          <w:rFonts w:hint="eastAsia"/>
        </w:rPr>
        <w:t>要求，生态需水量可按取水坝址以上多年平均流量的</w:t>
      </w:r>
      <w:r>
        <w:rPr>
          <w:rFonts w:hint="eastAsia"/>
        </w:rPr>
        <w:t>10%</w:t>
      </w:r>
      <w:r>
        <w:rPr>
          <w:rFonts w:hint="eastAsia"/>
        </w:rPr>
        <w:t>～</w:t>
      </w:r>
      <w:r>
        <w:rPr>
          <w:rFonts w:hint="eastAsia"/>
        </w:rPr>
        <w:t>20%</w:t>
      </w:r>
      <w:r>
        <w:rPr>
          <w:rFonts w:hint="eastAsia"/>
        </w:rPr>
        <w:t>计算，因本工程水资源较为丰富，属于保留区，流域现状尚无水利工程无开发，且取水流域不属于生态敏感区域，流域内无珍稀濒危鱼类，同时区间汇流面积上的来水也会对下游河道水量有一定的补充，不会对下游生态环境造成影响。因此，生态流量按</w:t>
      </w:r>
      <w:r>
        <w:rPr>
          <w:rFonts w:hint="eastAsia"/>
        </w:rPr>
        <w:t>20%</w:t>
      </w:r>
      <w:r>
        <w:rPr>
          <w:rFonts w:hint="eastAsia"/>
        </w:rPr>
        <w:t>预留是合理的。</w:t>
      </w:r>
    </w:p>
    <w:p w:rsidR="006175A6" w:rsidRDefault="009B4BA7">
      <w:pPr>
        <w:pStyle w:val="4"/>
      </w:pPr>
      <w:r>
        <w:rPr>
          <w:rFonts w:hint="eastAsia"/>
        </w:rPr>
        <w:t>生态流量保证性分析</w:t>
      </w:r>
    </w:p>
    <w:p w:rsidR="006175A6" w:rsidRDefault="009B4BA7">
      <w:pPr>
        <w:ind w:firstLine="480"/>
      </w:pPr>
      <w:r>
        <w:rPr>
          <w:rFonts w:hint="eastAsia"/>
        </w:rPr>
        <w:t>两河口水库的正常蓄水位为</w:t>
      </w:r>
      <w:r>
        <w:rPr>
          <w:rFonts w:hint="eastAsia"/>
        </w:rPr>
        <w:t>1058m</w:t>
      </w:r>
      <w:r>
        <w:rPr>
          <w:rFonts w:hint="eastAsia"/>
        </w:rPr>
        <w:t>，相应库容为</w:t>
      </w:r>
      <w:r>
        <w:rPr>
          <w:rFonts w:hint="eastAsia"/>
        </w:rPr>
        <w:t>1001</w:t>
      </w:r>
      <w:r>
        <w:rPr>
          <w:rFonts w:hint="eastAsia"/>
        </w:rPr>
        <w:t>万</w:t>
      </w:r>
      <w:r>
        <w:rPr>
          <w:rFonts w:hint="eastAsia"/>
        </w:rPr>
        <w:t>m</w:t>
      </w:r>
      <w:r>
        <w:rPr>
          <w:rFonts w:hint="eastAsia"/>
          <w:vertAlign w:val="superscript"/>
        </w:rPr>
        <w:t>3</w:t>
      </w:r>
      <w:r>
        <w:rPr>
          <w:rFonts w:hint="eastAsia"/>
        </w:rPr>
        <w:t>，兴利库容为</w:t>
      </w:r>
      <w:r>
        <w:rPr>
          <w:rFonts w:hint="eastAsia"/>
        </w:rPr>
        <w:t>910</w:t>
      </w:r>
      <w:r>
        <w:rPr>
          <w:rFonts w:hint="eastAsia"/>
        </w:rPr>
        <w:t>万</w:t>
      </w:r>
      <w:r>
        <w:rPr>
          <w:rFonts w:hint="eastAsia"/>
        </w:rPr>
        <w:t>m</w:t>
      </w:r>
      <w:r>
        <w:rPr>
          <w:rFonts w:hint="eastAsia"/>
          <w:vertAlign w:val="superscript"/>
        </w:rPr>
        <w:t>3</w:t>
      </w:r>
      <w:r>
        <w:rPr>
          <w:rFonts w:hint="eastAsia"/>
        </w:rPr>
        <w:t>，为不完全年调节性能。两河口水库工程的工程任务是向黄粮等乡镇</w:t>
      </w:r>
      <w:r>
        <w:rPr>
          <w:rFonts w:hint="eastAsia"/>
        </w:rPr>
        <w:lastRenderedPageBreak/>
        <w:t>受水区提供原水，以满足受水区内的灌溉用水、村镇居民生活及工业用水要求。两河口水库需供水</w:t>
      </w:r>
      <w:r>
        <w:rPr>
          <w:rFonts w:hint="eastAsia"/>
        </w:rPr>
        <w:t>2167</w:t>
      </w:r>
      <w:r>
        <w:rPr>
          <w:rFonts w:hint="eastAsia"/>
        </w:rPr>
        <w:t>万</w:t>
      </w:r>
      <w:r>
        <w:rPr>
          <w:rFonts w:hint="eastAsia"/>
        </w:rPr>
        <w:t xml:space="preserve"> m</w:t>
      </w:r>
      <w:r>
        <w:rPr>
          <w:rFonts w:hint="eastAsia"/>
        </w:rPr>
        <w:t>³</w:t>
      </w:r>
      <w:r>
        <w:rPr>
          <w:rFonts w:hint="eastAsia"/>
        </w:rPr>
        <w:t>/a</w:t>
      </w:r>
      <w:r>
        <w:rPr>
          <w:rFonts w:hint="eastAsia"/>
        </w:rPr>
        <w:t>。水库下泄生态流量为</w:t>
      </w:r>
      <w:r>
        <w:rPr>
          <w:rFonts w:hint="eastAsia"/>
        </w:rPr>
        <w:t>0.312m</w:t>
      </w:r>
      <w:r>
        <w:rPr>
          <w:rFonts w:hint="eastAsia"/>
          <w:vertAlign w:val="superscript"/>
        </w:rPr>
        <w:t>3</w:t>
      </w:r>
      <w:r>
        <w:rPr>
          <w:rFonts w:hint="eastAsia"/>
        </w:rPr>
        <w:t>/s</w:t>
      </w:r>
      <w:r>
        <w:rPr>
          <w:rFonts w:hint="eastAsia"/>
        </w:rPr>
        <w:t>（按多年平均径流量的</w:t>
      </w:r>
      <w:r>
        <w:rPr>
          <w:rFonts w:hint="eastAsia"/>
        </w:rPr>
        <w:t>20%</w:t>
      </w:r>
      <w:r>
        <w:rPr>
          <w:rFonts w:hint="eastAsia"/>
        </w:rPr>
        <w:t>计算），年需水量为</w:t>
      </w:r>
      <w:r>
        <w:rPr>
          <w:rFonts w:hint="eastAsia"/>
        </w:rPr>
        <w:t>983.9</w:t>
      </w:r>
      <w:r>
        <w:rPr>
          <w:rFonts w:hint="eastAsia"/>
        </w:rPr>
        <w:t>万</w:t>
      </w:r>
      <w:r>
        <w:rPr>
          <w:rFonts w:hint="eastAsia"/>
        </w:rPr>
        <w:t>m</w:t>
      </w:r>
      <w:r>
        <w:rPr>
          <w:rFonts w:hint="eastAsia"/>
          <w:vertAlign w:val="superscript"/>
        </w:rPr>
        <w:t>3</w:t>
      </w:r>
      <w:r>
        <w:rPr>
          <w:rFonts w:hint="eastAsia"/>
        </w:rPr>
        <w:t>/a</w:t>
      </w:r>
      <w:r>
        <w:rPr>
          <w:rFonts w:hint="eastAsia"/>
        </w:rPr>
        <w:t>。两河口水库蓄水按多年平均流量</w:t>
      </w:r>
      <w:r>
        <w:rPr>
          <w:rFonts w:hint="eastAsia"/>
        </w:rPr>
        <w:t>1.56m</w:t>
      </w:r>
      <w:r>
        <w:rPr>
          <w:rFonts w:hint="eastAsia"/>
          <w:vertAlign w:val="superscript"/>
        </w:rPr>
        <w:t>3</w:t>
      </w:r>
      <w:r>
        <w:rPr>
          <w:rFonts w:hint="eastAsia"/>
        </w:rPr>
        <w:t>/s</w:t>
      </w:r>
      <w:r>
        <w:rPr>
          <w:rFonts w:hint="eastAsia"/>
        </w:rPr>
        <w:t>计算，蓄水量为</w:t>
      </w:r>
      <w:r>
        <w:rPr>
          <w:rFonts w:hint="eastAsia"/>
        </w:rPr>
        <w:t>4920</w:t>
      </w:r>
      <w:r>
        <w:rPr>
          <w:rFonts w:hint="eastAsia"/>
        </w:rPr>
        <w:t>万</w:t>
      </w:r>
      <w:r>
        <w:rPr>
          <w:rFonts w:hint="eastAsia"/>
        </w:rPr>
        <w:t>m</w:t>
      </w:r>
      <w:r>
        <w:rPr>
          <w:rFonts w:hint="eastAsia"/>
          <w:vertAlign w:val="superscript"/>
        </w:rPr>
        <w:t>3</w:t>
      </w:r>
      <w:r>
        <w:rPr>
          <w:rFonts w:hint="eastAsia"/>
        </w:rPr>
        <w:t>/a</w:t>
      </w:r>
      <w:r>
        <w:rPr>
          <w:rFonts w:hint="eastAsia"/>
        </w:rPr>
        <w:t>，满足供水及生态泄流量的要求。为保证生态流量下泄，两河口水库坝址生态基流拟通过设置生态输水管进行泄放，经计算设计管径设置为</w:t>
      </w:r>
      <w:r>
        <w:rPr>
          <w:rFonts w:hint="eastAsia"/>
        </w:rPr>
        <w:t>DN1000mm</w:t>
      </w:r>
      <w:r>
        <w:rPr>
          <w:rFonts w:hint="eastAsia"/>
        </w:rPr>
        <w:t>，可以保证生态流量不小</w:t>
      </w:r>
      <w:r>
        <w:rPr>
          <w:rFonts w:hint="eastAsia"/>
        </w:rPr>
        <w:t>0.312m</w:t>
      </w:r>
      <w:r>
        <w:rPr>
          <w:rFonts w:hint="eastAsia"/>
          <w:vertAlign w:val="superscript"/>
        </w:rPr>
        <w:t>3</w:t>
      </w:r>
      <w:r>
        <w:rPr>
          <w:rFonts w:hint="eastAsia"/>
        </w:rPr>
        <w:t>/s</w:t>
      </w:r>
      <w:r>
        <w:rPr>
          <w:rFonts w:hint="eastAsia"/>
        </w:rPr>
        <w:t>。</w:t>
      </w:r>
    </w:p>
    <w:p w:rsidR="006175A6" w:rsidRDefault="009B4BA7">
      <w:pPr>
        <w:pStyle w:val="3"/>
      </w:pPr>
      <w:r>
        <w:rPr>
          <w:rFonts w:hint="eastAsia"/>
        </w:rPr>
        <w:t>对其他用水户的影响分析</w:t>
      </w:r>
    </w:p>
    <w:p w:rsidR="006175A6" w:rsidRDefault="009B4BA7">
      <w:pPr>
        <w:ind w:firstLine="480"/>
      </w:pPr>
      <w:r>
        <w:rPr>
          <w:rFonts w:hint="eastAsia"/>
        </w:rPr>
        <w:t>两河口水库库区有少量的居民，少许耕地，用水都取山泉水，水库建成后，库区耕地被淹没，对库区居民进行</w:t>
      </w:r>
      <w:r>
        <w:rPr>
          <w:rFonts w:hint="eastAsia"/>
        </w:rPr>
        <w:t>3</w:t>
      </w:r>
      <w:r>
        <w:rPr>
          <w:rFonts w:hint="eastAsia"/>
        </w:rPr>
        <w:t>户移民安置和征地补偿，安置后居民采用新的水源，水源仍为山泉水。对于两河口水库坝址至下游门家河之间的河段，两岸居民饮水水源仍为山泉水，两河口水库的建设，两岸居民用水不受影响。因此，两河口水库的建设，对其他用水户没有影响。</w:t>
      </w:r>
    </w:p>
    <w:p w:rsidR="006175A6" w:rsidRDefault="009B4BA7">
      <w:pPr>
        <w:pStyle w:val="2"/>
      </w:pPr>
      <w:bookmarkStart w:id="71" w:name="_Toc80170115"/>
      <w:r>
        <w:rPr>
          <w:rFonts w:hint="eastAsia"/>
        </w:rPr>
        <w:t>地下水环境影响分析</w:t>
      </w:r>
      <w:bookmarkEnd w:id="71"/>
    </w:p>
    <w:p w:rsidR="006175A6" w:rsidRDefault="009B4BA7">
      <w:pPr>
        <w:ind w:firstLine="480"/>
      </w:pPr>
      <w:r>
        <w:rPr>
          <w:rFonts w:hint="eastAsia"/>
        </w:rPr>
        <w:t>坝区位于青龙嘴以下</w:t>
      </w:r>
      <w:r>
        <w:rPr>
          <w:rFonts w:hint="eastAsia"/>
        </w:rPr>
        <w:t>270m</w:t>
      </w:r>
      <w:r>
        <w:rPr>
          <w:rFonts w:hint="eastAsia"/>
        </w:rPr>
        <w:t>至卸甲槽，河段全长</w:t>
      </w:r>
      <w:r>
        <w:rPr>
          <w:rFonts w:hint="eastAsia"/>
        </w:rPr>
        <w:t>400m</w:t>
      </w:r>
      <w:r>
        <w:rPr>
          <w:rFonts w:hint="eastAsia"/>
        </w:rPr>
        <w:t>。坝区河流流向</w:t>
      </w:r>
      <w:r>
        <w:rPr>
          <w:rFonts w:hint="eastAsia"/>
        </w:rPr>
        <w:t>180~190</w:t>
      </w:r>
      <w:r>
        <w:rPr>
          <w:rFonts w:hint="eastAsia"/>
        </w:rPr>
        <w:t>°，呈“</w:t>
      </w:r>
      <w:r>
        <w:rPr>
          <w:rFonts w:hint="eastAsia"/>
        </w:rPr>
        <w:t>V</w:t>
      </w:r>
      <w:r>
        <w:rPr>
          <w:rFonts w:hint="eastAsia"/>
        </w:rPr>
        <w:t>”型谷，河谷狭窄。河床宽</w:t>
      </w:r>
      <w:r>
        <w:rPr>
          <w:rFonts w:hint="eastAsia"/>
        </w:rPr>
        <w:t xml:space="preserve"> 20~30m</w:t>
      </w:r>
      <w:r>
        <w:rPr>
          <w:rFonts w:hint="eastAsia"/>
        </w:rPr>
        <w:t>，山顶最大高程</w:t>
      </w:r>
      <w:r>
        <w:rPr>
          <w:rFonts w:hint="eastAsia"/>
        </w:rPr>
        <w:t>1600~1800m</w:t>
      </w:r>
      <w:r>
        <w:rPr>
          <w:rFonts w:hint="eastAsia"/>
        </w:rPr>
        <w:t>，河床高程</w:t>
      </w:r>
      <w:r>
        <w:rPr>
          <w:rFonts w:hint="eastAsia"/>
        </w:rPr>
        <w:t>985~986.0m</w:t>
      </w:r>
      <w:r>
        <w:rPr>
          <w:rFonts w:hint="eastAsia"/>
        </w:rPr>
        <w:t>，河床纵坡降</w:t>
      </w:r>
      <w:r>
        <w:rPr>
          <w:rFonts w:hint="eastAsia"/>
        </w:rPr>
        <w:t>1</w:t>
      </w:r>
      <w:r>
        <w:rPr>
          <w:rFonts w:hint="eastAsia"/>
        </w:rPr>
        <w:t>‰，局部深槽和跌坎，乱石堆积。河床零星分布砂卵石漫滩。左岸</w:t>
      </w:r>
      <w:r>
        <w:rPr>
          <w:rFonts w:hint="eastAsia"/>
        </w:rPr>
        <w:t>1085m</w:t>
      </w:r>
      <w:r>
        <w:rPr>
          <w:rFonts w:hint="eastAsia"/>
        </w:rPr>
        <w:t>高程以下近直立，中间相对平缓，平均坡角</w:t>
      </w:r>
      <w:r>
        <w:rPr>
          <w:rFonts w:hint="eastAsia"/>
        </w:rPr>
        <w:t>35~45</w:t>
      </w:r>
      <w:r>
        <w:rPr>
          <w:rFonts w:hint="eastAsia"/>
        </w:rPr>
        <w:t>°，顶部陡峭，右岸地形陡峻。两岸大部基岩裸露，少量残坡积土夹石覆盖。右岸平均坡脚</w:t>
      </w:r>
      <w:r>
        <w:rPr>
          <w:rFonts w:hint="eastAsia"/>
        </w:rPr>
        <w:t>20~35</w:t>
      </w:r>
      <w:r>
        <w:rPr>
          <w:rFonts w:hint="eastAsia"/>
        </w:rPr>
        <w:t>°，较为陡峻。高程</w:t>
      </w:r>
      <w:r>
        <w:rPr>
          <w:rFonts w:hint="eastAsia"/>
        </w:rPr>
        <w:t>1100m</w:t>
      </w:r>
      <w:r>
        <w:rPr>
          <w:rFonts w:hint="eastAsia"/>
        </w:rPr>
        <w:t>以上近于直立。由于岩性不同，坝区岩层透水性相差很大，寒武系下统（</w:t>
      </w:r>
      <w:r>
        <w:rPr>
          <w:rFonts w:ascii="宋体" w:hAnsi="宋体" w:cs="宋体" w:hint="eastAsia"/>
        </w:rPr>
        <w:t>∈</w:t>
      </w:r>
      <w:r>
        <w:t>11</w:t>
      </w:r>
      <w:r>
        <w:rPr>
          <w:rFonts w:hint="eastAsia"/>
        </w:rPr>
        <w:t>）中页岩透水性弱。可作为相对隔水岩组，但分布在坝区高程</w:t>
      </w:r>
      <w:r>
        <w:rPr>
          <w:rFonts w:hint="eastAsia"/>
        </w:rPr>
        <w:t>1100m</w:t>
      </w:r>
      <w:r>
        <w:rPr>
          <w:rFonts w:hint="eastAsia"/>
        </w:rPr>
        <w:t>以上。震旦系上统灯影组白马沱段（</w:t>
      </w:r>
      <w:r>
        <w:rPr>
          <w:rFonts w:hint="eastAsia"/>
        </w:rPr>
        <w:t>Z</w:t>
      </w:r>
      <w:r>
        <w:rPr>
          <w:rFonts w:hint="eastAsia"/>
          <w:vertAlign w:val="subscript"/>
        </w:rPr>
        <w:t>2</w:t>
      </w:r>
      <w:r>
        <w:rPr>
          <w:rFonts w:hint="eastAsia"/>
        </w:rPr>
        <w:t>dn</w:t>
      </w:r>
      <w:r>
        <w:rPr>
          <w:rFonts w:hint="eastAsia"/>
          <w:vertAlign w:val="superscript"/>
        </w:rPr>
        <w:t>3</w:t>
      </w:r>
      <w:r>
        <w:rPr>
          <w:rFonts w:hint="eastAsia"/>
        </w:rPr>
        <w:t>）白云岩分布在坝区、透水性相对较强。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坝区地下水位统计表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60"/>
        <w:gridCol w:w="1246"/>
        <w:gridCol w:w="1452"/>
        <w:gridCol w:w="925"/>
        <w:gridCol w:w="1276"/>
        <w:gridCol w:w="1116"/>
        <w:gridCol w:w="1241"/>
      </w:tblGrid>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钻孔编号</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地面高程</w:t>
            </w:r>
          </w:p>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rPr>
              <w:t>）</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地下水位高程</w:t>
            </w:r>
          </w:p>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m</w:t>
            </w:r>
            <w:r>
              <w:rPr>
                <w:rFonts w:ascii="Times New Roman" w:hAnsi="Times New Roman" w:cs="Times New Roman"/>
                <w:sz w:val="18"/>
                <w:szCs w:val="18"/>
              </w:rPr>
              <w:t>）</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埋深</w:t>
            </w:r>
            <w:r>
              <w:rPr>
                <w:rFonts w:ascii="Times New Roman" w:hAnsi="Times New Roman" w:cs="Times New Roman"/>
                <w:spacing w:val="-1"/>
                <w:sz w:val="18"/>
                <w:szCs w:val="18"/>
              </w:rPr>
              <w:t>（</w:t>
            </w:r>
            <w:r>
              <w:rPr>
                <w:rFonts w:ascii="Times New Roman" w:hAnsi="Times New Roman" w:cs="Times New Roman"/>
                <w:spacing w:val="-1"/>
                <w:sz w:val="18"/>
                <w:szCs w:val="18"/>
              </w:rPr>
              <w:t>m</w:t>
            </w:r>
            <w:r>
              <w:rPr>
                <w:rFonts w:ascii="Times New Roman" w:hAnsi="Times New Roman" w:cs="Times New Roman"/>
                <w:spacing w:val="-1"/>
                <w:sz w:val="18"/>
                <w:szCs w:val="18"/>
              </w:rPr>
              <w:t>）</w:t>
            </w:r>
          </w:p>
        </w:tc>
        <w:tc>
          <w:tcPr>
            <w:tcW w:w="76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地层</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位置</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观测时间</w:t>
            </w:r>
          </w:p>
        </w:tc>
      </w:tr>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BK03</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1008.80</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988.80</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20.0</w:t>
            </w:r>
          </w:p>
        </w:tc>
        <w:tc>
          <w:tcPr>
            <w:tcW w:w="767" w:type="pct"/>
            <w:vAlign w:val="center"/>
          </w:tcPr>
          <w:p w:rsidR="006175A6" w:rsidRDefault="009B4BA7">
            <w:pPr>
              <w:pStyle w:val="TableParagraph"/>
              <w:rPr>
                <w:rFonts w:ascii="Times New Roman" w:hAnsi="Times New Roman" w:cs="Times New Roman"/>
                <w:sz w:val="18"/>
                <w:szCs w:val="18"/>
                <w:lang w:eastAsia="zh-CN"/>
              </w:rPr>
            </w:pPr>
            <w:r>
              <w:rPr>
                <w:rFonts w:ascii="Times New Roman" w:hAnsi="Times New Roman" w:cs="Times New Roman" w:hint="eastAsia"/>
                <w:sz w:val="18"/>
                <w:szCs w:val="18"/>
                <w:lang w:eastAsia="zh-CN"/>
              </w:rPr>
              <w:t>Z</w:t>
            </w:r>
            <w:r>
              <w:rPr>
                <w:rFonts w:ascii="Times New Roman" w:hAnsi="Times New Roman" w:cs="Times New Roman" w:hint="eastAsia"/>
                <w:sz w:val="18"/>
                <w:szCs w:val="18"/>
                <w:vertAlign w:val="subscript"/>
                <w:lang w:eastAsia="zh-CN"/>
              </w:rPr>
              <w:t>2</w:t>
            </w:r>
            <w:r>
              <w:rPr>
                <w:rFonts w:ascii="Times New Roman" w:hAnsi="Times New Roman" w:cs="Times New Roman" w:hint="eastAsia"/>
                <w:sz w:val="18"/>
                <w:szCs w:val="18"/>
                <w:lang w:eastAsia="zh-CN"/>
              </w:rPr>
              <w:t>dn</w:t>
            </w:r>
            <w:r>
              <w:rPr>
                <w:rFonts w:ascii="Times New Roman" w:hAnsi="Times New Roman" w:cs="Times New Roman" w:hint="eastAsia"/>
                <w:sz w:val="18"/>
                <w:szCs w:val="18"/>
                <w:vertAlign w:val="superscript"/>
                <w:lang w:eastAsia="zh-CN"/>
              </w:rPr>
              <w:t>3-3</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左岸</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2015.10.12</w:t>
            </w:r>
          </w:p>
        </w:tc>
      </w:tr>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BK04</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1029.90</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1000.20</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29.7</w:t>
            </w:r>
          </w:p>
        </w:tc>
        <w:tc>
          <w:tcPr>
            <w:tcW w:w="767" w:type="pct"/>
            <w:vAlign w:val="center"/>
          </w:tcPr>
          <w:p w:rsidR="006175A6" w:rsidRDefault="009B4BA7">
            <w:pPr>
              <w:pStyle w:val="TableParagraph"/>
              <w:rPr>
                <w:rFonts w:ascii="Times New Roman" w:hAnsi="Times New Roman" w:cs="Times New Roman"/>
                <w:sz w:val="18"/>
                <w:szCs w:val="18"/>
                <w:lang w:eastAsia="zh-CN"/>
              </w:rPr>
            </w:pPr>
            <w:r>
              <w:rPr>
                <w:rFonts w:ascii="Times New Roman" w:hAnsi="Times New Roman" w:cs="Times New Roman" w:hint="eastAsia"/>
                <w:sz w:val="18"/>
                <w:szCs w:val="18"/>
                <w:lang w:eastAsia="zh-CN"/>
              </w:rPr>
              <w:t>Z</w:t>
            </w:r>
            <w:r>
              <w:rPr>
                <w:rFonts w:ascii="Times New Roman" w:hAnsi="Times New Roman" w:cs="Times New Roman" w:hint="eastAsia"/>
                <w:sz w:val="18"/>
                <w:szCs w:val="18"/>
                <w:vertAlign w:val="subscript"/>
                <w:lang w:eastAsia="zh-CN"/>
              </w:rPr>
              <w:t>2</w:t>
            </w:r>
            <w:r>
              <w:rPr>
                <w:rFonts w:ascii="Times New Roman" w:hAnsi="Times New Roman" w:cs="Times New Roman" w:hint="eastAsia"/>
                <w:sz w:val="18"/>
                <w:szCs w:val="18"/>
                <w:lang w:eastAsia="zh-CN"/>
              </w:rPr>
              <w:t>dn</w:t>
            </w:r>
            <w:r>
              <w:rPr>
                <w:rFonts w:ascii="Times New Roman" w:hAnsi="Times New Roman" w:cs="Times New Roman" w:hint="eastAsia"/>
                <w:sz w:val="18"/>
                <w:szCs w:val="18"/>
                <w:vertAlign w:val="superscript"/>
                <w:lang w:eastAsia="zh-CN"/>
              </w:rPr>
              <w:t>3-3</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右岸</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2015.10.28</w:t>
            </w:r>
          </w:p>
        </w:tc>
      </w:tr>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ZK05</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1090.00</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1030.70</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59.3</w:t>
            </w:r>
          </w:p>
        </w:tc>
        <w:tc>
          <w:tcPr>
            <w:tcW w:w="767" w:type="pct"/>
            <w:vAlign w:val="center"/>
          </w:tcPr>
          <w:p w:rsidR="006175A6" w:rsidRDefault="009B4BA7">
            <w:pPr>
              <w:pStyle w:val="TableParagraph"/>
              <w:rPr>
                <w:rFonts w:ascii="Times New Roman" w:hAnsi="Times New Roman" w:cs="Times New Roman"/>
                <w:sz w:val="18"/>
                <w:szCs w:val="18"/>
                <w:lang w:eastAsia="zh-CN"/>
              </w:rPr>
            </w:pPr>
            <w:r>
              <w:rPr>
                <w:rFonts w:ascii="Times New Roman" w:hAnsi="Times New Roman" w:cs="Times New Roman" w:hint="eastAsia"/>
                <w:sz w:val="18"/>
                <w:szCs w:val="18"/>
                <w:lang w:eastAsia="zh-CN"/>
              </w:rPr>
              <w:t>Z</w:t>
            </w:r>
            <w:r>
              <w:rPr>
                <w:rFonts w:ascii="Times New Roman" w:hAnsi="Times New Roman" w:cs="Times New Roman" w:hint="eastAsia"/>
                <w:sz w:val="18"/>
                <w:szCs w:val="18"/>
                <w:vertAlign w:val="subscript"/>
                <w:lang w:eastAsia="zh-CN"/>
              </w:rPr>
              <w:t>2</w:t>
            </w:r>
            <w:r>
              <w:rPr>
                <w:rFonts w:ascii="Times New Roman" w:hAnsi="Times New Roman" w:cs="Times New Roman" w:hint="eastAsia"/>
                <w:sz w:val="18"/>
                <w:szCs w:val="18"/>
                <w:lang w:eastAsia="zh-CN"/>
              </w:rPr>
              <w:t>dn</w:t>
            </w:r>
            <w:r>
              <w:rPr>
                <w:rFonts w:ascii="Times New Roman" w:hAnsi="Times New Roman" w:cs="Times New Roman" w:hint="eastAsia"/>
                <w:sz w:val="18"/>
                <w:szCs w:val="18"/>
                <w:vertAlign w:val="superscript"/>
                <w:lang w:eastAsia="zh-CN"/>
              </w:rPr>
              <w:t>3-3</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右岸</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2013.12.13</w:t>
            </w:r>
          </w:p>
        </w:tc>
      </w:tr>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BK01</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1089.00</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1043.6</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45.4</w:t>
            </w:r>
          </w:p>
        </w:tc>
        <w:tc>
          <w:tcPr>
            <w:tcW w:w="767" w:type="pct"/>
            <w:vAlign w:val="center"/>
          </w:tcPr>
          <w:p w:rsidR="006175A6" w:rsidRDefault="009B4BA7">
            <w:pPr>
              <w:pStyle w:val="TableParagraph"/>
              <w:rPr>
                <w:rFonts w:ascii="Times New Roman" w:hAnsi="Times New Roman" w:cs="Times New Roman"/>
                <w:sz w:val="18"/>
                <w:szCs w:val="18"/>
                <w:lang w:eastAsia="zh-CN"/>
              </w:rPr>
            </w:pPr>
            <w:r>
              <w:rPr>
                <w:rFonts w:ascii="Times New Roman" w:hAnsi="Times New Roman" w:cs="Times New Roman" w:hint="eastAsia"/>
                <w:sz w:val="18"/>
                <w:szCs w:val="18"/>
                <w:lang w:eastAsia="zh-CN"/>
              </w:rPr>
              <w:t>Z</w:t>
            </w:r>
            <w:r>
              <w:rPr>
                <w:rFonts w:ascii="Times New Roman" w:hAnsi="Times New Roman" w:cs="Times New Roman" w:hint="eastAsia"/>
                <w:sz w:val="18"/>
                <w:szCs w:val="18"/>
                <w:vertAlign w:val="subscript"/>
                <w:lang w:eastAsia="zh-CN"/>
              </w:rPr>
              <w:t>2</w:t>
            </w:r>
            <w:r>
              <w:rPr>
                <w:rFonts w:ascii="Times New Roman" w:hAnsi="Times New Roman" w:cs="Times New Roman" w:hint="eastAsia"/>
                <w:sz w:val="18"/>
                <w:szCs w:val="18"/>
                <w:lang w:eastAsia="zh-CN"/>
              </w:rPr>
              <w:t>dn</w:t>
            </w:r>
            <w:r>
              <w:rPr>
                <w:rFonts w:ascii="Times New Roman" w:hAnsi="Times New Roman" w:cs="Times New Roman" w:hint="eastAsia"/>
                <w:sz w:val="18"/>
                <w:szCs w:val="18"/>
                <w:vertAlign w:val="superscript"/>
                <w:lang w:eastAsia="zh-CN"/>
              </w:rPr>
              <w:t>3-3</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左岸</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2015.27</w:t>
            </w:r>
          </w:p>
        </w:tc>
      </w:tr>
      <w:tr w:rsidR="006175A6">
        <w:trPr>
          <w:trHeight w:val="340"/>
        </w:trPr>
        <w:tc>
          <w:tcPr>
            <w:tcW w:w="637"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ZK06</w:t>
            </w:r>
          </w:p>
        </w:tc>
        <w:tc>
          <w:tcPr>
            <w:tcW w:w="749"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1077.00</w:t>
            </w:r>
          </w:p>
        </w:tc>
        <w:tc>
          <w:tcPr>
            <w:tcW w:w="873"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1017.70</w:t>
            </w:r>
          </w:p>
        </w:tc>
        <w:tc>
          <w:tcPr>
            <w:tcW w:w="55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59.3</w:t>
            </w:r>
          </w:p>
        </w:tc>
        <w:tc>
          <w:tcPr>
            <w:tcW w:w="767" w:type="pct"/>
            <w:vAlign w:val="center"/>
          </w:tcPr>
          <w:p w:rsidR="006175A6" w:rsidRDefault="009B4BA7">
            <w:pPr>
              <w:pStyle w:val="TableParagraph"/>
              <w:rPr>
                <w:rFonts w:ascii="Times New Roman" w:hAnsi="Times New Roman" w:cs="Times New Roman"/>
                <w:sz w:val="18"/>
                <w:szCs w:val="18"/>
                <w:lang w:eastAsia="zh-CN"/>
              </w:rPr>
            </w:pPr>
            <w:r>
              <w:rPr>
                <w:rFonts w:ascii="Times New Roman" w:hAnsi="Times New Roman" w:cs="Times New Roman" w:hint="eastAsia"/>
                <w:sz w:val="18"/>
                <w:szCs w:val="18"/>
                <w:lang w:eastAsia="zh-CN"/>
              </w:rPr>
              <w:t>Z</w:t>
            </w:r>
            <w:r>
              <w:rPr>
                <w:rFonts w:ascii="Times New Roman" w:hAnsi="Times New Roman" w:cs="Times New Roman" w:hint="eastAsia"/>
                <w:sz w:val="18"/>
                <w:szCs w:val="18"/>
                <w:vertAlign w:val="subscript"/>
                <w:lang w:eastAsia="zh-CN"/>
              </w:rPr>
              <w:t>2</w:t>
            </w:r>
            <w:r>
              <w:rPr>
                <w:rFonts w:ascii="Times New Roman" w:hAnsi="Times New Roman" w:cs="Times New Roman" w:hint="eastAsia"/>
                <w:sz w:val="18"/>
                <w:szCs w:val="18"/>
                <w:lang w:eastAsia="zh-CN"/>
              </w:rPr>
              <w:t>dn</w:t>
            </w:r>
            <w:r>
              <w:rPr>
                <w:rFonts w:ascii="Times New Roman" w:hAnsi="Times New Roman" w:cs="Times New Roman" w:hint="eastAsia"/>
                <w:sz w:val="18"/>
                <w:szCs w:val="18"/>
                <w:vertAlign w:val="superscript"/>
                <w:lang w:eastAsia="zh-CN"/>
              </w:rPr>
              <w:t>3-3</w:t>
            </w:r>
          </w:p>
        </w:tc>
        <w:tc>
          <w:tcPr>
            <w:tcW w:w="671"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左岸</w:t>
            </w:r>
          </w:p>
        </w:tc>
        <w:tc>
          <w:tcPr>
            <w:tcW w:w="746" w:type="pct"/>
            <w:vAlign w:val="center"/>
          </w:tcPr>
          <w:p w:rsidR="006175A6" w:rsidRDefault="009B4BA7">
            <w:pPr>
              <w:pStyle w:val="TableParagraph"/>
              <w:rPr>
                <w:rFonts w:ascii="Times New Roman" w:hAnsi="Times New Roman" w:cs="Times New Roman"/>
                <w:sz w:val="18"/>
                <w:szCs w:val="18"/>
              </w:rPr>
            </w:pPr>
            <w:r>
              <w:rPr>
                <w:rFonts w:ascii="Times New Roman" w:hAnsi="Times New Roman" w:cs="Times New Roman"/>
                <w:sz w:val="18"/>
                <w:szCs w:val="18"/>
              </w:rPr>
              <w:t>2013.11.10</w:t>
            </w:r>
          </w:p>
        </w:tc>
      </w:tr>
    </w:tbl>
    <w:p w:rsidR="006175A6" w:rsidRDefault="009B4BA7">
      <w:pPr>
        <w:ind w:firstLine="480"/>
      </w:pPr>
      <w:r>
        <w:rPr>
          <w:rFonts w:hint="eastAsia"/>
        </w:rPr>
        <w:lastRenderedPageBreak/>
        <w:t>地下水位总体与岸坡坡度的变化基本一致，地下水的自然坡降与地表分水岭体系呈正态分布，无陡降及异常现象。坝区总共钻孔</w:t>
      </w:r>
      <w:r>
        <w:rPr>
          <w:rFonts w:hint="eastAsia"/>
        </w:rPr>
        <w:t xml:space="preserve"> 15 </w:t>
      </w:r>
      <w:r>
        <w:rPr>
          <w:rFonts w:hint="eastAsia"/>
        </w:rPr>
        <w:t>个，压水试验共计</w:t>
      </w:r>
      <w:r>
        <w:rPr>
          <w:rFonts w:hint="eastAsia"/>
        </w:rPr>
        <w:t xml:space="preserve"> 97 </w:t>
      </w:r>
      <w:r>
        <w:rPr>
          <w:rFonts w:hint="eastAsia"/>
        </w:rPr>
        <w:t>段。其中：左岸</w:t>
      </w:r>
      <w:r>
        <w:rPr>
          <w:rFonts w:hint="eastAsia"/>
        </w:rPr>
        <w:t xml:space="preserve"> 37 </w:t>
      </w:r>
      <w:r>
        <w:rPr>
          <w:rFonts w:hint="eastAsia"/>
        </w:rPr>
        <w:t>段，河床</w:t>
      </w:r>
      <w:r>
        <w:rPr>
          <w:rFonts w:hint="eastAsia"/>
        </w:rPr>
        <w:t xml:space="preserve"> 36 </w:t>
      </w:r>
      <w:r>
        <w:rPr>
          <w:rFonts w:hint="eastAsia"/>
        </w:rPr>
        <w:t>段，右岸</w:t>
      </w:r>
      <w:r>
        <w:rPr>
          <w:rFonts w:hint="eastAsia"/>
        </w:rPr>
        <w:t xml:space="preserve"> 24 </w:t>
      </w:r>
      <w:r>
        <w:rPr>
          <w:rFonts w:hint="eastAsia"/>
        </w:rPr>
        <w:t>段。</w:t>
      </w:r>
    </w:p>
    <w:p w:rsidR="006175A6" w:rsidRDefault="009B4BA7">
      <w:pPr>
        <w:ind w:firstLine="480"/>
      </w:pPr>
      <w:r>
        <w:rPr>
          <w:rFonts w:hint="eastAsia"/>
        </w:rPr>
        <w:t>岩石的透水率</w:t>
      </w:r>
      <w:r>
        <w:rPr>
          <w:rFonts w:hint="eastAsia"/>
        </w:rPr>
        <w:t>q</w:t>
      </w:r>
      <w:r>
        <w:rPr>
          <w:rFonts w:hint="eastAsia"/>
        </w:rPr>
        <w:t>在</w:t>
      </w:r>
      <w:r>
        <w:rPr>
          <w:rFonts w:hint="eastAsia"/>
        </w:rPr>
        <w:t xml:space="preserve">0.1~1Lu </w:t>
      </w:r>
      <w:r>
        <w:rPr>
          <w:rFonts w:hint="eastAsia"/>
        </w:rPr>
        <w:t>的微透水岩体，共</w:t>
      </w:r>
      <w:r>
        <w:rPr>
          <w:rFonts w:hint="eastAsia"/>
        </w:rPr>
        <w:t xml:space="preserve">46 </w:t>
      </w:r>
      <w:r>
        <w:rPr>
          <w:rFonts w:hint="eastAsia"/>
        </w:rPr>
        <w:t>段，占总压水试验段的</w:t>
      </w:r>
      <w:r>
        <w:rPr>
          <w:rFonts w:hint="eastAsia"/>
        </w:rPr>
        <w:t>47.42%</w:t>
      </w:r>
      <w:r>
        <w:rPr>
          <w:rFonts w:hint="eastAsia"/>
        </w:rPr>
        <w:t>；</w:t>
      </w:r>
      <w:r>
        <w:rPr>
          <w:rFonts w:hint="eastAsia"/>
        </w:rPr>
        <w:t xml:space="preserve"> q </w:t>
      </w:r>
      <w:r>
        <w:rPr>
          <w:rFonts w:hint="eastAsia"/>
        </w:rPr>
        <w:t>在</w:t>
      </w:r>
      <w:r>
        <w:rPr>
          <w:rFonts w:hint="eastAsia"/>
        </w:rPr>
        <w:t xml:space="preserve"> 1~10Lu </w:t>
      </w:r>
      <w:r>
        <w:rPr>
          <w:rFonts w:hint="eastAsia"/>
        </w:rPr>
        <w:t>的弱透水岩体共</w:t>
      </w:r>
      <w:r>
        <w:rPr>
          <w:rFonts w:hint="eastAsia"/>
        </w:rPr>
        <w:t xml:space="preserve"> 40 </w:t>
      </w:r>
      <w:r>
        <w:rPr>
          <w:rFonts w:hint="eastAsia"/>
        </w:rPr>
        <w:t>段，占总压水试验段的</w:t>
      </w:r>
      <w:r>
        <w:rPr>
          <w:rFonts w:hint="eastAsia"/>
        </w:rPr>
        <w:t xml:space="preserve"> 41.2%</w:t>
      </w:r>
      <w:r>
        <w:rPr>
          <w:rFonts w:hint="eastAsia"/>
        </w:rPr>
        <w:t>。</w:t>
      </w:r>
      <w:r>
        <w:rPr>
          <w:rFonts w:hint="eastAsia"/>
        </w:rPr>
        <w:t xml:space="preserve">q </w:t>
      </w:r>
      <w:r>
        <w:rPr>
          <w:rFonts w:hint="eastAsia"/>
        </w:rPr>
        <w:t>大于</w:t>
      </w:r>
      <w:r>
        <w:rPr>
          <w:rFonts w:hint="eastAsia"/>
        </w:rPr>
        <w:t xml:space="preserve"> 10Lu </w:t>
      </w:r>
      <w:r>
        <w:rPr>
          <w:rFonts w:hint="eastAsia"/>
        </w:rPr>
        <w:t>的强透水岩体共</w:t>
      </w:r>
      <w:r>
        <w:rPr>
          <w:rFonts w:hint="eastAsia"/>
        </w:rPr>
        <w:t xml:space="preserve"> 11 </w:t>
      </w:r>
      <w:r>
        <w:rPr>
          <w:rFonts w:hint="eastAsia"/>
        </w:rPr>
        <w:t>段，占总压水试验段的</w:t>
      </w:r>
      <w:r>
        <w:rPr>
          <w:rFonts w:hint="eastAsia"/>
        </w:rPr>
        <w:t xml:space="preserve"> 11.38%</w:t>
      </w:r>
      <w:r>
        <w:rPr>
          <w:rFonts w:hint="eastAsia"/>
        </w:rPr>
        <w:t>。从压水试验成果可以看出，岩体以弱、微透水为主。</w:t>
      </w:r>
    </w:p>
    <w:p w:rsidR="006175A6" w:rsidRDefault="009B4BA7">
      <w:pPr>
        <w:ind w:firstLine="480"/>
      </w:pPr>
      <w:r>
        <w:rPr>
          <w:rFonts w:hint="eastAsia"/>
        </w:rPr>
        <w:t>坝基渗漏：坝区出露的地层为震旦系上统灯影组白马沱（</w:t>
      </w:r>
      <w:r>
        <w:rPr>
          <w:rFonts w:hint="eastAsia"/>
        </w:rPr>
        <w:t>Z</w:t>
      </w:r>
      <w:r>
        <w:rPr>
          <w:rFonts w:hint="eastAsia"/>
          <w:vertAlign w:val="subscript"/>
        </w:rPr>
        <w:t>2</w:t>
      </w:r>
      <w:r>
        <w:rPr>
          <w:rFonts w:hint="eastAsia"/>
        </w:rPr>
        <w:t>dn</w:t>
      </w:r>
      <w:r>
        <w:rPr>
          <w:rFonts w:hint="eastAsia"/>
          <w:vertAlign w:val="superscript"/>
        </w:rPr>
        <w:t>3</w:t>
      </w:r>
      <w:r>
        <w:rPr>
          <w:rFonts w:hint="eastAsia"/>
        </w:rPr>
        <w:t>）白云岩。从地质测绘及坝区钻探成果看，坝区地表及深部岩溶不发育，坝基及两岸无岩溶管道性渗漏。从两岸钻探揭示的钻孔地下水位分析，虽然两岸地下水位较低，但地下水位水力坡降与地形呈正相关系，无陡降与异常现象。坝基渗漏以裂隙性为主。</w:t>
      </w:r>
    </w:p>
    <w:p w:rsidR="006175A6" w:rsidRDefault="009B4BA7">
      <w:pPr>
        <w:ind w:firstLine="480"/>
      </w:pPr>
      <w:r>
        <w:rPr>
          <w:rFonts w:hint="eastAsia"/>
        </w:rPr>
        <w:t>坝基及两岸岩体的透水性比较均一。由于左、右岸无相对隔水岩层分布，因此建议防渗帷幕的设计以悬挂式帷幕为宜，且防渗帷幕标准以</w:t>
      </w:r>
      <w:r>
        <w:rPr>
          <w:rFonts w:hint="eastAsia"/>
        </w:rPr>
        <w:t xml:space="preserve"> 3Lu </w:t>
      </w:r>
      <w:r>
        <w:rPr>
          <w:rFonts w:hint="eastAsia"/>
        </w:rPr>
        <w:t>为其下限。</w:t>
      </w:r>
    </w:p>
    <w:p w:rsidR="006175A6" w:rsidRDefault="009B4BA7">
      <w:pPr>
        <w:ind w:firstLine="480"/>
      </w:pPr>
      <w:r>
        <w:rPr>
          <w:rFonts w:hint="eastAsia"/>
        </w:rPr>
        <w:t>绕坝渗漏：根据地形条件及地下水位高程，地下水位与地形坡度呈正相关关系，地下水位会越来越高，采用帷幕延长后，其绕坝渗漏可能性较小。</w:t>
      </w:r>
    </w:p>
    <w:p w:rsidR="006175A6" w:rsidRDefault="009B4BA7">
      <w:pPr>
        <w:ind w:firstLine="480"/>
      </w:pPr>
      <w:r>
        <w:rPr>
          <w:rFonts w:hint="eastAsia"/>
        </w:rPr>
        <w:t>上、下坝线岩性均为透水性相对较弱的厚层白云岩，顺河向断层以及缓倾角断层不发育，坝基及绕坝主要以裂隙性渗漏为主，裂隙贯穿性差，渗漏问题不严重。</w:t>
      </w:r>
    </w:p>
    <w:p w:rsidR="006175A6" w:rsidRDefault="009B4BA7">
      <w:pPr>
        <w:ind w:firstLine="480"/>
      </w:pPr>
      <w:r>
        <w:rPr>
          <w:rFonts w:hint="eastAsia"/>
        </w:rPr>
        <w:t>引水管线段地下水位埋深随河水位起伏而变化，一般埋深大于</w:t>
      </w:r>
      <w:r>
        <w:rPr>
          <w:rFonts w:hint="eastAsia"/>
        </w:rPr>
        <w:t>2m</w:t>
      </w:r>
      <w:r>
        <w:rPr>
          <w:rFonts w:hint="eastAsia"/>
        </w:rPr>
        <w:t>，引水管线埋深约</w:t>
      </w:r>
      <w:r>
        <w:rPr>
          <w:rFonts w:hint="eastAsia"/>
        </w:rPr>
        <w:t>1.6m</w:t>
      </w:r>
      <w:r>
        <w:rPr>
          <w:rFonts w:hint="eastAsia"/>
        </w:rPr>
        <w:t>，引水管线施工不会对地下水产生影响。</w:t>
      </w:r>
    </w:p>
    <w:p w:rsidR="006175A6" w:rsidRDefault="009B4BA7">
      <w:pPr>
        <w:pStyle w:val="2"/>
      </w:pPr>
      <w:bookmarkStart w:id="72" w:name="_Toc80170116"/>
      <w:r>
        <w:rPr>
          <w:rFonts w:hint="eastAsia"/>
        </w:rPr>
        <w:t>声环境影响分析</w:t>
      </w:r>
      <w:bookmarkEnd w:id="72"/>
    </w:p>
    <w:p w:rsidR="006175A6" w:rsidRDefault="009B4BA7">
      <w:pPr>
        <w:pStyle w:val="3"/>
      </w:pPr>
      <w:r>
        <w:rPr>
          <w:rFonts w:hint="eastAsia"/>
        </w:rPr>
        <w:t>施工期噪声环境影响分析</w:t>
      </w:r>
    </w:p>
    <w:p w:rsidR="006175A6" w:rsidRDefault="009B4BA7">
      <w:pPr>
        <w:ind w:firstLine="480"/>
      </w:pPr>
      <w:r>
        <w:rPr>
          <w:rFonts w:hint="eastAsia"/>
        </w:rPr>
        <w:t>声环境影响主要来自施工期。施工期噪声源分为固定源和流动源两种。属固定源的钻孔与施工机械噪声来自于开挖土石方、砂石料加工、混凝土搅拌等，具有声源强、声级连续的特点。属于流动源的运输、施工车辆的引擎声和喇叭声则具有源强较大、流动性强等特点。主要施工噪声源强见工程分析章节。该工程采用《建筑施工场界环境噪声排放标准》</w:t>
      </w:r>
      <w:r w:rsidR="00E97427">
        <w:rPr>
          <w:rFonts w:hint="eastAsia"/>
        </w:rPr>
        <w:t>（</w:t>
      </w:r>
      <w:r>
        <w:rPr>
          <w:rFonts w:hint="eastAsia"/>
        </w:rPr>
        <w:t>GB12523</w:t>
      </w:r>
      <w:r>
        <w:rPr>
          <w:rFonts w:hint="eastAsia"/>
        </w:rPr>
        <w:t>—</w:t>
      </w:r>
      <w:r>
        <w:rPr>
          <w:rFonts w:hint="eastAsia"/>
        </w:rPr>
        <w:t>2011</w:t>
      </w:r>
      <w:r w:rsidR="00E97427">
        <w:rPr>
          <w:rFonts w:hint="eastAsia"/>
        </w:rPr>
        <w:t>）</w:t>
      </w:r>
      <w:r>
        <w:rPr>
          <w:rFonts w:hint="eastAsia"/>
        </w:rPr>
        <w:t>，即噪声控制在夜间</w:t>
      </w:r>
      <w:r>
        <w:rPr>
          <w:rFonts w:hint="eastAsia"/>
        </w:rPr>
        <w:lastRenderedPageBreak/>
        <w:t>55dB</w:t>
      </w:r>
      <w:r w:rsidR="00E97427">
        <w:rPr>
          <w:rFonts w:hint="eastAsia"/>
        </w:rPr>
        <w:t>（</w:t>
      </w:r>
      <w:r>
        <w:rPr>
          <w:rFonts w:hint="eastAsia"/>
        </w:rPr>
        <w:t>A</w:t>
      </w:r>
      <w:r w:rsidR="00E97427">
        <w:rPr>
          <w:rFonts w:hint="eastAsia"/>
        </w:rPr>
        <w:t>）</w:t>
      </w:r>
      <w:r>
        <w:rPr>
          <w:rFonts w:hint="eastAsia"/>
        </w:rPr>
        <w:t>，昼间</w:t>
      </w:r>
      <w:r>
        <w:rPr>
          <w:rFonts w:hint="eastAsia"/>
        </w:rPr>
        <w:t>70dB</w:t>
      </w:r>
      <w:r w:rsidR="00E97427">
        <w:rPr>
          <w:rFonts w:hint="eastAsia"/>
        </w:rPr>
        <w:t>（</w:t>
      </w:r>
      <w:r>
        <w:rPr>
          <w:rFonts w:hint="eastAsia"/>
        </w:rPr>
        <w:t>A</w:t>
      </w:r>
      <w:r w:rsidR="00E97427">
        <w:rPr>
          <w:rFonts w:hint="eastAsia"/>
        </w:rPr>
        <w:t>）</w:t>
      </w:r>
      <w:r>
        <w:rPr>
          <w:rFonts w:hint="eastAsia"/>
        </w:rPr>
        <w:t>。</w:t>
      </w:r>
    </w:p>
    <w:p w:rsidR="006175A6" w:rsidRDefault="009B4BA7">
      <w:pPr>
        <w:ind w:firstLine="480"/>
      </w:pPr>
      <w:r>
        <w:rPr>
          <w:rFonts w:hint="eastAsia"/>
        </w:rPr>
        <w:t>（</w:t>
      </w:r>
      <w:r>
        <w:rPr>
          <w:rFonts w:hint="eastAsia"/>
        </w:rPr>
        <w:t>1</w:t>
      </w:r>
      <w:r>
        <w:rPr>
          <w:rFonts w:hint="eastAsia"/>
        </w:rPr>
        <w:t>）固定声源的影响</w:t>
      </w:r>
    </w:p>
    <w:p w:rsidR="006175A6" w:rsidRDefault="009B4BA7">
      <w:pPr>
        <w:ind w:firstLine="480"/>
      </w:pPr>
      <w:r>
        <w:rPr>
          <w:rFonts w:hint="eastAsia"/>
        </w:rPr>
        <w:t>噪声衰减模式采用点声源衰减公式，按声能量在空气传播中衰减模式计算出点声源在环境中任意一点的声压级。</w:t>
      </w:r>
    </w:p>
    <w:p w:rsidR="006175A6" w:rsidRDefault="009B4BA7">
      <w:pPr>
        <w:ind w:firstLineChars="0" w:firstLine="0"/>
        <w:jc w:val="center"/>
      </w:pPr>
      <w:r>
        <w:rPr>
          <w:noProof/>
        </w:rPr>
        <w:drawing>
          <wp:inline distT="0" distB="0" distL="0" distR="0" wp14:anchorId="7A57D86B" wp14:editId="17168246">
            <wp:extent cx="2484755" cy="45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2485879" cy="457329"/>
                    </a:xfrm>
                    <a:prstGeom prst="rect">
                      <a:avLst/>
                    </a:prstGeom>
                  </pic:spPr>
                </pic:pic>
              </a:graphicData>
            </a:graphic>
          </wp:inline>
        </w:drawing>
      </w:r>
    </w:p>
    <w:p w:rsidR="006175A6" w:rsidRDefault="009B4BA7">
      <w:pPr>
        <w:ind w:firstLine="480"/>
      </w:pPr>
      <w:r>
        <w:rPr>
          <w:rFonts w:hint="eastAsia"/>
        </w:rPr>
        <w:t>式中：</w:t>
      </w:r>
      <w:r>
        <w:rPr>
          <w:rFonts w:hint="eastAsia"/>
        </w:rPr>
        <w:t xml:space="preserve"> L</w:t>
      </w:r>
      <w:r>
        <w:rPr>
          <w:rFonts w:hint="eastAsia"/>
          <w:vertAlign w:val="subscript"/>
        </w:rPr>
        <w:t>oct</w:t>
      </w:r>
      <w:r w:rsidR="00E97427">
        <w:rPr>
          <w:rFonts w:hint="eastAsia"/>
          <w:vertAlign w:val="subscript"/>
        </w:rPr>
        <w:t>（</w:t>
      </w:r>
      <w:r>
        <w:rPr>
          <w:rFonts w:hint="eastAsia"/>
          <w:vertAlign w:val="subscript"/>
        </w:rPr>
        <w:t>ri</w:t>
      </w:r>
      <w:r w:rsidR="00E97427">
        <w:rPr>
          <w:rFonts w:hint="eastAsia"/>
          <w:vertAlign w:val="subscript"/>
        </w:rPr>
        <w:t>）</w:t>
      </w:r>
      <w:r>
        <w:rPr>
          <w:rFonts w:hint="eastAsia"/>
        </w:rPr>
        <w:t>—点声源在预测点产生的倍频带压级</w:t>
      </w:r>
      <w:r>
        <w:rPr>
          <w:rFonts w:hint="eastAsia"/>
        </w:rPr>
        <w:t>dB</w:t>
      </w:r>
      <w:r w:rsidR="00E97427">
        <w:rPr>
          <w:rFonts w:hint="eastAsia"/>
        </w:rPr>
        <w:t>（</w:t>
      </w:r>
      <w:r>
        <w:rPr>
          <w:rFonts w:hint="eastAsia"/>
        </w:rPr>
        <w:t>A</w:t>
      </w:r>
      <w:r w:rsidR="00E97427">
        <w:rPr>
          <w:rFonts w:hint="eastAsia"/>
        </w:rPr>
        <w:t>）</w:t>
      </w:r>
      <w:r>
        <w:rPr>
          <w:rFonts w:hint="eastAsia"/>
        </w:rPr>
        <w:t>；</w:t>
      </w:r>
    </w:p>
    <w:p w:rsidR="006175A6" w:rsidRDefault="009B4BA7">
      <w:pPr>
        <w:ind w:left="780" w:firstLine="480"/>
      </w:pPr>
      <w:r>
        <w:rPr>
          <w:rFonts w:hint="eastAsia"/>
        </w:rPr>
        <w:t>L</w:t>
      </w:r>
      <w:r>
        <w:rPr>
          <w:rFonts w:hint="eastAsia"/>
          <w:vertAlign w:val="subscript"/>
        </w:rPr>
        <w:t>oct</w:t>
      </w:r>
      <w:r w:rsidR="00E97427">
        <w:rPr>
          <w:rFonts w:hint="eastAsia"/>
        </w:rPr>
        <w:t>（</w:t>
      </w:r>
      <w:r>
        <w:rPr>
          <w:rFonts w:hint="eastAsia"/>
        </w:rPr>
        <w:t>r</w:t>
      </w:r>
      <w:r>
        <w:rPr>
          <w:rFonts w:hint="eastAsia"/>
          <w:vertAlign w:val="subscript"/>
        </w:rPr>
        <w:t>0</w:t>
      </w:r>
      <w:r w:rsidR="00E97427">
        <w:rPr>
          <w:rFonts w:hint="eastAsia"/>
        </w:rPr>
        <w:t>）</w:t>
      </w:r>
      <w:r>
        <w:rPr>
          <w:rFonts w:hint="eastAsia"/>
        </w:rPr>
        <w:t>—参考位置</w:t>
      </w:r>
      <w:r>
        <w:rPr>
          <w:rFonts w:hint="eastAsia"/>
        </w:rPr>
        <w:t>r</w:t>
      </w:r>
      <w:r>
        <w:rPr>
          <w:rFonts w:hint="eastAsia"/>
          <w:vertAlign w:val="subscript"/>
        </w:rPr>
        <w:t>0</w:t>
      </w:r>
      <w:r>
        <w:rPr>
          <w:rFonts w:hint="eastAsia"/>
        </w:rPr>
        <w:t>处的倍频带声压级，</w:t>
      </w:r>
      <w:r>
        <w:rPr>
          <w:rFonts w:hint="eastAsia"/>
        </w:rPr>
        <w:t>dB</w:t>
      </w:r>
      <w:r w:rsidR="00E97427">
        <w:rPr>
          <w:rFonts w:hint="eastAsia"/>
        </w:rPr>
        <w:t>（</w:t>
      </w:r>
      <w:r>
        <w:rPr>
          <w:rFonts w:hint="eastAsia"/>
        </w:rPr>
        <w:t>A</w:t>
      </w:r>
      <w:r w:rsidR="00E97427">
        <w:rPr>
          <w:rFonts w:hint="eastAsia"/>
        </w:rPr>
        <w:t>）</w:t>
      </w:r>
      <w:r>
        <w:rPr>
          <w:rFonts w:hint="eastAsia"/>
        </w:rPr>
        <w:t>；</w:t>
      </w:r>
    </w:p>
    <w:p w:rsidR="006175A6" w:rsidRDefault="009B4BA7">
      <w:pPr>
        <w:ind w:left="780" w:firstLine="480"/>
      </w:pPr>
      <w:r>
        <w:rPr>
          <w:rFonts w:hint="eastAsia"/>
        </w:rPr>
        <w:t>r</w:t>
      </w:r>
      <w:r>
        <w:rPr>
          <w:rFonts w:hint="eastAsia"/>
          <w:vertAlign w:val="subscript"/>
        </w:rPr>
        <w:t>0</w:t>
      </w:r>
      <w:r>
        <w:rPr>
          <w:rFonts w:hint="eastAsia"/>
        </w:rPr>
        <w:t>—参考位置至声源的距离</w:t>
      </w:r>
      <w:r w:rsidR="00E97427">
        <w:rPr>
          <w:rFonts w:hint="eastAsia"/>
        </w:rPr>
        <w:t>（</w:t>
      </w:r>
      <w:r>
        <w:rPr>
          <w:rFonts w:hint="eastAsia"/>
        </w:rPr>
        <w:t>m</w:t>
      </w:r>
      <w:r w:rsidR="00E97427">
        <w:rPr>
          <w:rFonts w:hint="eastAsia"/>
        </w:rPr>
        <w:t>）</w:t>
      </w:r>
      <w:r>
        <w:rPr>
          <w:rFonts w:hint="eastAsia"/>
        </w:rPr>
        <w:t>；</w:t>
      </w:r>
    </w:p>
    <w:p w:rsidR="006175A6" w:rsidRDefault="009B4BA7">
      <w:pPr>
        <w:ind w:left="780" w:firstLine="480"/>
      </w:pPr>
      <w:r>
        <w:rPr>
          <w:rFonts w:hint="eastAsia"/>
        </w:rPr>
        <w:t>r</w:t>
      </w:r>
      <w:r>
        <w:rPr>
          <w:rFonts w:hint="eastAsia"/>
          <w:vertAlign w:val="subscript"/>
        </w:rPr>
        <w:t>i</w:t>
      </w:r>
      <w:r>
        <w:rPr>
          <w:rFonts w:hint="eastAsia"/>
        </w:rPr>
        <w:t>—某预测点至声源的距离</w:t>
      </w:r>
      <w:r w:rsidR="00E97427">
        <w:rPr>
          <w:rFonts w:hint="eastAsia"/>
        </w:rPr>
        <w:t>（</w:t>
      </w:r>
      <w:r>
        <w:rPr>
          <w:rFonts w:hint="eastAsia"/>
        </w:rPr>
        <w:t>m</w:t>
      </w:r>
      <w:r w:rsidR="00E97427">
        <w:rPr>
          <w:rFonts w:hint="eastAsia"/>
        </w:rPr>
        <w:t>）</w:t>
      </w:r>
      <w:r>
        <w:rPr>
          <w:rFonts w:hint="eastAsia"/>
        </w:rPr>
        <w:t>；</w:t>
      </w:r>
    </w:p>
    <w:p w:rsidR="006175A6" w:rsidRDefault="009B4BA7">
      <w:pPr>
        <w:ind w:left="780" w:firstLine="480"/>
      </w:pPr>
      <w:r>
        <w:rPr>
          <w:rFonts w:hint="eastAsia"/>
        </w:rPr>
        <w:t>△</w:t>
      </w:r>
      <w:r>
        <w:rPr>
          <w:rFonts w:hint="eastAsia"/>
        </w:rPr>
        <w:t>L</w:t>
      </w:r>
      <w:r>
        <w:rPr>
          <w:rFonts w:hint="eastAsia"/>
          <w:vertAlign w:val="subscript"/>
        </w:rPr>
        <w:t>oct</w:t>
      </w:r>
      <w:r>
        <w:rPr>
          <w:rFonts w:hint="eastAsia"/>
        </w:rPr>
        <w:t>—附加衰减值，包括建筑物，绿化带，空气吸收衰减值等，一般为</w:t>
      </w:r>
      <w:r>
        <w:rPr>
          <w:rFonts w:hint="eastAsia"/>
        </w:rPr>
        <w:t>8</w:t>
      </w:r>
      <w:r>
        <w:rPr>
          <w:rFonts w:hint="eastAsia"/>
        </w:rPr>
        <w:t>～</w:t>
      </w:r>
      <w:r>
        <w:rPr>
          <w:rFonts w:hint="eastAsia"/>
        </w:rPr>
        <w:t>25dB</w:t>
      </w:r>
      <w:r w:rsidR="00E97427">
        <w:rPr>
          <w:rFonts w:hint="eastAsia"/>
        </w:rPr>
        <w:t>（</w:t>
      </w:r>
      <w:r>
        <w:rPr>
          <w:rFonts w:hint="eastAsia"/>
        </w:rPr>
        <w:t>A</w:t>
      </w:r>
      <w:r w:rsidR="00E97427">
        <w:rPr>
          <w:rFonts w:hint="eastAsia"/>
        </w:rPr>
        <w:t>）</w:t>
      </w:r>
      <w:r>
        <w:rPr>
          <w:rFonts w:hint="eastAsia"/>
        </w:rPr>
        <w:t>，这里按照低值取</w:t>
      </w:r>
      <w:r>
        <w:rPr>
          <w:rFonts w:hint="eastAsia"/>
        </w:rPr>
        <w:t>8dB</w:t>
      </w:r>
      <w:r w:rsidR="00E97427">
        <w:rPr>
          <w:rFonts w:hint="eastAsia"/>
        </w:rPr>
        <w:t>（</w:t>
      </w:r>
      <w:r>
        <w:rPr>
          <w:rFonts w:hint="eastAsia"/>
        </w:rPr>
        <w:t>A</w:t>
      </w:r>
      <w:r w:rsidR="00E97427">
        <w:rPr>
          <w:rFonts w:hint="eastAsia"/>
        </w:rPr>
        <w:t>）</w:t>
      </w:r>
      <w:r>
        <w:rPr>
          <w:rFonts w:hint="eastAsia"/>
        </w:rPr>
        <w:t>。</w:t>
      </w:r>
    </w:p>
    <w:p w:rsidR="006175A6" w:rsidRDefault="009B4BA7">
      <w:pPr>
        <w:ind w:firstLine="480"/>
      </w:pPr>
      <w:r>
        <w:rPr>
          <w:rFonts w:hint="eastAsia"/>
        </w:rPr>
        <w:t>工程集中施工区分布在枢纽施中，施工设备、机械等均较集中在这些场地内作业，其中在大坝坝体施工中，工程量最大。预测结果分析见下表：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坝体施工场地机械噪声衰减影响预测值</w:t>
      </w:r>
      <w:r>
        <w:rPr>
          <w:rFonts w:hint="eastAsia"/>
        </w:rPr>
        <w:t xml:space="preserve">  </w:t>
      </w:r>
      <w:r>
        <w:rPr>
          <w:rFonts w:cs="Times New Roman"/>
          <w:szCs w:val="21"/>
        </w:rPr>
        <w:t>dB</w:t>
      </w:r>
      <w:r>
        <w:rPr>
          <w:rFonts w:cs="Times New Roman" w:hint="eastAsia"/>
          <w:szCs w:val="21"/>
        </w:rPr>
        <w:t>（</w:t>
      </w:r>
      <w:r>
        <w:rPr>
          <w:rFonts w:cs="Times New Roman" w:hint="eastAsia"/>
          <w:szCs w:val="21"/>
        </w:rPr>
        <w:t>A</w:t>
      </w:r>
      <w:r>
        <w:rPr>
          <w:rFonts w:cs="Times New Roman" w:hint="eastAsia"/>
          <w:szCs w:val="21"/>
        </w:rPr>
        <w:t>）</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452"/>
        <w:gridCol w:w="971"/>
        <w:gridCol w:w="1467"/>
        <w:gridCol w:w="587"/>
        <w:gridCol w:w="707"/>
        <w:gridCol w:w="709"/>
        <w:gridCol w:w="710"/>
        <w:gridCol w:w="567"/>
        <w:gridCol w:w="655"/>
      </w:tblGrid>
      <w:tr w:rsidR="006175A6">
        <w:trPr>
          <w:trHeight w:val="340"/>
        </w:trPr>
        <w:tc>
          <w:tcPr>
            <w:tcW w:w="295"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序号</w:t>
            </w:r>
          </w:p>
        </w:tc>
        <w:tc>
          <w:tcPr>
            <w:tcW w:w="1457" w:type="pct"/>
            <w:gridSpan w:val="2"/>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机具类型</w:t>
            </w:r>
          </w:p>
        </w:tc>
        <w:tc>
          <w:tcPr>
            <w:tcW w:w="882" w:type="pct"/>
            <w:vMerge w:val="restar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5m</w:t>
            </w:r>
            <w:r>
              <w:rPr>
                <w:rFonts w:ascii="Times New Roman" w:hAnsi="Times New Roman" w:cs="Times New Roman"/>
                <w:sz w:val="21"/>
                <w:szCs w:val="21"/>
                <w:lang w:eastAsia="zh-CN"/>
              </w:rPr>
              <w:t>处最大噪声级（</w:t>
            </w:r>
            <w:r>
              <w:rPr>
                <w:rFonts w:ascii="Times New Roman" w:hAnsi="Times New Roman" w:cs="Times New Roman"/>
                <w:sz w:val="21"/>
                <w:szCs w:val="21"/>
                <w:lang w:eastAsia="zh-CN"/>
              </w:rPr>
              <w:t>dB</w:t>
            </w:r>
            <w:r>
              <w:rPr>
                <w:rFonts w:ascii="Times New Roman" w:hAnsi="Times New Roman" w:cs="Times New Roman"/>
                <w:sz w:val="21"/>
                <w:szCs w:val="21"/>
                <w:lang w:eastAsia="zh-CN"/>
              </w:rPr>
              <w:t>）</w:t>
            </w:r>
          </w:p>
        </w:tc>
        <w:tc>
          <w:tcPr>
            <w:tcW w:w="2366" w:type="pct"/>
            <w:gridSpan w:val="6"/>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预测值</w:t>
            </w:r>
          </w:p>
        </w:tc>
      </w:tr>
      <w:tr w:rsidR="006175A6">
        <w:trPr>
          <w:trHeight w:val="340"/>
        </w:trPr>
        <w:tc>
          <w:tcPr>
            <w:tcW w:w="295" w:type="pct"/>
            <w:vMerge/>
            <w:vAlign w:val="center"/>
          </w:tcPr>
          <w:p w:rsidR="006175A6" w:rsidRDefault="006175A6">
            <w:pPr>
              <w:pStyle w:val="TableParagraph"/>
              <w:rPr>
                <w:rFonts w:ascii="Times New Roman" w:hAnsi="Times New Roman" w:cs="Times New Roman"/>
                <w:sz w:val="21"/>
                <w:szCs w:val="21"/>
              </w:rPr>
            </w:pPr>
          </w:p>
        </w:tc>
        <w:tc>
          <w:tcPr>
            <w:tcW w:w="1457" w:type="pct"/>
            <w:gridSpan w:val="2"/>
            <w:vMerge/>
            <w:vAlign w:val="center"/>
          </w:tcPr>
          <w:p w:rsidR="006175A6" w:rsidRDefault="006175A6">
            <w:pPr>
              <w:pStyle w:val="TableParagraph"/>
              <w:rPr>
                <w:rFonts w:ascii="Times New Roman" w:hAnsi="Times New Roman" w:cs="Times New Roman"/>
                <w:sz w:val="21"/>
                <w:szCs w:val="21"/>
              </w:rPr>
            </w:pPr>
          </w:p>
        </w:tc>
        <w:tc>
          <w:tcPr>
            <w:tcW w:w="882" w:type="pct"/>
            <w:vMerge/>
            <w:vAlign w:val="center"/>
          </w:tcPr>
          <w:p w:rsidR="006175A6" w:rsidRDefault="006175A6">
            <w:pPr>
              <w:pStyle w:val="TableParagraph"/>
              <w:rPr>
                <w:rFonts w:ascii="Times New Roman" w:hAnsi="Times New Roman" w:cs="Times New Roman"/>
                <w:sz w:val="21"/>
                <w:szCs w:val="21"/>
                <w:lang w:eastAsia="zh-CN"/>
              </w:rPr>
            </w:pPr>
          </w:p>
        </w:tc>
        <w:tc>
          <w:tcPr>
            <w:tcW w:w="353"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10m</w:t>
            </w:r>
          </w:p>
        </w:tc>
        <w:tc>
          <w:tcPr>
            <w:tcW w:w="425"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20 m</w:t>
            </w:r>
          </w:p>
        </w:tc>
        <w:tc>
          <w:tcPr>
            <w:tcW w:w="426"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50 m</w:t>
            </w:r>
          </w:p>
        </w:tc>
        <w:tc>
          <w:tcPr>
            <w:tcW w:w="427"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100 m</w:t>
            </w:r>
          </w:p>
        </w:tc>
        <w:tc>
          <w:tcPr>
            <w:tcW w:w="341"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150m</w:t>
            </w:r>
          </w:p>
        </w:tc>
        <w:tc>
          <w:tcPr>
            <w:tcW w:w="394" w:type="pct"/>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200m</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装载类</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挖掘机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84</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70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64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56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50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46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44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装载机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凿岩及开采类</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风钻</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潜孔钻</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5</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推土机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72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66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58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52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48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46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钻灌</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冲击钻</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81</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53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43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41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7</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地质钻机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73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59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53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49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47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灌浆泵</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搅拌机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81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55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骨料加工类</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破碎机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81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55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11</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球磨机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86</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72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66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58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52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48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46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12</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振动筛</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13</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给料机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82</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68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62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54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48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44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42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14</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混凝土施工</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搅拌机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81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55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15</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振捣器</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16</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运输类</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载重汽车</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90</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76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70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62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56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52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50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17</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自卸汽车</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87</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73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59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53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49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47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lastRenderedPageBreak/>
              <w:t>18</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翻斗车</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69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55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49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19</w:t>
            </w:r>
          </w:p>
        </w:tc>
        <w:tc>
          <w:tcPr>
            <w:tcW w:w="87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其他机械</w:t>
            </w: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空压机</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95</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81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67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57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55 </w:t>
            </w:r>
          </w:p>
        </w:tc>
      </w:tr>
      <w:tr w:rsidR="006175A6">
        <w:trPr>
          <w:trHeight w:val="340"/>
        </w:trPr>
        <w:tc>
          <w:tcPr>
            <w:tcW w:w="295"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20</w:t>
            </w:r>
          </w:p>
        </w:tc>
        <w:tc>
          <w:tcPr>
            <w:tcW w:w="873" w:type="pct"/>
            <w:vMerge/>
            <w:vAlign w:val="center"/>
          </w:tcPr>
          <w:p w:rsidR="006175A6" w:rsidRDefault="006175A6">
            <w:pPr>
              <w:widowControl/>
              <w:autoSpaceDE/>
              <w:autoSpaceDN/>
              <w:spacing w:line="240" w:lineRule="auto"/>
              <w:ind w:firstLineChars="0" w:firstLine="0"/>
              <w:jc w:val="center"/>
              <w:rPr>
                <w:sz w:val="21"/>
              </w:rPr>
            </w:pPr>
          </w:p>
        </w:tc>
        <w:tc>
          <w:tcPr>
            <w:tcW w:w="584"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水泵</w:t>
            </w:r>
          </w:p>
        </w:tc>
        <w:tc>
          <w:tcPr>
            <w:tcW w:w="88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89</w:t>
            </w:r>
          </w:p>
        </w:tc>
        <w:tc>
          <w:tcPr>
            <w:tcW w:w="353" w:type="pct"/>
          </w:tcPr>
          <w:p w:rsidR="006175A6" w:rsidRDefault="009B4BA7">
            <w:pPr>
              <w:spacing w:line="240" w:lineRule="auto"/>
              <w:ind w:firstLineChars="0" w:firstLine="0"/>
              <w:jc w:val="center"/>
              <w:rPr>
                <w:color w:val="000000"/>
                <w:sz w:val="21"/>
              </w:rPr>
            </w:pPr>
            <w:r>
              <w:rPr>
                <w:color w:val="000000"/>
                <w:sz w:val="21"/>
              </w:rPr>
              <w:t xml:space="preserve">75 </w:t>
            </w:r>
          </w:p>
        </w:tc>
        <w:tc>
          <w:tcPr>
            <w:tcW w:w="425" w:type="pct"/>
          </w:tcPr>
          <w:p w:rsidR="006175A6" w:rsidRDefault="009B4BA7">
            <w:pPr>
              <w:spacing w:line="240" w:lineRule="auto"/>
              <w:ind w:firstLineChars="0" w:firstLine="0"/>
              <w:jc w:val="center"/>
              <w:rPr>
                <w:color w:val="000000"/>
                <w:sz w:val="21"/>
              </w:rPr>
            </w:pPr>
            <w:r>
              <w:rPr>
                <w:color w:val="000000"/>
                <w:sz w:val="21"/>
              </w:rPr>
              <w:t xml:space="preserve">69 </w:t>
            </w:r>
          </w:p>
        </w:tc>
        <w:tc>
          <w:tcPr>
            <w:tcW w:w="426" w:type="pct"/>
          </w:tcPr>
          <w:p w:rsidR="006175A6" w:rsidRDefault="009B4BA7">
            <w:pPr>
              <w:spacing w:line="240" w:lineRule="auto"/>
              <w:ind w:firstLineChars="0" w:firstLine="0"/>
              <w:jc w:val="center"/>
              <w:rPr>
                <w:color w:val="000000"/>
                <w:sz w:val="21"/>
              </w:rPr>
            </w:pPr>
            <w:r>
              <w:rPr>
                <w:color w:val="000000"/>
                <w:sz w:val="21"/>
              </w:rPr>
              <w:t xml:space="preserve">61 </w:t>
            </w:r>
          </w:p>
        </w:tc>
        <w:tc>
          <w:tcPr>
            <w:tcW w:w="427" w:type="pct"/>
          </w:tcPr>
          <w:p w:rsidR="006175A6" w:rsidRDefault="009B4BA7">
            <w:pPr>
              <w:spacing w:line="240" w:lineRule="auto"/>
              <w:ind w:firstLineChars="0" w:firstLine="0"/>
              <w:jc w:val="center"/>
              <w:rPr>
                <w:color w:val="000000"/>
                <w:sz w:val="21"/>
              </w:rPr>
            </w:pPr>
            <w:r>
              <w:rPr>
                <w:color w:val="000000"/>
                <w:sz w:val="21"/>
              </w:rPr>
              <w:t xml:space="preserve">55 </w:t>
            </w:r>
          </w:p>
        </w:tc>
        <w:tc>
          <w:tcPr>
            <w:tcW w:w="341" w:type="pct"/>
          </w:tcPr>
          <w:p w:rsidR="006175A6" w:rsidRDefault="009B4BA7">
            <w:pPr>
              <w:spacing w:line="240" w:lineRule="auto"/>
              <w:ind w:firstLineChars="0" w:firstLine="0"/>
              <w:jc w:val="center"/>
              <w:rPr>
                <w:color w:val="000000"/>
                <w:sz w:val="21"/>
              </w:rPr>
            </w:pPr>
            <w:r>
              <w:rPr>
                <w:color w:val="000000"/>
                <w:sz w:val="21"/>
              </w:rPr>
              <w:t xml:space="preserve">51 </w:t>
            </w:r>
          </w:p>
        </w:tc>
        <w:tc>
          <w:tcPr>
            <w:tcW w:w="394" w:type="pct"/>
          </w:tcPr>
          <w:p w:rsidR="006175A6" w:rsidRDefault="009B4BA7">
            <w:pPr>
              <w:spacing w:line="240" w:lineRule="auto"/>
              <w:ind w:firstLineChars="0" w:firstLine="0"/>
              <w:jc w:val="center"/>
              <w:rPr>
                <w:color w:val="000000"/>
                <w:sz w:val="21"/>
              </w:rPr>
            </w:pPr>
            <w:r>
              <w:rPr>
                <w:color w:val="000000"/>
                <w:sz w:val="21"/>
              </w:rPr>
              <w:t xml:space="preserve">49 </w:t>
            </w:r>
          </w:p>
        </w:tc>
      </w:tr>
    </w:tbl>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6.6</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坝体施工场地场界噪声噪声预测值</w:t>
      </w:r>
      <w:r>
        <w:rPr>
          <w:rFonts w:hint="eastAsia"/>
        </w:rPr>
        <w:t xml:space="preserve">  </w:t>
      </w:r>
      <w:r>
        <w:rPr>
          <w:rFonts w:cs="Times New Roman"/>
          <w:szCs w:val="21"/>
        </w:rPr>
        <w:t>dB</w:t>
      </w:r>
      <w:r>
        <w:rPr>
          <w:rFonts w:cs="Times New Roman" w:hint="eastAsia"/>
          <w:szCs w:val="21"/>
        </w:rPr>
        <w:t>（</w:t>
      </w:r>
      <w:r>
        <w:rPr>
          <w:rFonts w:cs="Times New Roman" w:hint="eastAsia"/>
          <w:szCs w:val="21"/>
        </w:rPr>
        <w:t>A</w:t>
      </w:r>
      <w:r>
        <w:rPr>
          <w:rFonts w:cs="Times New Roman" w:hint="eastAsia"/>
          <w:szCs w:val="21"/>
        </w:rPr>
        <w:t>）</w:t>
      </w:r>
    </w:p>
    <w:tbl>
      <w:tblPr>
        <w:tblStyle w:val="ab"/>
        <w:tblW w:w="0" w:type="auto"/>
        <w:tblLook w:val="04A0" w:firstRow="1" w:lastRow="0" w:firstColumn="1" w:lastColumn="0" w:noHBand="0" w:noVBand="1"/>
      </w:tblPr>
      <w:tblGrid>
        <w:gridCol w:w="959"/>
        <w:gridCol w:w="1559"/>
        <w:gridCol w:w="2693"/>
        <w:gridCol w:w="1606"/>
        <w:gridCol w:w="1705"/>
      </w:tblGrid>
      <w:tr w:rsidR="006175A6">
        <w:tc>
          <w:tcPr>
            <w:tcW w:w="959"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序号</w:t>
            </w:r>
          </w:p>
        </w:tc>
        <w:tc>
          <w:tcPr>
            <w:tcW w:w="1559"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施工营地</w:t>
            </w:r>
          </w:p>
        </w:tc>
        <w:tc>
          <w:tcPr>
            <w:tcW w:w="2693"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主要机械设备</w:t>
            </w:r>
          </w:p>
        </w:tc>
        <w:tc>
          <w:tcPr>
            <w:tcW w:w="1606"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距离厂界距离</w:t>
            </w:r>
          </w:p>
        </w:tc>
        <w:tc>
          <w:tcPr>
            <w:tcW w:w="1705"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昼间最大噪声值</w:t>
            </w:r>
          </w:p>
        </w:tc>
      </w:tr>
      <w:tr w:rsidR="006175A6">
        <w:tc>
          <w:tcPr>
            <w:tcW w:w="959"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1</w:t>
            </w:r>
          </w:p>
        </w:tc>
        <w:tc>
          <w:tcPr>
            <w:tcW w:w="1559"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枢纽工程施工场地</w:t>
            </w:r>
          </w:p>
        </w:tc>
        <w:tc>
          <w:tcPr>
            <w:tcW w:w="2693"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挖掘机、装载机、破碎机、搅拌机、</w:t>
            </w:r>
            <w:r>
              <w:rPr>
                <w:rFonts w:eastAsiaTheme="majorEastAsia"/>
                <w:sz w:val="21"/>
              </w:rPr>
              <w:t xml:space="preserve"> </w:t>
            </w:r>
            <w:r>
              <w:rPr>
                <w:rFonts w:eastAsiaTheme="majorEastAsia"/>
                <w:sz w:val="21"/>
              </w:rPr>
              <w:t>振捣器、空压机、水泵、自卸汽车等</w:t>
            </w:r>
          </w:p>
        </w:tc>
        <w:tc>
          <w:tcPr>
            <w:tcW w:w="1606"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50m</w:t>
            </w:r>
          </w:p>
        </w:tc>
        <w:tc>
          <w:tcPr>
            <w:tcW w:w="1705" w:type="dxa"/>
            <w:vAlign w:val="center"/>
          </w:tcPr>
          <w:p w:rsidR="006175A6" w:rsidRDefault="009B4BA7">
            <w:pPr>
              <w:spacing w:line="240" w:lineRule="auto"/>
              <w:ind w:firstLineChars="0" w:firstLine="0"/>
              <w:jc w:val="center"/>
              <w:rPr>
                <w:rFonts w:eastAsiaTheme="majorEastAsia"/>
                <w:sz w:val="21"/>
              </w:rPr>
            </w:pPr>
            <w:r>
              <w:rPr>
                <w:rFonts w:eastAsiaTheme="majorEastAsia"/>
                <w:sz w:val="21"/>
              </w:rPr>
              <w:t>71</w:t>
            </w:r>
          </w:p>
        </w:tc>
      </w:tr>
    </w:tbl>
    <w:p w:rsidR="006175A6" w:rsidRDefault="009B4BA7">
      <w:pPr>
        <w:ind w:firstLine="480"/>
      </w:pPr>
      <w:r>
        <w:rPr>
          <w:rFonts w:hint="eastAsia"/>
        </w:rPr>
        <w:t>根据预测，枢纽施工场地由于施工强度大、机械设备众多，昼间场界噪声超标。枢纽工程施工期间，通过优化施工组织、减少夜间设备使用时间等措施可有效减缓噪声影响，同时影响将随工程结束而消失。</w:t>
      </w:r>
    </w:p>
    <w:p w:rsidR="006175A6" w:rsidRDefault="009B4BA7">
      <w:pPr>
        <w:ind w:firstLine="480"/>
      </w:pPr>
      <w:r>
        <w:rPr>
          <w:rFonts w:hint="eastAsia"/>
        </w:rPr>
        <w:t>在引水管线施工过程中，噪声源为移动性噪声污染源，影响期短暂，影响范围小，随施工结束而消除。</w:t>
      </w:r>
    </w:p>
    <w:p w:rsidR="006175A6" w:rsidRDefault="00E97427">
      <w:pPr>
        <w:ind w:firstLine="480"/>
      </w:pPr>
      <w:r>
        <w:rPr>
          <w:rFonts w:hint="eastAsia"/>
        </w:rPr>
        <w:t>（</w:t>
      </w:r>
      <w:r w:rsidR="009B4BA7">
        <w:rPr>
          <w:rFonts w:hint="eastAsia"/>
        </w:rPr>
        <w:t>2</w:t>
      </w:r>
      <w:r>
        <w:rPr>
          <w:rFonts w:hint="eastAsia"/>
        </w:rPr>
        <w:t>）</w:t>
      </w:r>
      <w:r w:rsidR="009B4BA7">
        <w:rPr>
          <w:rFonts w:hint="eastAsia"/>
        </w:rPr>
        <w:t>流动源影响</w:t>
      </w:r>
    </w:p>
    <w:p w:rsidR="006175A6" w:rsidRDefault="009B4BA7">
      <w:pPr>
        <w:ind w:firstLine="480"/>
      </w:pPr>
      <w:r>
        <w:rPr>
          <w:rFonts w:hint="eastAsia"/>
        </w:rPr>
        <w:t>根据类似工程类比估算，在流动源两侧</w:t>
      </w:r>
      <w:r>
        <w:rPr>
          <w:rFonts w:hint="eastAsia"/>
        </w:rPr>
        <w:t>50m</w:t>
      </w:r>
      <w:r>
        <w:rPr>
          <w:rFonts w:hint="eastAsia"/>
        </w:rPr>
        <w:t>范围内噪声即可达标，故影响范围有限。因工程设备材料需外购，对外交通要经过一些村镇，受影响的居民主要为沿运输公路零星居住的村民。</w:t>
      </w:r>
    </w:p>
    <w:p w:rsidR="006175A6" w:rsidRDefault="00E97427">
      <w:pPr>
        <w:ind w:firstLine="480"/>
      </w:pPr>
      <w:r>
        <w:rPr>
          <w:rFonts w:hint="eastAsia"/>
        </w:rPr>
        <w:t>（</w:t>
      </w:r>
      <w:r w:rsidR="009B4BA7">
        <w:rPr>
          <w:rFonts w:hint="eastAsia"/>
        </w:rPr>
        <w:t>3</w:t>
      </w:r>
      <w:r>
        <w:rPr>
          <w:rFonts w:hint="eastAsia"/>
        </w:rPr>
        <w:t>）</w:t>
      </w:r>
      <w:r w:rsidR="009B4BA7">
        <w:rPr>
          <w:rFonts w:hint="eastAsia"/>
        </w:rPr>
        <w:t>阵发噪声源影响</w:t>
      </w:r>
    </w:p>
    <w:p w:rsidR="006175A6" w:rsidRDefault="009B4BA7">
      <w:pPr>
        <w:ind w:firstLine="480"/>
      </w:pPr>
      <w:r>
        <w:rPr>
          <w:rFonts w:hint="eastAsia"/>
        </w:rPr>
        <w:t>工程在土石方开挖时还会有少量爆破作业，虽然爆破作业是瞬间影响，但爆破时噪声很大，随着爆心距的增加，声级值降低较慢，而声压值降低较快。爆破源主要位于石料场、大坝坝肩等施工区域，受施工爆破影响的主要是施工人员以及附近的各种野生动物。以上可以看出，施工期噪声对评价区居民有一定的影响，虽然噪声影响为临时影响，将随着施工活动的结束而终止，但仍需要加强管理和防护措施减轻噪声影响。</w:t>
      </w:r>
    </w:p>
    <w:p w:rsidR="006175A6" w:rsidRDefault="009B4BA7">
      <w:pPr>
        <w:pStyle w:val="3"/>
      </w:pPr>
      <w:r>
        <w:rPr>
          <w:rFonts w:hint="eastAsia"/>
        </w:rPr>
        <w:t>运行期噪声环境影响分析</w:t>
      </w:r>
    </w:p>
    <w:p w:rsidR="006175A6" w:rsidRDefault="009B4BA7">
      <w:pPr>
        <w:ind w:firstLine="480"/>
      </w:pPr>
      <w:r>
        <w:rPr>
          <w:rFonts w:hint="eastAsia"/>
        </w:rPr>
        <w:t>该工程运行期间无噪声产生，对周围环境无声环境影响。</w:t>
      </w:r>
    </w:p>
    <w:p w:rsidR="006175A6" w:rsidRDefault="009B4BA7">
      <w:pPr>
        <w:pStyle w:val="2"/>
      </w:pPr>
      <w:bookmarkStart w:id="73" w:name="_Toc80170117"/>
      <w:r>
        <w:rPr>
          <w:rFonts w:hint="eastAsia"/>
        </w:rPr>
        <w:t>固体废弃物影响分析</w:t>
      </w:r>
      <w:bookmarkEnd w:id="73"/>
    </w:p>
    <w:p w:rsidR="006175A6" w:rsidRDefault="009B4BA7">
      <w:pPr>
        <w:pStyle w:val="3"/>
      </w:pPr>
      <w:r>
        <w:rPr>
          <w:rFonts w:hint="eastAsia"/>
        </w:rPr>
        <w:t>施工期固体废弃物环境影响</w:t>
      </w:r>
    </w:p>
    <w:p w:rsidR="006175A6" w:rsidRDefault="009B4BA7">
      <w:pPr>
        <w:ind w:firstLine="480"/>
      </w:pPr>
      <w:r>
        <w:rPr>
          <w:rFonts w:hint="eastAsia"/>
        </w:rPr>
        <w:t>施工期产生的固废主要为弃土弃渣以及施工人员产生的生活垃圾等。</w:t>
      </w:r>
    </w:p>
    <w:p w:rsidR="006175A6" w:rsidRDefault="009B4BA7">
      <w:pPr>
        <w:ind w:firstLine="480"/>
      </w:pPr>
      <w:r>
        <w:rPr>
          <w:rFonts w:hint="eastAsia"/>
        </w:rPr>
        <w:t>两河口水库工程土石方开挖量</w:t>
      </w:r>
      <w:r>
        <w:rPr>
          <w:rFonts w:hint="eastAsia"/>
        </w:rPr>
        <w:t>70.52</w:t>
      </w:r>
      <w:r>
        <w:rPr>
          <w:rFonts w:hint="eastAsia"/>
        </w:rPr>
        <w:t>万</w:t>
      </w:r>
      <w:r>
        <w:rPr>
          <w:rFonts w:hint="eastAsia"/>
        </w:rPr>
        <w:t xml:space="preserve"> m</w:t>
      </w:r>
      <w:r>
        <w:rPr>
          <w:rFonts w:hint="eastAsia"/>
        </w:rPr>
        <w:t>³，回填量</w:t>
      </w:r>
      <w:r>
        <w:rPr>
          <w:rFonts w:hint="eastAsia"/>
        </w:rPr>
        <w:t xml:space="preserve"> 31.60 </w:t>
      </w:r>
      <w:r>
        <w:rPr>
          <w:rFonts w:hint="eastAsia"/>
        </w:rPr>
        <w:t>万</w:t>
      </w:r>
      <w:r>
        <w:rPr>
          <w:rFonts w:hint="eastAsia"/>
        </w:rPr>
        <w:t xml:space="preserve"> m</w:t>
      </w:r>
      <w:r>
        <w:rPr>
          <w:rFonts w:hint="eastAsia"/>
        </w:rPr>
        <w:t>³，利用方</w:t>
      </w:r>
      <w:r>
        <w:rPr>
          <w:rFonts w:hint="eastAsia"/>
        </w:rPr>
        <w:t xml:space="preserve"> </w:t>
      </w:r>
      <w:r>
        <w:rPr>
          <w:rFonts w:hint="eastAsia"/>
        </w:rPr>
        <w:lastRenderedPageBreak/>
        <w:t xml:space="preserve">13.17 </w:t>
      </w:r>
      <w:r>
        <w:rPr>
          <w:rFonts w:hint="eastAsia"/>
        </w:rPr>
        <w:t>万</w:t>
      </w:r>
      <w:r>
        <w:rPr>
          <w:rFonts w:hint="eastAsia"/>
        </w:rPr>
        <w:t xml:space="preserve"> m</w:t>
      </w:r>
      <w:r>
        <w:rPr>
          <w:rFonts w:hint="eastAsia"/>
        </w:rPr>
        <w:t>³，共产生弃渣约</w:t>
      </w:r>
      <w:r>
        <w:rPr>
          <w:rFonts w:hint="eastAsia"/>
        </w:rPr>
        <w:t xml:space="preserve"> 32.84 </w:t>
      </w:r>
      <w:r>
        <w:rPr>
          <w:rFonts w:hint="eastAsia"/>
        </w:rPr>
        <w:t>万</w:t>
      </w:r>
      <w:r>
        <w:rPr>
          <w:rFonts w:hint="eastAsia"/>
        </w:rPr>
        <w:t xml:space="preserve"> m</w:t>
      </w:r>
      <w:r>
        <w:rPr>
          <w:rFonts w:hint="eastAsia"/>
        </w:rPr>
        <w:t>³，其中永久弃渣</w:t>
      </w:r>
      <w:r>
        <w:rPr>
          <w:rFonts w:hint="eastAsia"/>
        </w:rPr>
        <w:t xml:space="preserve"> 27.09 </w:t>
      </w:r>
      <w:r>
        <w:rPr>
          <w:rFonts w:hint="eastAsia"/>
        </w:rPr>
        <w:t>万</w:t>
      </w:r>
      <w:r>
        <w:rPr>
          <w:rFonts w:hint="eastAsia"/>
        </w:rPr>
        <w:t xml:space="preserve"> m</w:t>
      </w:r>
      <w:r>
        <w:rPr>
          <w:rFonts w:hint="eastAsia"/>
        </w:rPr>
        <w:t>³，临时弃渣</w:t>
      </w:r>
      <w:r>
        <w:rPr>
          <w:rFonts w:hint="eastAsia"/>
        </w:rPr>
        <w:t xml:space="preserve">5.75 </w:t>
      </w:r>
      <w:r>
        <w:rPr>
          <w:rFonts w:hint="eastAsia"/>
        </w:rPr>
        <w:t>万</w:t>
      </w:r>
      <w:r>
        <w:rPr>
          <w:rFonts w:hint="eastAsia"/>
        </w:rPr>
        <w:t xml:space="preserve"> m</w:t>
      </w:r>
      <w:r>
        <w:rPr>
          <w:rFonts w:hint="eastAsia"/>
        </w:rPr>
        <w:t>³。产生的永久弃渣全部运至规划弃渣场。在施工高峰期生活垃圾产生量为</w:t>
      </w:r>
      <w:r>
        <w:rPr>
          <w:rFonts w:hint="eastAsia"/>
        </w:rPr>
        <w:t>0.15t/d</w:t>
      </w:r>
      <w:r>
        <w:rPr>
          <w:rFonts w:hint="eastAsia"/>
        </w:rPr>
        <w:t>，采取集中收集，转运至垃圾填埋场。</w:t>
      </w:r>
    </w:p>
    <w:p w:rsidR="006175A6" w:rsidRDefault="009B4BA7">
      <w:pPr>
        <w:ind w:firstLine="480"/>
      </w:pPr>
      <w:r>
        <w:rPr>
          <w:rFonts w:hint="eastAsia"/>
        </w:rPr>
        <w:t>施工弃渣环境影响详见“</w:t>
      </w:r>
      <w:r>
        <w:rPr>
          <w:rFonts w:hint="eastAsia"/>
        </w:rPr>
        <w:t>6.2</w:t>
      </w:r>
      <w:r>
        <w:rPr>
          <w:rFonts w:hint="eastAsia"/>
        </w:rPr>
        <w:t>水土流失影响预测与评价”章节。</w:t>
      </w:r>
    </w:p>
    <w:p w:rsidR="006175A6" w:rsidRDefault="009B4BA7">
      <w:pPr>
        <w:ind w:firstLine="480"/>
      </w:pPr>
      <w:r>
        <w:rPr>
          <w:rFonts w:hint="eastAsia"/>
        </w:rPr>
        <w:t>施工生活垃圾可导致施工区卫生状况变差，滋生病原性微生物和媒介生物；</w:t>
      </w:r>
      <w:r>
        <w:rPr>
          <w:rFonts w:hint="eastAsia"/>
        </w:rPr>
        <w:t xml:space="preserve"> </w:t>
      </w:r>
      <w:r>
        <w:rPr>
          <w:rFonts w:hint="eastAsia"/>
        </w:rPr>
        <w:t>遇降雨垃圾中的污染物被溶出，对河流造成污染。但生活垃圾量不大，清运及</w:t>
      </w:r>
      <w:r>
        <w:rPr>
          <w:rFonts w:hint="eastAsia"/>
        </w:rPr>
        <w:t xml:space="preserve"> </w:t>
      </w:r>
      <w:r>
        <w:rPr>
          <w:rFonts w:hint="eastAsia"/>
        </w:rPr>
        <w:t>时的情况下不会造成明显的环境影响。</w:t>
      </w:r>
    </w:p>
    <w:p w:rsidR="006175A6" w:rsidRDefault="009B4BA7">
      <w:pPr>
        <w:pStyle w:val="3"/>
      </w:pPr>
      <w:r>
        <w:rPr>
          <w:rFonts w:hint="eastAsia"/>
        </w:rPr>
        <w:t>运行期固体废弃物环境影响</w:t>
      </w:r>
    </w:p>
    <w:p w:rsidR="006175A6" w:rsidRDefault="009B4BA7">
      <w:pPr>
        <w:ind w:firstLine="480"/>
      </w:pPr>
      <w:r>
        <w:rPr>
          <w:rFonts w:hint="eastAsia"/>
        </w:rPr>
        <w:t>运行期固体废物主要为生活垃圾，营运期共计</w:t>
      </w:r>
      <w:r>
        <w:rPr>
          <w:rFonts w:hint="eastAsia"/>
        </w:rPr>
        <w:t>22</w:t>
      </w:r>
      <w:r>
        <w:rPr>
          <w:rFonts w:hint="eastAsia"/>
        </w:rPr>
        <w:t>人，垃圾产生量为</w:t>
      </w:r>
      <w:r>
        <w:rPr>
          <w:rFonts w:hint="eastAsia"/>
        </w:rPr>
        <w:t>11kg/d</w:t>
      </w:r>
      <w:r>
        <w:rPr>
          <w:rFonts w:hint="eastAsia"/>
        </w:rPr>
        <w:t>，约</w:t>
      </w:r>
      <w:r>
        <w:rPr>
          <w:rFonts w:hint="eastAsia"/>
        </w:rPr>
        <w:t>4.02t/a</w:t>
      </w:r>
      <w:r>
        <w:rPr>
          <w:rFonts w:hint="eastAsia"/>
        </w:rPr>
        <w:t>，生活垃圾及时清运不会造成明显的环境影响。</w:t>
      </w:r>
    </w:p>
    <w:p w:rsidR="006175A6" w:rsidRDefault="009B4BA7">
      <w:pPr>
        <w:pStyle w:val="2"/>
      </w:pPr>
      <w:bookmarkStart w:id="74" w:name="_Toc80170118"/>
      <w:r>
        <w:rPr>
          <w:rFonts w:hint="eastAsia"/>
        </w:rPr>
        <w:t>土壤影响分析</w:t>
      </w:r>
      <w:bookmarkEnd w:id="74"/>
    </w:p>
    <w:p w:rsidR="006175A6" w:rsidRDefault="009B4BA7">
      <w:pPr>
        <w:ind w:firstLine="480"/>
      </w:pPr>
      <w:r>
        <w:rPr>
          <w:rFonts w:hint="eastAsia"/>
        </w:rPr>
        <w:t>引水管道工程是地埋敷设工程，工程建设过程中将对地表水土壤造成大的扰动，直接破坏地表植被和土壤系统。</w:t>
      </w:r>
    </w:p>
    <w:p w:rsidR="006175A6" w:rsidRDefault="00E97427">
      <w:pPr>
        <w:ind w:firstLine="480"/>
      </w:pPr>
      <w:r>
        <w:rPr>
          <w:rFonts w:hint="eastAsia"/>
        </w:rPr>
        <w:t>（</w:t>
      </w:r>
      <w:r w:rsidR="009B4BA7">
        <w:rPr>
          <w:rFonts w:hint="eastAsia"/>
        </w:rPr>
        <w:t>1</w:t>
      </w:r>
      <w:r>
        <w:rPr>
          <w:rFonts w:hint="eastAsia"/>
        </w:rPr>
        <w:t>）</w:t>
      </w:r>
      <w:r w:rsidR="009B4BA7">
        <w:rPr>
          <w:rFonts w:hint="eastAsia"/>
        </w:rPr>
        <w:t>对土壤结构的影响：管道铺设影响的地区大部分是农业土壤系统，施工期对不同土壤类型进行开挖和回填，弃土的混合和扰动，会扰乱或改变土壤耕作层，破坏土壤结构，从而影响土壤发育，降低土壤耕作性能。</w:t>
      </w:r>
    </w:p>
    <w:p w:rsidR="006175A6" w:rsidRDefault="00E97427">
      <w:pPr>
        <w:ind w:firstLine="480"/>
      </w:pPr>
      <w:r>
        <w:rPr>
          <w:rFonts w:hint="eastAsia"/>
        </w:rPr>
        <w:t>（</w:t>
      </w:r>
      <w:r w:rsidR="009B4BA7">
        <w:rPr>
          <w:rFonts w:hint="eastAsia"/>
        </w:rPr>
        <w:t>2</w:t>
      </w:r>
      <w:r>
        <w:rPr>
          <w:rFonts w:hint="eastAsia"/>
        </w:rPr>
        <w:t>）</w:t>
      </w:r>
      <w:r w:rsidR="009B4BA7">
        <w:rPr>
          <w:rFonts w:hint="eastAsia"/>
        </w:rPr>
        <w:t>对土壤理化性质的影响：土壤紧实度是土壤的重要理化性质之一。由于在管道施工过程中采用大型机械作业，这对于作业带内的土壤势必产生压实效应，机械碾压的结构使土壤紧实度增高，地表水渗入减少，土体过于紧实不利于作物的生长，压实作用直接影响了作物生长所需的土壤物理环境，降低了土壤肥力，土壤养分降低。工程施工和投产后土壤有机质含量、氮、磷、钾含量降低。</w:t>
      </w:r>
    </w:p>
    <w:p w:rsidR="006175A6" w:rsidRDefault="009B4BA7">
      <w:pPr>
        <w:ind w:firstLine="480"/>
      </w:pPr>
      <w:r>
        <w:rPr>
          <w:rFonts w:hint="eastAsia"/>
        </w:rPr>
        <w:t>同时在管道施工中废弃的物质如管道防腐等工序中的遗弃物以及生活垃圾有可能残留于土壤中。这些残留于土壤的固体废物，难于分解，被埋入土壤中会长期残留，影响土壤质量和农作物的生长</w:t>
      </w:r>
    </w:p>
    <w:p w:rsidR="006175A6" w:rsidRDefault="009B4BA7">
      <w:pPr>
        <w:pStyle w:val="2"/>
      </w:pPr>
      <w:bookmarkStart w:id="75" w:name="_Toc80170119"/>
      <w:r>
        <w:rPr>
          <w:rFonts w:hint="eastAsia"/>
        </w:rPr>
        <w:t>引水管线环境影响分析</w:t>
      </w:r>
      <w:bookmarkEnd w:id="75"/>
    </w:p>
    <w:p w:rsidR="006175A6" w:rsidRDefault="009B4BA7">
      <w:pPr>
        <w:pStyle w:val="3"/>
      </w:pPr>
      <w:r>
        <w:rPr>
          <w:rFonts w:hint="eastAsia"/>
        </w:rPr>
        <w:t>土地利用影响分析</w:t>
      </w:r>
    </w:p>
    <w:p w:rsidR="006175A6" w:rsidRDefault="009B4BA7">
      <w:pPr>
        <w:ind w:firstLine="480"/>
      </w:pPr>
      <w:r>
        <w:rPr>
          <w:rFonts w:hint="eastAsia"/>
        </w:rPr>
        <w:t>本工程引水管线占地分别为临时占地和永久占地。临时性工程占地包括施工</w:t>
      </w:r>
      <w:r>
        <w:rPr>
          <w:rFonts w:hint="eastAsia"/>
        </w:rPr>
        <w:lastRenderedPageBreak/>
        <w:t>作业带和临时施工场地。永久占地主要为各处过水建筑物。本工程引水管线占地主要为占用农田和部分林草地。本工程对耕地的影响主要为管道施工临时占地对农业生产的影响，主要表现为耽误一季农作物生产，二季农作物减产，这种影响是临时的，不会改变耕地的性质。对占用林地后期进行植被恢复，在管沟两侧</w:t>
      </w:r>
      <w:r>
        <w:rPr>
          <w:rFonts w:hint="eastAsia"/>
        </w:rPr>
        <w:t>5m</w:t>
      </w:r>
      <w:r>
        <w:rPr>
          <w:rFonts w:hint="eastAsia"/>
        </w:rPr>
        <w:t>内不宜种植深根植物，但可改为草灌丛方式来进行生态补偿。</w:t>
      </w:r>
    </w:p>
    <w:p w:rsidR="006175A6" w:rsidRDefault="009B4BA7">
      <w:pPr>
        <w:pStyle w:val="3"/>
      </w:pPr>
      <w:r>
        <w:rPr>
          <w:rFonts w:hint="eastAsia"/>
        </w:rPr>
        <w:t>植被影响分析</w:t>
      </w:r>
    </w:p>
    <w:p w:rsidR="006175A6" w:rsidRDefault="009B4BA7">
      <w:pPr>
        <w:ind w:firstLine="480"/>
      </w:pPr>
      <w:r>
        <w:rPr>
          <w:rFonts w:hint="eastAsia"/>
        </w:rPr>
        <w:t>管道施工过程中，开挖管沟区将底土翻出，使土体结构完全改变。挖掘区植被全部被破坏，其管线两侧的植被则受到不同程度的破坏和影响。以管沟中心线两侧</w:t>
      </w:r>
      <w:r>
        <w:rPr>
          <w:rFonts w:hint="eastAsia"/>
        </w:rPr>
        <w:t xml:space="preserve"> 2.5m </w:t>
      </w:r>
      <w:r>
        <w:rPr>
          <w:rFonts w:hint="eastAsia"/>
        </w:rPr>
        <w:t>的范围内，植被将遭到严重破坏，原有植被成分基本消失，植物的根系也受到彻底破坏；在管沟两侧</w:t>
      </w:r>
      <w:r>
        <w:rPr>
          <w:rFonts w:hint="eastAsia"/>
        </w:rPr>
        <w:t xml:space="preserve"> 2.5~5m </w:t>
      </w:r>
      <w:r>
        <w:rPr>
          <w:rFonts w:hint="eastAsia"/>
        </w:rPr>
        <w:t>的范围内，由于挖掘施工中各种机械、车辆和人员活动的碾压、践踏以及挖出土的堆放，造成植被的破坏较为严重，因此，施工作业带中对管沟两侧</w:t>
      </w:r>
      <w:r>
        <w:rPr>
          <w:rFonts w:hint="eastAsia"/>
        </w:rPr>
        <w:t xml:space="preserve"> 5m </w:t>
      </w:r>
      <w:r>
        <w:rPr>
          <w:rFonts w:hint="eastAsia"/>
        </w:rPr>
        <w:t>范围内自然植被的影响是非常严重的；在管沟两侧</w:t>
      </w:r>
      <w:r>
        <w:rPr>
          <w:rFonts w:hint="eastAsia"/>
        </w:rPr>
        <w:t xml:space="preserve"> 5~10m</w:t>
      </w:r>
      <w:r>
        <w:rPr>
          <w:rFonts w:hint="eastAsia"/>
        </w:rPr>
        <w:t>的范围内，由于机械、车辆和人员活动较少，对植被的破坏程度相对较轻。</w:t>
      </w:r>
    </w:p>
    <w:p w:rsidR="006175A6" w:rsidRDefault="009B4BA7">
      <w:pPr>
        <w:pStyle w:val="2"/>
      </w:pPr>
      <w:bookmarkStart w:id="76" w:name="_Toc80170120"/>
      <w:r>
        <w:rPr>
          <w:rFonts w:hint="eastAsia"/>
        </w:rPr>
        <w:t>环境地质影响分析</w:t>
      </w:r>
      <w:bookmarkEnd w:id="76"/>
    </w:p>
    <w:p w:rsidR="006175A6" w:rsidRDefault="009B4BA7">
      <w:pPr>
        <w:pStyle w:val="3"/>
      </w:pPr>
      <w:r>
        <w:rPr>
          <w:rFonts w:hint="eastAsia"/>
        </w:rPr>
        <w:t>水库地质影响分析</w:t>
      </w:r>
    </w:p>
    <w:p w:rsidR="006175A6" w:rsidRDefault="009B4BA7">
      <w:pPr>
        <w:pStyle w:val="4"/>
      </w:pPr>
      <w:r>
        <w:rPr>
          <w:rFonts w:hint="eastAsia"/>
        </w:rPr>
        <w:t>水库渗漏分析</w:t>
      </w:r>
    </w:p>
    <w:p w:rsidR="006175A6" w:rsidRDefault="009B4BA7">
      <w:pPr>
        <w:ind w:firstLine="480"/>
      </w:pPr>
      <w:r>
        <w:rPr>
          <w:rFonts w:hint="eastAsia"/>
        </w:rPr>
        <w:t>两河口水库属于中高山区水库，水库两岸山体雄厚。门家河由北东向南西径流，在青龙沟口转向南，河床高程</w:t>
      </w:r>
      <w:r>
        <w:rPr>
          <w:rFonts w:hint="eastAsia"/>
        </w:rPr>
        <w:t xml:space="preserve"> 985.0~1100m</w:t>
      </w:r>
      <w:r>
        <w:rPr>
          <w:rFonts w:hint="eastAsia"/>
        </w:rPr>
        <w:t>。库内发育的青龙沟坡降达</w:t>
      </w:r>
      <w:r>
        <w:rPr>
          <w:rFonts w:hint="eastAsia"/>
        </w:rPr>
        <w:t>45</w:t>
      </w:r>
      <w:r>
        <w:rPr>
          <w:rFonts w:hint="eastAsia"/>
        </w:rPr>
        <w:t>‰，在沟口与门家河河床高程齐平，沟内底部高程均高于门家河。库区邻谷相距较远，分水岭雄厚，水库封闭条件较好。</w:t>
      </w:r>
    </w:p>
    <w:p w:rsidR="006175A6" w:rsidRDefault="009B4BA7">
      <w:pPr>
        <w:ind w:firstLine="480"/>
      </w:pPr>
      <w:r>
        <w:rPr>
          <w:rFonts w:hint="eastAsia"/>
        </w:rPr>
        <w:t>构成库盆及库岸地层均为震旦系灯影组上段白马沱段（</w:t>
      </w:r>
      <w:r>
        <w:rPr>
          <w:rFonts w:hint="eastAsia"/>
        </w:rPr>
        <w:t>Z</w:t>
      </w:r>
      <w:r>
        <w:rPr>
          <w:rFonts w:hint="eastAsia"/>
          <w:vertAlign w:val="subscript"/>
        </w:rPr>
        <w:t>2</w:t>
      </w:r>
      <w:r>
        <w:rPr>
          <w:rFonts w:hint="eastAsia"/>
        </w:rPr>
        <w:t>dn</w:t>
      </w:r>
      <w:r>
        <w:rPr>
          <w:rFonts w:hint="eastAsia"/>
          <w:vertAlign w:val="superscript"/>
        </w:rPr>
        <w:t>3</w:t>
      </w:r>
      <w:r>
        <w:rPr>
          <w:rFonts w:hint="eastAsia"/>
        </w:rPr>
        <w:t>）硅质白云岩、中段石板滩段（</w:t>
      </w:r>
      <w:r>
        <w:rPr>
          <w:rFonts w:hint="eastAsia"/>
        </w:rPr>
        <w:t>Z</w:t>
      </w:r>
      <w:r>
        <w:rPr>
          <w:rFonts w:hint="eastAsia"/>
          <w:vertAlign w:val="subscript"/>
        </w:rPr>
        <w:t>2</w:t>
      </w:r>
      <w:r>
        <w:rPr>
          <w:rFonts w:hint="eastAsia"/>
        </w:rPr>
        <w:t>dn</w:t>
      </w:r>
      <w:r>
        <w:rPr>
          <w:rFonts w:hint="eastAsia"/>
          <w:vertAlign w:val="superscript"/>
        </w:rPr>
        <w:t>2</w:t>
      </w:r>
      <w:r>
        <w:rPr>
          <w:rFonts w:hint="eastAsia"/>
        </w:rPr>
        <w:t>）黑色薄层沥青质灰岩、页岩，寒武系下统下部（∈</w:t>
      </w:r>
      <w:r>
        <w:rPr>
          <w:rFonts w:hint="eastAsia"/>
        </w:rPr>
        <w:t>11</w:t>
      </w:r>
      <w:r>
        <w:rPr>
          <w:rFonts w:hint="eastAsia"/>
        </w:rPr>
        <w:t>）砂质页岩夹灰岩，均为可溶蚀性较差的岩石。岩体渗透性微弱，为相对不透水性岩体，形成了相对封闭的库盆。青龙沟来水主要为</w:t>
      </w:r>
      <w:r>
        <w:rPr>
          <w:rFonts w:hint="eastAsia"/>
        </w:rPr>
        <w:t>Q3</w:t>
      </w:r>
      <w:r>
        <w:rPr>
          <w:rFonts w:hint="eastAsia"/>
        </w:rPr>
        <w:t>泉，从地下岩溶管道出水形成。</w:t>
      </w:r>
      <w:r>
        <w:rPr>
          <w:rFonts w:hint="eastAsia"/>
        </w:rPr>
        <w:t>Q3</w:t>
      </w:r>
      <w:r>
        <w:rPr>
          <w:rFonts w:hint="eastAsia"/>
        </w:rPr>
        <w:t>泉形成于寒武系中统上统的灰岩、白云质灰岩中。</w:t>
      </w:r>
    </w:p>
    <w:p w:rsidR="006175A6" w:rsidRDefault="009B4BA7">
      <w:pPr>
        <w:ind w:firstLine="480"/>
      </w:pPr>
      <w:r>
        <w:rPr>
          <w:rFonts w:hint="eastAsia"/>
        </w:rPr>
        <w:t>库区发育的</w:t>
      </w:r>
      <w:r>
        <w:rPr>
          <w:rFonts w:hint="eastAsia"/>
        </w:rPr>
        <w:t xml:space="preserve"> F1 </w:t>
      </w:r>
      <w:r>
        <w:rPr>
          <w:rFonts w:hint="eastAsia"/>
        </w:rPr>
        <w:t>断裂，沿库区右岸延伸。其它如</w:t>
      </w:r>
      <w:r>
        <w:rPr>
          <w:rFonts w:hint="eastAsia"/>
        </w:rPr>
        <w:t xml:space="preserve"> F2</w:t>
      </w:r>
      <w:r>
        <w:rPr>
          <w:rFonts w:hint="eastAsia"/>
        </w:rPr>
        <w:t>、</w:t>
      </w:r>
      <w:r>
        <w:rPr>
          <w:rFonts w:hint="eastAsia"/>
        </w:rPr>
        <w:t>F3</w:t>
      </w:r>
      <w:r>
        <w:rPr>
          <w:rFonts w:hint="eastAsia"/>
        </w:rPr>
        <w:t>、</w:t>
      </w:r>
      <w:r>
        <w:rPr>
          <w:rFonts w:hint="eastAsia"/>
        </w:rPr>
        <w:t xml:space="preserve">F4 </w:t>
      </w:r>
      <w:r>
        <w:rPr>
          <w:rFonts w:hint="eastAsia"/>
        </w:rPr>
        <w:t>等断裂虽具</w:t>
      </w:r>
      <w:r>
        <w:rPr>
          <w:rFonts w:hint="eastAsia"/>
        </w:rPr>
        <w:lastRenderedPageBreak/>
        <w:t>有一定的破碎带，但规模不大，延伸范围均在库区汇水区域，成库后，不会产生沿断裂外渗的可能。</w:t>
      </w:r>
    </w:p>
    <w:p w:rsidR="006175A6" w:rsidRDefault="009B4BA7">
      <w:pPr>
        <w:ind w:firstLine="480"/>
      </w:pPr>
      <w:r>
        <w:rPr>
          <w:rFonts w:hint="eastAsia"/>
        </w:rPr>
        <w:t>综合以上分析，水库建成蓄水后，向库外产生渗漏的可能性小。</w:t>
      </w:r>
    </w:p>
    <w:p w:rsidR="006175A6" w:rsidRDefault="009B4BA7">
      <w:pPr>
        <w:pStyle w:val="4"/>
      </w:pPr>
      <w:r>
        <w:rPr>
          <w:rFonts w:hint="eastAsia"/>
        </w:rPr>
        <w:t>库岸稳定分析</w:t>
      </w:r>
    </w:p>
    <w:p w:rsidR="006175A6" w:rsidRDefault="009B4BA7">
      <w:pPr>
        <w:ind w:firstLine="480"/>
      </w:pPr>
      <w:r>
        <w:rPr>
          <w:rFonts w:hint="eastAsia"/>
        </w:rPr>
        <w:t>本区大地构造上位于青峰断裂以南的上杨子区北部黄陵穹窿状背斜西北部（湖北省新构造图中Ⅱ</w:t>
      </w:r>
      <w:r>
        <w:rPr>
          <w:rFonts w:hint="eastAsia"/>
        </w:rPr>
        <w:t>2</w:t>
      </w:r>
      <w:r>
        <w:rPr>
          <w:rFonts w:hint="eastAsia"/>
        </w:rPr>
        <w:t>区：鄂西大面积隆起区黄陵背斜拱状隆起区），据中华人民共和国国家标准《中国地震动参数区划图》（</w:t>
      </w:r>
      <w:r>
        <w:rPr>
          <w:rFonts w:hint="eastAsia"/>
        </w:rPr>
        <w:t>GB18306</w:t>
      </w:r>
      <w:r>
        <w:rPr>
          <w:rFonts w:hint="eastAsia"/>
        </w:rPr>
        <w:t>－</w:t>
      </w:r>
      <w:r>
        <w:rPr>
          <w:rFonts w:hint="eastAsia"/>
        </w:rPr>
        <w:t>2015</w:t>
      </w:r>
      <w:r>
        <w:rPr>
          <w:rFonts w:hint="eastAsia"/>
        </w:rPr>
        <w:t>），本区地震动峰值加速度</w:t>
      </w:r>
      <w:r>
        <w:rPr>
          <w:rFonts w:hint="eastAsia"/>
        </w:rPr>
        <w:t>0.05g</w:t>
      </w:r>
      <w:r>
        <w:rPr>
          <w:rFonts w:hint="eastAsia"/>
        </w:rPr>
        <w:t>，相应地震基本烈度Ⅵ度。</w:t>
      </w:r>
    </w:p>
    <w:p w:rsidR="006175A6" w:rsidRDefault="009B4BA7">
      <w:pPr>
        <w:ind w:firstLine="480"/>
      </w:pPr>
      <w:r>
        <w:rPr>
          <w:rFonts w:hint="eastAsia"/>
        </w:rPr>
        <w:t>库区具构造剥蚀中、低山地貌，出露震旦系灯影组上段白马沱组硅质白云岩、粗晶白云岩，中段石板滩沥青质灰岩、页岩及下寒武系砂质页岩夹灰岩。岩层倾向上游偏右岸，岩层平缓，岩质边坡总体稳定；库水不具备向邻谷渗漏的地质条件；</w:t>
      </w:r>
      <w:r>
        <w:rPr>
          <w:rFonts w:hint="eastAsia"/>
        </w:rPr>
        <w:t xml:space="preserve"> </w:t>
      </w:r>
      <w:r>
        <w:rPr>
          <w:rFonts w:hint="eastAsia"/>
        </w:rPr>
        <w:t>库区居民集中居住在高程</w:t>
      </w:r>
      <w:r>
        <w:rPr>
          <w:rFonts w:hint="eastAsia"/>
        </w:rPr>
        <w:t xml:space="preserve"> 1300m </w:t>
      </w:r>
      <w:r>
        <w:rPr>
          <w:rFonts w:hint="eastAsia"/>
        </w:rPr>
        <w:t>高程以上，不存在大规模浸没问题，库区内无古文化遗址淹没，无磷、铁等矿点分布；库坝范围断裂规模小，不具备孕育中强地震的构造条件，水库蓄水后产生水库诱发地震的可能性很小。</w:t>
      </w:r>
    </w:p>
    <w:p w:rsidR="006175A6" w:rsidRDefault="009B4BA7">
      <w:pPr>
        <w:pStyle w:val="4"/>
      </w:pPr>
      <w:r>
        <w:rPr>
          <w:rFonts w:hint="eastAsia"/>
        </w:rPr>
        <w:t>水库淤积分析</w:t>
      </w:r>
    </w:p>
    <w:p w:rsidR="006175A6" w:rsidRDefault="009B4BA7">
      <w:pPr>
        <w:ind w:firstLine="480"/>
      </w:pPr>
      <w:r>
        <w:rPr>
          <w:rFonts w:hint="eastAsia"/>
        </w:rPr>
        <w:t>库区河床坡降达</w:t>
      </w:r>
      <w:r>
        <w:rPr>
          <w:rFonts w:hint="eastAsia"/>
        </w:rPr>
        <w:t>30</w:t>
      </w:r>
      <w:r>
        <w:rPr>
          <w:rFonts w:hint="eastAsia"/>
        </w:rPr>
        <w:t>‰。库区植被较发育，库岸总体陡峻，但在中部库岸高程</w:t>
      </w:r>
      <w:r>
        <w:rPr>
          <w:rFonts w:hint="eastAsia"/>
        </w:rPr>
        <w:t>1075m</w:t>
      </w:r>
      <w:r>
        <w:rPr>
          <w:rFonts w:hint="eastAsia"/>
        </w:rPr>
        <w:t>以下两岸山坡分布崩残坡积物，导致松散岩土裸露地表。另外河床两岸陡坡及冲沟谷坡上的残坡积物地带因片流和洪水的冲刷，岩土也多裸露。这些裸露区水土流失较为严重，是水库粗固体径流物的主要来源。</w:t>
      </w:r>
    </w:p>
    <w:p w:rsidR="006175A6" w:rsidRDefault="009B4BA7">
      <w:pPr>
        <w:ind w:firstLine="480"/>
      </w:pPr>
      <w:r>
        <w:rPr>
          <w:rFonts w:hint="eastAsia"/>
        </w:rPr>
        <w:t>两河口水库通过采取合理的调洪排沙运行方式，以达到排少效果，另外，在进水口附近设置冲沙孔，以保证进水口能有效防沙取水。考虑到排沙措施，水库在</w:t>
      </w:r>
      <w:r>
        <w:rPr>
          <w:rFonts w:hint="eastAsia"/>
        </w:rPr>
        <w:t>50</w:t>
      </w:r>
      <w:r>
        <w:rPr>
          <w:rFonts w:hint="eastAsia"/>
        </w:rPr>
        <w:t>年内正常运行期间不被淤积。</w:t>
      </w:r>
    </w:p>
    <w:p w:rsidR="006175A6" w:rsidRDefault="009B4BA7">
      <w:pPr>
        <w:pStyle w:val="4"/>
      </w:pPr>
      <w:r>
        <w:rPr>
          <w:rFonts w:hint="eastAsia"/>
        </w:rPr>
        <w:t>水库淹没及浸没问题分析</w:t>
      </w:r>
    </w:p>
    <w:p w:rsidR="006175A6" w:rsidRDefault="009B4BA7">
      <w:pPr>
        <w:ind w:firstLine="480"/>
      </w:pPr>
      <w:r>
        <w:rPr>
          <w:rFonts w:hint="eastAsia"/>
        </w:rPr>
        <w:t>库区范围内，正常蓄水位以下，山高坡陡，基岩裸露，除库区有一户村民有较少的旱地在蓄水位线以下外，其它无淹没。区内无古文化遗址，无磷、铁等矿点分布，库区对农业和矿产资源的开发影响较小。</w:t>
      </w:r>
    </w:p>
    <w:p w:rsidR="006175A6" w:rsidRDefault="009B4BA7">
      <w:pPr>
        <w:ind w:firstLine="480"/>
      </w:pPr>
      <w:r>
        <w:rPr>
          <w:rFonts w:hint="eastAsia"/>
        </w:rPr>
        <w:t>库区居民集中居住在高程</w:t>
      </w:r>
      <w:r>
        <w:rPr>
          <w:rFonts w:hint="eastAsia"/>
        </w:rPr>
        <w:t xml:space="preserve">1300m </w:t>
      </w:r>
      <w:r>
        <w:rPr>
          <w:rFonts w:hint="eastAsia"/>
        </w:rPr>
        <w:t>高程以上，在库区蓄水位线以上</w:t>
      </w:r>
      <w:r>
        <w:rPr>
          <w:rFonts w:hint="eastAsia"/>
        </w:rPr>
        <w:t>100m</w:t>
      </w:r>
      <w:r>
        <w:rPr>
          <w:rFonts w:hint="eastAsia"/>
        </w:rPr>
        <w:t>以上，库段内不存在大规模浸没问题。库区内淹没</w:t>
      </w:r>
      <w:r>
        <w:rPr>
          <w:rFonts w:hint="eastAsia"/>
        </w:rPr>
        <w:t>3</w:t>
      </w:r>
      <w:r>
        <w:rPr>
          <w:rFonts w:hint="eastAsia"/>
        </w:rPr>
        <w:t>户居民农田，将对此进行生产安置；库区内青龙口电站厂房位于正常蓄水位以下，将淹没青龙口水电站，电站</w:t>
      </w:r>
      <w:r>
        <w:rPr>
          <w:rFonts w:hint="eastAsia"/>
        </w:rPr>
        <w:lastRenderedPageBreak/>
        <w:t>管理人员将对其进行补偿。</w:t>
      </w:r>
    </w:p>
    <w:p w:rsidR="006175A6" w:rsidRDefault="009B4BA7">
      <w:pPr>
        <w:pStyle w:val="3"/>
      </w:pPr>
      <w:r>
        <w:rPr>
          <w:rFonts w:hint="eastAsia"/>
        </w:rPr>
        <w:t>坝址处地质影响分析</w:t>
      </w:r>
    </w:p>
    <w:p w:rsidR="006175A6" w:rsidRDefault="009B4BA7">
      <w:pPr>
        <w:ind w:firstLine="480"/>
      </w:pPr>
      <w:r>
        <w:rPr>
          <w:rFonts w:hint="eastAsia"/>
        </w:rPr>
        <w:t>坝区位于黄陵穹窿状背斜西北部，岩层倾向上游偏右岸，倾角</w:t>
      </w:r>
      <w:r>
        <w:rPr>
          <w:rFonts w:hint="eastAsia"/>
        </w:rPr>
        <w:t xml:space="preserve"> 4~13</w:t>
      </w:r>
      <w:r>
        <w:rPr>
          <w:rFonts w:hint="eastAsia"/>
        </w:rPr>
        <w:t>°为横向河谷。出露地层主要为震旦系上统灯影组白马沱（</w:t>
      </w:r>
      <w:r>
        <w:rPr>
          <w:rFonts w:hint="eastAsia"/>
        </w:rPr>
        <w:t>Z</w:t>
      </w:r>
      <w:r>
        <w:rPr>
          <w:rFonts w:hint="eastAsia"/>
          <w:vertAlign w:val="subscript"/>
        </w:rPr>
        <w:t>2</w:t>
      </w:r>
      <w:r>
        <w:rPr>
          <w:rFonts w:hint="eastAsia"/>
        </w:rPr>
        <w:t>dn</w:t>
      </w:r>
      <w:r>
        <w:rPr>
          <w:rFonts w:hint="eastAsia"/>
          <w:vertAlign w:val="superscript"/>
        </w:rPr>
        <w:t>3-2</w:t>
      </w:r>
      <w:r>
        <w:rPr>
          <w:rFonts w:hint="eastAsia"/>
        </w:rPr>
        <w:t>）白云岩。粗晶结构，块状构造。坝区断层、裂隙等构造较发育。坝肩存在不利结构面组合，但规模不大，对岸坡稳定影响较小。除局部受构造影响，岩体透水性较强外，总体坝区岩体透水性较弱，坝基及绕坝裂隙性渗漏不严重。</w:t>
      </w:r>
    </w:p>
    <w:p w:rsidR="006175A6" w:rsidRDefault="009B4BA7">
      <w:pPr>
        <w:pStyle w:val="3"/>
      </w:pPr>
      <w:r>
        <w:rPr>
          <w:rFonts w:hint="eastAsia"/>
        </w:rPr>
        <w:t>输水线路地质影响分析</w:t>
      </w:r>
    </w:p>
    <w:p w:rsidR="006175A6" w:rsidRDefault="009B4BA7">
      <w:pPr>
        <w:ind w:firstLine="480"/>
      </w:pPr>
      <w:r>
        <w:rPr>
          <w:rFonts w:hint="eastAsia"/>
        </w:rPr>
        <w:t>输水线路总长</w:t>
      </w:r>
      <w:r>
        <w:rPr>
          <w:rFonts w:hint="eastAsia"/>
        </w:rPr>
        <w:t xml:space="preserve"> 23.7km</w:t>
      </w:r>
      <w:r>
        <w:rPr>
          <w:rFonts w:hint="eastAsia"/>
        </w:rPr>
        <w:t>，总体顺山脉、河流方向延伸，临河侧山体陡峭，悬崖密布，无法布置盘山明渠，输水线路只能以过山隧洞和过沟涵洞为主，输水线路与岩层走向呈锐角斜交，依次穿越地层为震旦系上统灯影组（</w:t>
      </w:r>
      <w:r>
        <w:rPr>
          <w:rFonts w:hint="eastAsia"/>
        </w:rPr>
        <w:t>Z</w:t>
      </w:r>
      <w:r>
        <w:rPr>
          <w:rFonts w:hint="eastAsia"/>
          <w:vertAlign w:val="subscript"/>
        </w:rPr>
        <w:t>2</w:t>
      </w:r>
      <w:r>
        <w:rPr>
          <w:rFonts w:hint="eastAsia"/>
        </w:rPr>
        <w:t>dn</w:t>
      </w:r>
      <w:r>
        <w:rPr>
          <w:rFonts w:hint="eastAsia"/>
        </w:rPr>
        <w:t>）白云岩、页岩，寒武系下统砂质页岩夹灰岩、灰岩、白云质灰岩，寒武系中统（∈</w:t>
      </w:r>
      <w:r>
        <w:rPr>
          <w:rFonts w:hint="eastAsia"/>
        </w:rPr>
        <w:t>2</w:t>
      </w:r>
      <w:r>
        <w:rPr>
          <w:rFonts w:hint="eastAsia"/>
        </w:rPr>
        <w:t>）中统覃家庙群灰岩、白云岩夹页岩，寒武系上统（∈</w:t>
      </w:r>
      <w:r>
        <w:rPr>
          <w:rFonts w:hint="eastAsia"/>
        </w:rPr>
        <w:t>3</w:t>
      </w:r>
      <w:r>
        <w:rPr>
          <w:rFonts w:hint="eastAsia"/>
        </w:rPr>
        <w:t>）上统三游洞群灰岩、白云质灰岩、白云岩，奥陶系下统</w:t>
      </w:r>
      <w:r>
        <w:rPr>
          <w:rFonts w:hint="eastAsia"/>
        </w:rPr>
        <w:t xml:space="preserve"> O1 </w:t>
      </w:r>
      <w:r>
        <w:rPr>
          <w:rFonts w:hint="eastAsia"/>
        </w:rPr>
        <w:t>厚层结晶灰岩，围岩工程地质类别以Ⅰ</w:t>
      </w:r>
      <w:r>
        <w:rPr>
          <w:rFonts w:hint="eastAsia"/>
        </w:rPr>
        <w:t>~</w:t>
      </w:r>
      <w:r>
        <w:rPr>
          <w:rFonts w:hint="eastAsia"/>
        </w:rPr>
        <w:t>Ⅲ为主，进出口段为Ⅳ</w:t>
      </w:r>
      <w:r>
        <w:rPr>
          <w:rFonts w:hint="eastAsia"/>
        </w:rPr>
        <w:t>~</w:t>
      </w:r>
      <w:r>
        <w:rPr>
          <w:rFonts w:hint="eastAsia"/>
        </w:rPr>
        <w:t>Ⅴ类。</w:t>
      </w:r>
    </w:p>
    <w:p w:rsidR="006175A6" w:rsidRDefault="009B4BA7">
      <w:pPr>
        <w:ind w:firstLine="480"/>
      </w:pPr>
      <w:r>
        <w:rPr>
          <w:rFonts w:hint="eastAsia"/>
        </w:rPr>
        <w:t>输水线路布置原则为：尽量布置为直线，每一洞段长度以不超过</w:t>
      </w:r>
      <w:r>
        <w:rPr>
          <w:rFonts w:hint="eastAsia"/>
        </w:rPr>
        <w:t>3km</w:t>
      </w:r>
      <w:r>
        <w:rPr>
          <w:rFonts w:hint="eastAsia"/>
        </w:rPr>
        <w:t>为宜，经现场勘察，水工与地质人员共同确定输水线路布置方案。</w:t>
      </w:r>
    </w:p>
    <w:p w:rsidR="006175A6" w:rsidRDefault="009B4BA7">
      <w:pPr>
        <w:ind w:firstLine="480"/>
      </w:pPr>
      <w:r>
        <w:rPr>
          <w:rFonts w:hint="eastAsia"/>
        </w:rPr>
        <w:t>针对Ⅰ</w:t>
      </w:r>
      <w:r>
        <w:rPr>
          <w:rFonts w:hint="eastAsia"/>
        </w:rPr>
        <w:t>~</w:t>
      </w:r>
      <w:r>
        <w:rPr>
          <w:rFonts w:hint="eastAsia"/>
        </w:rPr>
        <w:t>Ⅲ围岩类别（稳定性较差），在工程施工期间采取喷护、局部锚喷等措施，地质稳定性较好的Ⅳ</w:t>
      </w:r>
      <w:r>
        <w:rPr>
          <w:rFonts w:hint="eastAsia"/>
        </w:rPr>
        <w:t>~</w:t>
      </w:r>
      <w:r>
        <w:rPr>
          <w:rFonts w:hint="eastAsia"/>
        </w:rPr>
        <w:t>Ⅴ类围岩类别采取钢筋砼衬砌的施工方式，时对边坡进行混凝土喷护后，承载力满足要求，无不良地质缺陷现象。</w:t>
      </w:r>
    </w:p>
    <w:p w:rsidR="006175A6" w:rsidRDefault="009B4BA7">
      <w:pPr>
        <w:pStyle w:val="2"/>
      </w:pPr>
      <w:bookmarkStart w:id="77" w:name="_Toc80170121"/>
      <w:r>
        <w:rPr>
          <w:rFonts w:hint="eastAsia"/>
        </w:rPr>
        <w:t>社会影响分析</w:t>
      </w:r>
      <w:bookmarkEnd w:id="77"/>
    </w:p>
    <w:p w:rsidR="006175A6" w:rsidRDefault="009B4BA7">
      <w:pPr>
        <w:pStyle w:val="3"/>
      </w:pPr>
      <w:r>
        <w:rPr>
          <w:rFonts w:hint="eastAsia"/>
        </w:rPr>
        <w:t>水库淹没与移民影响分析</w:t>
      </w:r>
    </w:p>
    <w:p w:rsidR="006175A6" w:rsidRDefault="009B4BA7">
      <w:pPr>
        <w:ind w:firstLine="480"/>
      </w:pPr>
      <w:r>
        <w:rPr>
          <w:rFonts w:hint="eastAsia"/>
        </w:rPr>
        <w:t>本工程共涉及兴山县榛子乡石柱村、黄粮镇的金家坝村和高华村，计</w:t>
      </w:r>
      <w:r>
        <w:rPr>
          <w:rFonts w:hint="eastAsia"/>
        </w:rPr>
        <w:t xml:space="preserve"> 3 </w:t>
      </w:r>
      <w:r>
        <w:rPr>
          <w:rFonts w:hint="eastAsia"/>
        </w:rPr>
        <w:t>个镇</w:t>
      </w:r>
      <w:r>
        <w:rPr>
          <w:rFonts w:hint="eastAsia"/>
        </w:rPr>
        <w:t>3</w:t>
      </w:r>
      <w:r>
        <w:rPr>
          <w:rFonts w:hint="eastAsia"/>
        </w:rPr>
        <w:t>个村，两河口水库工程库区和工程建设区建设征地</w:t>
      </w:r>
      <w:r>
        <w:rPr>
          <w:rFonts w:hint="eastAsia"/>
        </w:rPr>
        <w:t xml:space="preserve"> 896.2 </w:t>
      </w:r>
      <w:r>
        <w:rPr>
          <w:rFonts w:hint="eastAsia"/>
        </w:rPr>
        <w:t>亩，其中：永久占地</w:t>
      </w:r>
      <w:r>
        <w:rPr>
          <w:rFonts w:hint="eastAsia"/>
        </w:rPr>
        <w:t xml:space="preserve"> 49.7 </w:t>
      </w:r>
      <w:r>
        <w:rPr>
          <w:rFonts w:hint="eastAsia"/>
        </w:rPr>
        <w:t>亩，水库淹没区</w:t>
      </w:r>
      <w:r>
        <w:rPr>
          <w:rFonts w:hint="eastAsia"/>
        </w:rPr>
        <w:t xml:space="preserve"> 494.5 </w:t>
      </w:r>
      <w:r>
        <w:rPr>
          <w:rFonts w:hint="eastAsia"/>
        </w:rPr>
        <w:t>亩，工程临时用地</w:t>
      </w:r>
      <w:r>
        <w:rPr>
          <w:rFonts w:hint="eastAsia"/>
        </w:rPr>
        <w:t xml:space="preserve"> 382.0 </w:t>
      </w:r>
      <w:r>
        <w:rPr>
          <w:rFonts w:hint="eastAsia"/>
        </w:rPr>
        <w:t>亩。涉及村级公路</w:t>
      </w:r>
      <w:r>
        <w:rPr>
          <w:rFonts w:hint="eastAsia"/>
        </w:rPr>
        <w:t xml:space="preserve"> 2.0km</w:t>
      </w:r>
      <w:r>
        <w:rPr>
          <w:rFonts w:hint="eastAsia"/>
        </w:rPr>
        <w:t>；</w:t>
      </w:r>
      <w:r>
        <w:rPr>
          <w:rFonts w:hint="eastAsia"/>
        </w:rPr>
        <w:t xml:space="preserve">10kv </w:t>
      </w:r>
      <w:r>
        <w:rPr>
          <w:rFonts w:hint="eastAsia"/>
        </w:rPr>
        <w:t>输电线路</w:t>
      </w:r>
      <w:r>
        <w:rPr>
          <w:rFonts w:hint="eastAsia"/>
        </w:rPr>
        <w:t xml:space="preserve"> 2.0 </w:t>
      </w:r>
      <w:r>
        <w:rPr>
          <w:rFonts w:hint="eastAsia"/>
        </w:rPr>
        <w:t>公里；青龙口电站（</w:t>
      </w:r>
      <w:r>
        <w:rPr>
          <w:rFonts w:hint="eastAsia"/>
        </w:rPr>
        <w:t>225kw</w:t>
      </w:r>
      <w:r>
        <w:rPr>
          <w:rFonts w:hint="eastAsia"/>
        </w:rPr>
        <w:t>）一座，压覆胡家扁磷矿，无文物古迹。</w:t>
      </w:r>
    </w:p>
    <w:p w:rsidR="006175A6" w:rsidRDefault="009B4BA7">
      <w:pPr>
        <w:ind w:firstLine="480"/>
      </w:pPr>
      <w:r>
        <w:rPr>
          <w:rFonts w:hint="eastAsia"/>
        </w:rPr>
        <w:lastRenderedPageBreak/>
        <w:t>（</w:t>
      </w:r>
      <w:r>
        <w:rPr>
          <w:rFonts w:hint="eastAsia"/>
        </w:rPr>
        <w:t>1</w:t>
      </w:r>
      <w:r>
        <w:rPr>
          <w:rFonts w:hint="eastAsia"/>
        </w:rPr>
        <w:t>）生产安置</w:t>
      </w:r>
    </w:p>
    <w:p w:rsidR="006175A6" w:rsidRDefault="009B4BA7">
      <w:pPr>
        <w:ind w:firstLine="480"/>
      </w:pPr>
      <w:r>
        <w:rPr>
          <w:rFonts w:hint="eastAsia"/>
        </w:rPr>
        <w:t>移民生产安置总体方案为：种植业安置。通过调查分析并收集乡镇及被征地村民意愿，生产安置方式以调整耕地为主要措施，使移民生活水平达到征地前水平。</w:t>
      </w:r>
    </w:p>
    <w:p w:rsidR="006175A6" w:rsidRDefault="009B4BA7">
      <w:pPr>
        <w:ind w:firstLine="480"/>
      </w:pPr>
      <w:r>
        <w:rPr>
          <w:rFonts w:hint="eastAsia"/>
        </w:rPr>
        <w:t>根据本工程占地情况，到规划水平年需要进行生产安置的人口为</w:t>
      </w:r>
      <w:r>
        <w:rPr>
          <w:rFonts w:hint="eastAsia"/>
        </w:rPr>
        <w:t xml:space="preserve"> 3 </w:t>
      </w:r>
      <w:r>
        <w:rPr>
          <w:rFonts w:hint="eastAsia"/>
        </w:rPr>
        <w:t>人，根据环境容量分析：（</w:t>
      </w:r>
      <w:r>
        <w:rPr>
          <w:rFonts w:hint="eastAsia"/>
        </w:rPr>
        <w:t>1</w:t>
      </w:r>
      <w:r>
        <w:rPr>
          <w:rFonts w:hint="eastAsia"/>
        </w:rPr>
        <w:t>）石柱村青龙口组生产安置人口</w:t>
      </w:r>
      <w:r>
        <w:rPr>
          <w:rFonts w:hint="eastAsia"/>
        </w:rPr>
        <w:t xml:space="preserve"> 1 </w:t>
      </w:r>
      <w:r>
        <w:rPr>
          <w:rFonts w:hint="eastAsia"/>
        </w:rPr>
        <w:t>人，本组调地安置</w:t>
      </w:r>
      <w:r>
        <w:rPr>
          <w:rFonts w:hint="eastAsia"/>
        </w:rPr>
        <w:t xml:space="preserve"> 1 </w:t>
      </w:r>
      <w:r>
        <w:rPr>
          <w:rFonts w:hint="eastAsia"/>
        </w:rPr>
        <w:t>人，调地计</w:t>
      </w:r>
      <w:r>
        <w:rPr>
          <w:rFonts w:hint="eastAsia"/>
        </w:rPr>
        <w:t xml:space="preserve"> 2.0 </w:t>
      </w:r>
      <w:r>
        <w:rPr>
          <w:rFonts w:hint="eastAsia"/>
        </w:rPr>
        <w:t>亩。（</w:t>
      </w:r>
      <w:r>
        <w:rPr>
          <w:rFonts w:hint="eastAsia"/>
        </w:rPr>
        <w:t>2</w:t>
      </w:r>
      <w:r>
        <w:rPr>
          <w:rFonts w:hint="eastAsia"/>
        </w:rPr>
        <w:t>）石柱村郭家台组生产安置人口</w:t>
      </w:r>
      <w:r>
        <w:rPr>
          <w:rFonts w:hint="eastAsia"/>
        </w:rPr>
        <w:t xml:space="preserve"> 2 </w:t>
      </w:r>
      <w:r>
        <w:rPr>
          <w:rFonts w:hint="eastAsia"/>
        </w:rPr>
        <w:t>人，本组调地安置</w:t>
      </w:r>
      <w:r>
        <w:rPr>
          <w:rFonts w:hint="eastAsia"/>
        </w:rPr>
        <w:t xml:space="preserve"> 2 </w:t>
      </w:r>
      <w:r>
        <w:rPr>
          <w:rFonts w:hint="eastAsia"/>
        </w:rPr>
        <w:t>人，调地计</w:t>
      </w:r>
      <w:r>
        <w:rPr>
          <w:rFonts w:hint="eastAsia"/>
        </w:rPr>
        <w:t xml:space="preserve">4.2 </w:t>
      </w:r>
      <w:r>
        <w:rPr>
          <w:rFonts w:hint="eastAsia"/>
        </w:rPr>
        <w:t>亩。</w:t>
      </w:r>
    </w:p>
    <w:p w:rsidR="006175A6" w:rsidRDefault="009B4BA7">
      <w:pPr>
        <w:ind w:firstLine="480"/>
      </w:pPr>
      <w:r>
        <w:rPr>
          <w:rFonts w:hint="eastAsia"/>
        </w:rPr>
        <w:t>两河口水库工程建设征地所涉及的榛子乡石柱村一个村</w:t>
      </w:r>
      <w:r>
        <w:rPr>
          <w:rFonts w:hint="eastAsia"/>
        </w:rPr>
        <w:t xml:space="preserve"> 2 </w:t>
      </w:r>
      <w:r>
        <w:rPr>
          <w:rFonts w:hint="eastAsia"/>
        </w:rPr>
        <w:t>个村民小组，全村现有耕地</w:t>
      </w:r>
      <w:r>
        <w:rPr>
          <w:rFonts w:hint="eastAsia"/>
        </w:rPr>
        <w:t xml:space="preserve"> 1175 </w:t>
      </w:r>
      <w:r>
        <w:rPr>
          <w:rFonts w:hint="eastAsia"/>
        </w:rPr>
        <w:t>亩（青龙口组</w:t>
      </w:r>
      <w:r>
        <w:rPr>
          <w:rFonts w:hint="eastAsia"/>
        </w:rPr>
        <w:t xml:space="preserve"> 739 </w:t>
      </w:r>
      <w:r>
        <w:rPr>
          <w:rFonts w:hint="eastAsia"/>
        </w:rPr>
        <w:t>亩，郭家台组</w:t>
      </w:r>
      <w:r>
        <w:rPr>
          <w:rFonts w:hint="eastAsia"/>
        </w:rPr>
        <w:t xml:space="preserve"> 436 </w:t>
      </w:r>
      <w:r>
        <w:rPr>
          <w:rFonts w:hint="eastAsia"/>
        </w:rPr>
        <w:t>亩），农业人口</w:t>
      </w:r>
      <w:r>
        <w:rPr>
          <w:rFonts w:hint="eastAsia"/>
        </w:rPr>
        <w:t xml:space="preserve"> 501 </w:t>
      </w:r>
      <w:r>
        <w:rPr>
          <w:rFonts w:hint="eastAsia"/>
        </w:rPr>
        <w:t>人，人均耕地</w:t>
      </w:r>
      <w:r>
        <w:rPr>
          <w:rFonts w:hint="eastAsia"/>
        </w:rPr>
        <w:t xml:space="preserve"> 2.35 </w:t>
      </w:r>
      <w:r>
        <w:rPr>
          <w:rFonts w:hint="eastAsia"/>
        </w:rPr>
        <w:t>亩，征用耕地</w:t>
      </w:r>
      <w:r>
        <w:rPr>
          <w:rFonts w:hint="eastAsia"/>
        </w:rPr>
        <w:t xml:space="preserve"> 6.2 </w:t>
      </w:r>
      <w:r>
        <w:rPr>
          <w:rFonts w:hint="eastAsia"/>
        </w:rPr>
        <w:t>亩，占现有耕地面积的</w:t>
      </w:r>
      <w:r>
        <w:rPr>
          <w:rFonts w:hint="eastAsia"/>
        </w:rPr>
        <w:t xml:space="preserve"> 0.47%</w:t>
      </w:r>
      <w:r>
        <w:rPr>
          <w:rFonts w:hint="eastAsia"/>
        </w:rPr>
        <w:t>。青龙口组、郭家台组分别征用耕园地</w:t>
      </w:r>
      <w:r>
        <w:rPr>
          <w:rFonts w:hint="eastAsia"/>
        </w:rPr>
        <w:t xml:space="preserve"> 2.0 </w:t>
      </w:r>
      <w:r>
        <w:rPr>
          <w:rFonts w:hint="eastAsia"/>
        </w:rPr>
        <w:t>亩、</w:t>
      </w:r>
      <w:r>
        <w:rPr>
          <w:rFonts w:hint="eastAsia"/>
        </w:rPr>
        <w:t xml:space="preserve">4.2 </w:t>
      </w:r>
      <w:r>
        <w:rPr>
          <w:rFonts w:hint="eastAsia"/>
        </w:rPr>
        <w:t>亩，征用后耕园地分别为</w:t>
      </w:r>
      <w:r>
        <w:rPr>
          <w:rFonts w:hint="eastAsia"/>
        </w:rPr>
        <w:t xml:space="preserve"> 737.0 </w:t>
      </w:r>
      <w:r>
        <w:rPr>
          <w:rFonts w:hint="eastAsia"/>
        </w:rPr>
        <w:t>亩、</w:t>
      </w:r>
      <w:r>
        <w:rPr>
          <w:rFonts w:hint="eastAsia"/>
        </w:rPr>
        <w:t xml:space="preserve">431.8 </w:t>
      </w:r>
      <w:r>
        <w:rPr>
          <w:rFonts w:hint="eastAsia"/>
        </w:rPr>
        <w:t>亩。按安置标准</w:t>
      </w:r>
      <w:r>
        <w:rPr>
          <w:rFonts w:hint="eastAsia"/>
        </w:rPr>
        <w:t xml:space="preserve">2.2 </w:t>
      </w:r>
      <w:r>
        <w:rPr>
          <w:rFonts w:hint="eastAsia"/>
        </w:rPr>
        <w:t>亩</w:t>
      </w:r>
      <w:r>
        <w:rPr>
          <w:rFonts w:hint="eastAsia"/>
        </w:rPr>
        <w:t>/</w:t>
      </w:r>
      <w:r>
        <w:rPr>
          <w:rFonts w:hint="eastAsia"/>
        </w:rPr>
        <w:t>人计算，分别可安置移民</w:t>
      </w:r>
      <w:r>
        <w:rPr>
          <w:rFonts w:hint="eastAsia"/>
        </w:rPr>
        <w:t xml:space="preserve"> 24 </w:t>
      </w:r>
      <w:r>
        <w:rPr>
          <w:rFonts w:hint="eastAsia"/>
        </w:rPr>
        <w:t>人、</w:t>
      </w:r>
      <w:r>
        <w:rPr>
          <w:rFonts w:hint="eastAsia"/>
        </w:rPr>
        <w:t xml:space="preserve">3 </w:t>
      </w:r>
      <w:r>
        <w:rPr>
          <w:rFonts w:hint="eastAsia"/>
        </w:rPr>
        <w:t>人，均大于本组需生产安置人口，环境容量满足，可在本组内调地进行种植业安置。</w:t>
      </w:r>
    </w:p>
    <w:p w:rsidR="006175A6" w:rsidRDefault="009B4BA7">
      <w:pPr>
        <w:ind w:firstLine="480"/>
      </w:pPr>
      <w:r>
        <w:rPr>
          <w:rFonts w:hint="eastAsia"/>
        </w:rPr>
        <w:t>（</w:t>
      </w:r>
      <w:r>
        <w:rPr>
          <w:rFonts w:hint="eastAsia"/>
        </w:rPr>
        <w:t>2</w:t>
      </w:r>
      <w:r>
        <w:rPr>
          <w:rFonts w:hint="eastAsia"/>
        </w:rPr>
        <w:t>）搬迁安置</w:t>
      </w:r>
    </w:p>
    <w:p w:rsidR="006175A6" w:rsidRDefault="009B4BA7">
      <w:pPr>
        <w:ind w:firstLine="480"/>
      </w:pPr>
      <w:r>
        <w:rPr>
          <w:rFonts w:hint="eastAsia"/>
        </w:rPr>
        <w:t>本项目未涉及人口、房屋搬迁，同时根据移民安置规划方案，淹没区及工程建设区移民生产安置均为本组调地就近安置，无淹地不淹房需搬迁人口，因此无搬迁安置人口。</w:t>
      </w:r>
    </w:p>
    <w:p w:rsidR="006175A6" w:rsidRDefault="009B4BA7">
      <w:pPr>
        <w:ind w:firstLine="480"/>
      </w:pPr>
      <w:r>
        <w:rPr>
          <w:rFonts w:hint="eastAsia"/>
        </w:rPr>
        <w:t>（</w:t>
      </w:r>
      <w:r>
        <w:rPr>
          <w:rFonts w:hint="eastAsia"/>
        </w:rPr>
        <w:t>3</w:t>
      </w:r>
      <w:r>
        <w:rPr>
          <w:rFonts w:hint="eastAsia"/>
        </w:rPr>
        <w:t>）交通措施安置</w:t>
      </w:r>
    </w:p>
    <w:p w:rsidR="006175A6" w:rsidRDefault="009B4BA7">
      <w:pPr>
        <w:ind w:firstLine="480"/>
      </w:pPr>
      <w:r>
        <w:rPr>
          <w:rFonts w:hint="eastAsia"/>
        </w:rPr>
        <w:t>水库淹没村级公路</w:t>
      </w:r>
      <w:r>
        <w:rPr>
          <w:rFonts w:hint="eastAsia"/>
        </w:rPr>
        <w:t xml:space="preserve"> 2.0km</w:t>
      </w:r>
      <w:r>
        <w:rPr>
          <w:rFonts w:hint="eastAsia"/>
        </w:rPr>
        <w:t>。根据库区实际情况，水库蓄水后，复建长度</w:t>
      </w:r>
      <w:r>
        <w:rPr>
          <w:rFonts w:hint="eastAsia"/>
        </w:rPr>
        <w:t xml:space="preserve"> 2.0 </w:t>
      </w:r>
      <w:r>
        <w:rPr>
          <w:rFonts w:hint="eastAsia"/>
        </w:rPr>
        <w:t>公里。交通道路建设标准按路基宽</w:t>
      </w:r>
      <w:r>
        <w:rPr>
          <w:rFonts w:hint="eastAsia"/>
        </w:rPr>
        <w:t xml:space="preserve"> 4.0m</w:t>
      </w:r>
      <w:r>
        <w:rPr>
          <w:rFonts w:hint="eastAsia"/>
        </w:rPr>
        <w:t>，结合当地现有交通状况，路面标准采用泥结石路面。</w:t>
      </w:r>
    </w:p>
    <w:p w:rsidR="006175A6" w:rsidRDefault="009B4BA7">
      <w:pPr>
        <w:ind w:firstLine="480"/>
      </w:pPr>
      <w:r>
        <w:rPr>
          <w:rFonts w:hint="eastAsia"/>
        </w:rPr>
        <w:t>（</w:t>
      </w:r>
      <w:r>
        <w:rPr>
          <w:rFonts w:hint="eastAsia"/>
        </w:rPr>
        <w:t>4</w:t>
      </w:r>
      <w:r>
        <w:rPr>
          <w:rFonts w:hint="eastAsia"/>
        </w:rPr>
        <w:t>）电力措施安置</w:t>
      </w:r>
    </w:p>
    <w:p w:rsidR="006175A6" w:rsidRDefault="009B4BA7">
      <w:pPr>
        <w:ind w:firstLine="480"/>
      </w:pPr>
      <w:r>
        <w:rPr>
          <w:rFonts w:hint="eastAsia"/>
        </w:rPr>
        <w:t>水库淹没涉及</w:t>
      </w:r>
      <w:r>
        <w:rPr>
          <w:rFonts w:hint="eastAsia"/>
        </w:rPr>
        <w:t xml:space="preserve"> 10kv </w:t>
      </w:r>
      <w:r>
        <w:rPr>
          <w:rFonts w:hint="eastAsia"/>
        </w:rPr>
        <w:t>输电线路</w:t>
      </w:r>
      <w:r>
        <w:rPr>
          <w:rFonts w:hint="eastAsia"/>
        </w:rPr>
        <w:t xml:space="preserve"> 2.0km</w:t>
      </w:r>
      <w:r>
        <w:rPr>
          <w:rFonts w:hint="eastAsia"/>
        </w:rPr>
        <w:t>。该段输电线路为青龙口电站所有，不需复建。</w:t>
      </w:r>
    </w:p>
    <w:p w:rsidR="006175A6" w:rsidRDefault="009B4BA7">
      <w:pPr>
        <w:ind w:firstLine="480"/>
      </w:pPr>
      <w:r>
        <w:rPr>
          <w:rFonts w:hint="eastAsia"/>
        </w:rPr>
        <w:t>（</w:t>
      </w:r>
      <w:r>
        <w:rPr>
          <w:rFonts w:hint="eastAsia"/>
        </w:rPr>
        <w:t>5</w:t>
      </w:r>
      <w:r>
        <w:rPr>
          <w:rFonts w:hint="eastAsia"/>
        </w:rPr>
        <w:t>）水利设施安置</w:t>
      </w:r>
    </w:p>
    <w:p w:rsidR="006175A6" w:rsidRDefault="009B4BA7">
      <w:pPr>
        <w:ind w:firstLine="480"/>
      </w:pPr>
      <w:r>
        <w:rPr>
          <w:rFonts w:hint="eastAsia"/>
        </w:rPr>
        <w:t>水库建成蓄水后，将淹没青龙口水电站，装机容量</w:t>
      </w:r>
      <w:r>
        <w:rPr>
          <w:rFonts w:hint="eastAsia"/>
        </w:rPr>
        <w:t xml:space="preserve"> 225kw</w:t>
      </w:r>
      <w:r>
        <w:rPr>
          <w:rFonts w:hint="eastAsia"/>
        </w:rPr>
        <w:t>，该电站运行近</w:t>
      </w:r>
      <w:r>
        <w:rPr>
          <w:rFonts w:hint="eastAsia"/>
        </w:rPr>
        <w:t xml:space="preserve"> 40 </w:t>
      </w:r>
      <w:r>
        <w:rPr>
          <w:rFonts w:hint="eastAsia"/>
        </w:rPr>
        <w:t>年，电站厂房及机电设施均已老化，兴山县水利局与电站管理人员协商并签订了青龙口电站淹没赔偿意向性协议，拟定赔偿标准按照单位装机容量</w:t>
      </w:r>
      <w:r>
        <w:rPr>
          <w:rFonts w:hint="eastAsia"/>
        </w:rPr>
        <w:t xml:space="preserve"> 10000 </w:t>
      </w:r>
      <w:r>
        <w:rPr>
          <w:rFonts w:hint="eastAsia"/>
        </w:rPr>
        <w:t>元的</w:t>
      </w:r>
      <w:r>
        <w:rPr>
          <w:rFonts w:hint="eastAsia"/>
        </w:rPr>
        <w:lastRenderedPageBreak/>
        <w:t>标准进行赔偿，经计算青龙口电站的赔偿费用为</w:t>
      </w:r>
      <w:r>
        <w:rPr>
          <w:rFonts w:hint="eastAsia"/>
        </w:rPr>
        <w:t xml:space="preserve"> 225 </w:t>
      </w:r>
      <w:r>
        <w:rPr>
          <w:rFonts w:hint="eastAsia"/>
        </w:rPr>
        <w:t>万元，电站无需复建。</w:t>
      </w:r>
    </w:p>
    <w:p w:rsidR="006175A6" w:rsidRDefault="009B4BA7">
      <w:pPr>
        <w:pStyle w:val="3"/>
      </w:pPr>
      <w:r>
        <w:rPr>
          <w:rFonts w:hint="eastAsia"/>
        </w:rPr>
        <w:t>人群健康影响分析</w:t>
      </w:r>
    </w:p>
    <w:p w:rsidR="006175A6" w:rsidRDefault="009B4BA7">
      <w:pPr>
        <w:ind w:firstLine="480"/>
      </w:pPr>
      <w:r>
        <w:rPr>
          <w:rFonts w:hint="eastAsia"/>
        </w:rPr>
        <w:t>在施工高峰期，工区内将有施工人员</w:t>
      </w:r>
      <w:r>
        <w:rPr>
          <w:rFonts w:hint="eastAsia"/>
        </w:rPr>
        <w:t>300</w:t>
      </w:r>
      <w:r>
        <w:rPr>
          <w:rFonts w:hint="eastAsia"/>
        </w:rPr>
        <w:t>人，施工人员短期内局部聚集，会产生的潜在影响主要有：</w:t>
      </w:r>
    </w:p>
    <w:p w:rsidR="006175A6" w:rsidRDefault="00E97427">
      <w:pPr>
        <w:ind w:firstLine="480"/>
      </w:pPr>
      <w:r>
        <w:rPr>
          <w:rFonts w:hint="eastAsia"/>
        </w:rPr>
        <w:t>（</w:t>
      </w:r>
      <w:r w:rsidR="009B4BA7">
        <w:rPr>
          <w:rFonts w:hint="eastAsia"/>
        </w:rPr>
        <w:t>1</w:t>
      </w:r>
      <w:r>
        <w:rPr>
          <w:rFonts w:hint="eastAsia"/>
        </w:rPr>
        <w:t>）</w:t>
      </w:r>
      <w:r w:rsidR="009B4BA7">
        <w:rPr>
          <w:rFonts w:hint="eastAsia"/>
        </w:rPr>
        <w:t>高强度体力劳动，加上施工区噪声、大气污染，给施工人员身体健康带</w:t>
      </w:r>
      <w:r w:rsidR="009B4BA7">
        <w:rPr>
          <w:rFonts w:hint="eastAsia"/>
        </w:rPr>
        <w:t xml:space="preserve"> </w:t>
      </w:r>
      <w:r w:rsidR="009B4BA7">
        <w:rPr>
          <w:rFonts w:hint="eastAsia"/>
        </w:rPr>
        <w:t>来一定损害，也导致对疾病的抵抗力下降。</w:t>
      </w:r>
    </w:p>
    <w:p w:rsidR="006175A6" w:rsidRDefault="00E97427">
      <w:pPr>
        <w:ind w:firstLine="480"/>
      </w:pPr>
      <w:r>
        <w:rPr>
          <w:rFonts w:hint="eastAsia"/>
        </w:rPr>
        <w:t>（</w:t>
      </w:r>
      <w:r w:rsidR="009B4BA7">
        <w:rPr>
          <w:rFonts w:hint="eastAsia"/>
        </w:rPr>
        <w:t>2</w:t>
      </w:r>
      <w:r>
        <w:rPr>
          <w:rFonts w:hint="eastAsia"/>
        </w:rPr>
        <w:t>）</w:t>
      </w:r>
      <w:r w:rsidR="009B4BA7">
        <w:rPr>
          <w:rFonts w:hint="eastAsia"/>
        </w:rPr>
        <w:t>若生活垃圾、污水不能有效处理，极易给蚊蝇、鼠类滋生和繁殖提供媒</w:t>
      </w:r>
      <w:r w:rsidR="009B4BA7">
        <w:rPr>
          <w:rFonts w:hint="eastAsia"/>
        </w:rPr>
        <w:t xml:space="preserve"> </w:t>
      </w:r>
      <w:r w:rsidR="009B4BA7">
        <w:rPr>
          <w:rFonts w:hint="eastAsia"/>
        </w:rPr>
        <w:t>介，从而可能使一些传染病、皮肤病等发生与流行。</w:t>
      </w:r>
    </w:p>
    <w:p w:rsidR="006175A6" w:rsidRDefault="00E97427">
      <w:pPr>
        <w:ind w:firstLine="480"/>
      </w:pPr>
      <w:r>
        <w:rPr>
          <w:rFonts w:hint="eastAsia"/>
        </w:rPr>
        <w:t>（</w:t>
      </w:r>
      <w:r w:rsidR="009B4BA7">
        <w:rPr>
          <w:rFonts w:hint="eastAsia"/>
        </w:rPr>
        <w:t>3</w:t>
      </w:r>
      <w:r>
        <w:rPr>
          <w:rFonts w:hint="eastAsia"/>
        </w:rPr>
        <w:t>）</w:t>
      </w:r>
      <w:r w:rsidR="009B4BA7">
        <w:rPr>
          <w:rFonts w:hint="eastAsia"/>
        </w:rPr>
        <w:t>施工人员租住民房和旅社时，和当地居民接触较多，增加了传染病传播</w:t>
      </w:r>
      <w:r w:rsidR="009B4BA7">
        <w:rPr>
          <w:rFonts w:hint="eastAsia"/>
        </w:rPr>
        <w:t xml:space="preserve"> </w:t>
      </w:r>
      <w:r w:rsidR="009B4BA7">
        <w:rPr>
          <w:rFonts w:hint="eastAsia"/>
        </w:rPr>
        <w:t>的风险。</w:t>
      </w:r>
    </w:p>
    <w:p w:rsidR="006175A6" w:rsidRDefault="00E97427">
      <w:pPr>
        <w:ind w:firstLine="480"/>
      </w:pPr>
      <w:r>
        <w:rPr>
          <w:rFonts w:hint="eastAsia"/>
        </w:rPr>
        <w:t>（</w:t>
      </w:r>
      <w:r w:rsidR="009B4BA7">
        <w:rPr>
          <w:rFonts w:hint="eastAsia"/>
        </w:rPr>
        <w:t>4</w:t>
      </w:r>
      <w:r>
        <w:rPr>
          <w:rFonts w:hint="eastAsia"/>
        </w:rPr>
        <w:t>）</w:t>
      </w:r>
      <w:r w:rsidR="009B4BA7">
        <w:rPr>
          <w:rFonts w:hint="eastAsia"/>
        </w:rPr>
        <w:t>施工区毒蛇或马蜂等毒虫会对工程施工人员造成威胁。</w:t>
      </w:r>
    </w:p>
    <w:p w:rsidR="006175A6" w:rsidRDefault="009B4BA7">
      <w:pPr>
        <w:ind w:firstLine="480"/>
      </w:pPr>
      <w:r>
        <w:rPr>
          <w:rFonts w:hint="eastAsia"/>
        </w:rPr>
        <w:t>以上情况表明，施工期间需加强劳动保护和疾病防治。</w:t>
      </w:r>
    </w:p>
    <w:p w:rsidR="006175A6" w:rsidRDefault="009B4BA7">
      <w:pPr>
        <w:pStyle w:val="3"/>
      </w:pPr>
      <w:r>
        <w:rPr>
          <w:rFonts w:hint="eastAsia"/>
        </w:rPr>
        <w:t>社会经济和生活质量影响分析</w:t>
      </w:r>
    </w:p>
    <w:p w:rsidR="006175A6" w:rsidRDefault="009B4BA7">
      <w:pPr>
        <w:ind w:firstLine="480"/>
      </w:pPr>
      <w:r>
        <w:rPr>
          <w:rFonts w:hint="eastAsia"/>
        </w:rPr>
        <w:t>两河口水库受水区的供水范围为包括黄粮坪集镇、黄粮工业园、黄粮镇的黄粮坪、金家坝、后山、户溪、界牌垭、石槽溪、店子垭、庙淌坪和水磨溪共</w:t>
      </w:r>
      <w:r>
        <w:rPr>
          <w:rFonts w:hint="eastAsia"/>
        </w:rPr>
        <w:t xml:space="preserve"> 9</w:t>
      </w:r>
      <w:r>
        <w:rPr>
          <w:rFonts w:hint="eastAsia"/>
        </w:rPr>
        <w:t>个村，还包括峡口镇的李家山村、昭君镇的青华村、响龙村及古夫镇的北斗坪村，共计</w:t>
      </w:r>
      <w:r>
        <w:rPr>
          <w:rFonts w:hint="eastAsia"/>
        </w:rPr>
        <w:t xml:space="preserve"> 13 </w:t>
      </w:r>
      <w:r>
        <w:rPr>
          <w:rFonts w:hint="eastAsia"/>
        </w:rPr>
        <w:t>个村；至规划水平年（</w:t>
      </w:r>
      <w:r>
        <w:rPr>
          <w:rFonts w:hint="eastAsia"/>
        </w:rPr>
        <w:t>2030</w:t>
      </w:r>
      <w:r>
        <w:rPr>
          <w:rFonts w:hint="eastAsia"/>
        </w:rPr>
        <w:t>），受水区范围内的设计灌溉面积为</w:t>
      </w:r>
      <w:r>
        <w:rPr>
          <w:rFonts w:hint="eastAsia"/>
        </w:rPr>
        <w:t xml:space="preserve"> 2.8</w:t>
      </w:r>
      <w:r>
        <w:rPr>
          <w:rFonts w:hint="eastAsia"/>
        </w:rPr>
        <w:t>万亩（其中烤烟灌溉面积</w:t>
      </w:r>
      <w:r>
        <w:rPr>
          <w:rFonts w:hint="eastAsia"/>
        </w:rPr>
        <w:t xml:space="preserve"> 1.8 </w:t>
      </w:r>
      <w:r>
        <w:rPr>
          <w:rFonts w:hint="eastAsia"/>
        </w:rPr>
        <w:t>万亩），受水区内供水总人口</w:t>
      </w:r>
      <w:r>
        <w:rPr>
          <w:rFonts w:hint="eastAsia"/>
        </w:rPr>
        <w:t xml:space="preserve"> 3.1 </w:t>
      </w:r>
      <w:r>
        <w:rPr>
          <w:rFonts w:hint="eastAsia"/>
        </w:rPr>
        <w:t>万人。</w:t>
      </w:r>
    </w:p>
    <w:p w:rsidR="006175A6" w:rsidRDefault="009B4BA7">
      <w:pPr>
        <w:ind w:firstLine="480"/>
      </w:pPr>
      <w:r>
        <w:rPr>
          <w:rFonts w:hint="eastAsia"/>
        </w:rPr>
        <w:t>工程建成对于充分利用水能资源的需要，保障下游居民生活用水，促进该地区的工业级社会经济全面发展，提高人民的生活水平，将起到重要作用。工程对社会环境的影响主要包括以下方面：</w:t>
      </w:r>
    </w:p>
    <w:p w:rsidR="006175A6" w:rsidRDefault="00E97427">
      <w:pPr>
        <w:ind w:firstLine="480"/>
      </w:pPr>
      <w:r>
        <w:rPr>
          <w:rFonts w:hint="eastAsia"/>
        </w:rPr>
        <w:t>（</w:t>
      </w:r>
      <w:r w:rsidR="009B4BA7">
        <w:rPr>
          <w:rFonts w:hint="eastAsia"/>
        </w:rPr>
        <w:t>1</w:t>
      </w:r>
      <w:r>
        <w:rPr>
          <w:rFonts w:hint="eastAsia"/>
        </w:rPr>
        <w:t>）</w:t>
      </w:r>
      <w:r w:rsidR="009B4BA7">
        <w:rPr>
          <w:rFonts w:hint="eastAsia"/>
        </w:rPr>
        <w:t>工程建设期间，施工消耗和施工人员生活消费，将为当地农民增加新的就业机会，刺激消费，扩大内需，带动建材、食品、商贸、信息等行业的发展，有利于提高当地居民的生活水平；对环境保护的宣传和普法教育，有利于提高居民法律和环保意识。</w:t>
      </w:r>
    </w:p>
    <w:p w:rsidR="006175A6" w:rsidRDefault="00E97427">
      <w:pPr>
        <w:ind w:firstLine="480"/>
      </w:pPr>
      <w:r>
        <w:rPr>
          <w:rFonts w:hint="eastAsia"/>
        </w:rPr>
        <w:t>（</w:t>
      </w:r>
      <w:r w:rsidR="009B4BA7">
        <w:rPr>
          <w:rFonts w:hint="eastAsia"/>
        </w:rPr>
        <w:t>2</w:t>
      </w:r>
      <w:r>
        <w:rPr>
          <w:rFonts w:hint="eastAsia"/>
        </w:rPr>
        <w:t>）</w:t>
      </w:r>
      <w:r w:rsidR="009B4BA7">
        <w:rPr>
          <w:rFonts w:hint="eastAsia"/>
        </w:rPr>
        <w:t>工程建成后，对黄粮镇生产生活用水提供了有力的保障。</w:t>
      </w:r>
    </w:p>
    <w:p w:rsidR="006175A6" w:rsidRDefault="00E97427">
      <w:pPr>
        <w:ind w:firstLine="480"/>
      </w:pPr>
      <w:r>
        <w:rPr>
          <w:rFonts w:hint="eastAsia"/>
        </w:rPr>
        <w:t>（</w:t>
      </w:r>
      <w:r w:rsidR="009B4BA7">
        <w:rPr>
          <w:rFonts w:hint="eastAsia"/>
        </w:rPr>
        <w:t>3</w:t>
      </w:r>
      <w:r>
        <w:rPr>
          <w:rFonts w:hint="eastAsia"/>
        </w:rPr>
        <w:t>）</w:t>
      </w:r>
      <w:r w:rsidR="009B4BA7">
        <w:rPr>
          <w:rFonts w:hint="eastAsia"/>
        </w:rPr>
        <w:t>工程建设地区地处山区，山青水秀，自然环境优美，水库建成后，自然风景将更加引人入胜，库区的交通条件的改善必将推动服务业的发展，提供给</w:t>
      </w:r>
      <w:r w:rsidR="009B4BA7">
        <w:rPr>
          <w:rFonts w:hint="eastAsia"/>
        </w:rPr>
        <w:lastRenderedPageBreak/>
        <w:t>工程区居民更广泛的就业机会。可见工程的建设对当地的社会影响主要是有利影响，但仍存在一些可能成为不利影响的因素，如移民安置政策和方案不落实导致移民得不到足够补偿或失去生活来源等，都将导致社会不安定现象产生。因此在工程建设中坚持“建设社会主义和谐社会”和“以人为本”的指导思想是保证工程建设区社会稳定和生活质量的根本所在。</w:t>
      </w:r>
    </w:p>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78" w:name="_Toc80170122"/>
      <w:r>
        <w:rPr>
          <w:rFonts w:hint="eastAsia"/>
        </w:rPr>
        <w:lastRenderedPageBreak/>
        <w:t>环境风险分析</w:t>
      </w:r>
      <w:bookmarkEnd w:id="78"/>
    </w:p>
    <w:p w:rsidR="006175A6" w:rsidRDefault="009B4BA7">
      <w:pPr>
        <w:ind w:firstLine="480"/>
      </w:pPr>
      <w:r>
        <w:rPr>
          <w:rFonts w:hint="eastAsia"/>
        </w:rPr>
        <w:t>根据《建设项目环境风险评价技术导则》（</w:t>
      </w:r>
      <w:r>
        <w:rPr>
          <w:rFonts w:hint="eastAsia"/>
        </w:rPr>
        <w:t>HJ169-2018</w:t>
      </w:r>
      <w:r>
        <w:rPr>
          <w:rFonts w:hint="eastAsia"/>
        </w:rPr>
        <w:t>），建设项目环境风险评价是对建设项目建设和运行期间发生的可预测突发性事件或事故（一般不包括人为破坏或自然灾害）引起有毒有害、易燃易爆等物质泄漏，或突发时间产生的新的有毒有害物质，所造成的对人身安全与环境的影响和损害，进行评估，提出防范、应急与减缓措施等。</w:t>
      </w:r>
    </w:p>
    <w:p w:rsidR="006175A6" w:rsidRDefault="009B4BA7">
      <w:pPr>
        <w:ind w:firstLine="480"/>
      </w:pPr>
      <w:r>
        <w:rPr>
          <w:rFonts w:hint="eastAsia"/>
        </w:rPr>
        <w:t>水利水电工程建设对环境的影响主要为非污染生态影响，其营运期基本无“三废”排放，相应环境风险主要为外来风险。本工程施工与运行主要是增加风险发生的概率或加剧风险危害。</w:t>
      </w:r>
    </w:p>
    <w:p w:rsidR="006175A6" w:rsidRDefault="009B4BA7">
      <w:pPr>
        <w:ind w:firstLine="480"/>
      </w:pPr>
      <w:r>
        <w:rPr>
          <w:rFonts w:hint="eastAsia"/>
        </w:rPr>
        <w:t>根据工程及工程区域环境特点，施工期环境风险重点关注炸药、油料等的储运风险；营运期风险主要包括陶家沟水质污染风险和水库溃坝风险。</w:t>
      </w:r>
    </w:p>
    <w:p w:rsidR="006175A6" w:rsidRDefault="009B4BA7">
      <w:pPr>
        <w:pStyle w:val="2"/>
      </w:pPr>
      <w:bookmarkStart w:id="79" w:name="_Toc80170123"/>
      <w:r>
        <w:rPr>
          <w:rFonts w:hint="eastAsia"/>
        </w:rPr>
        <w:t>风险调查</w:t>
      </w:r>
      <w:bookmarkEnd w:id="79"/>
    </w:p>
    <w:p w:rsidR="006175A6" w:rsidRDefault="009B4BA7">
      <w:pPr>
        <w:pStyle w:val="3"/>
      </w:pPr>
      <w:r>
        <w:rPr>
          <w:rFonts w:hint="eastAsia"/>
        </w:rPr>
        <w:t>建设项目风险源调查</w:t>
      </w:r>
    </w:p>
    <w:p w:rsidR="006175A6" w:rsidRDefault="009B4BA7">
      <w:pPr>
        <w:ind w:firstLine="482"/>
        <w:rPr>
          <w:b/>
        </w:rPr>
      </w:pPr>
      <w:r>
        <w:rPr>
          <w:rFonts w:hint="eastAsia"/>
          <w:b/>
        </w:rPr>
        <w:t>1</w:t>
      </w:r>
      <w:r>
        <w:rPr>
          <w:rFonts w:hint="eastAsia"/>
          <w:b/>
        </w:rPr>
        <w:t>、危险物质数量和分布情况</w:t>
      </w:r>
    </w:p>
    <w:p w:rsidR="006175A6" w:rsidRDefault="009B4BA7">
      <w:pPr>
        <w:ind w:firstLine="480"/>
      </w:pPr>
      <w:r>
        <w:rPr>
          <w:rFonts w:hint="eastAsia"/>
        </w:rPr>
        <w:t>根据《危险化学品名录》及《建设项目环境风险评价技术导则》（</w:t>
      </w:r>
      <w:r>
        <w:rPr>
          <w:rFonts w:hint="eastAsia"/>
        </w:rPr>
        <w:t>HJ169-2018</w:t>
      </w:r>
      <w:r>
        <w:rPr>
          <w:rFonts w:hint="eastAsia"/>
        </w:rPr>
        <w:t>），</w:t>
      </w:r>
      <w:r>
        <w:rPr>
          <w:rFonts w:hint="eastAsia"/>
        </w:rPr>
        <w:t xml:space="preserve"> </w:t>
      </w:r>
      <w:r>
        <w:rPr>
          <w:rFonts w:hint="eastAsia"/>
        </w:rPr>
        <w:t>项目涉及的环境风险物质如下表所示：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企业涉及的环境风险物质调查</w:t>
      </w:r>
      <w:r>
        <w:rPr>
          <w:rFonts w:hint="eastAsia"/>
        </w:rPr>
        <w:tab/>
        <w:t xml:space="preserve">  </w:t>
      </w:r>
      <w:r>
        <w:rPr>
          <w:rFonts w:hint="eastAsia"/>
        </w:rPr>
        <w:t>单位：</w:t>
      </w:r>
      <w:r>
        <w:rPr>
          <w:rFonts w:hint="eastAsia"/>
        </w:rPr>
        <w:t>t</w:t>
      </w:r>
    </w:p>
    <w:tbl>
      <w:tblPr>
        <w:tblStyle w:val="TableNormal"/>
        <w:tblW w:w="502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333"/>
        <w:gridCol w:w="1489"/>
        <w:gridCol w:w="1521"/>
        <w:gridCol w:w="2031"/>
        <w:gridCol w:w="1214"/>
      </w:tblGrid>
      <w:tr w:rsidR="006175A6">
        <w:trPr>
          <w:trHeight w:val="340"/>
        </w:trPr>
        <w:tc>
          <w:tcPr>
            <w:tcW w:w="464" w:type="pct"/>
          </w:tcPr>
          <w:p w:rsidR="006175A6" w:rsidRDefault="009B4BA7">
            <w:pPr>
              <w:pStyle w:val="TableParagraph"/>
              <w:rPr>
                <w:rFonts w:cs="Times New Roman"/>
                <w:sz w:val="21"/>
                <w:szCs w:val="21"/>
              </w:rPr>
            </w:pPr>
            <w:r>
              <w:rPr>
                <w:rFonts w:cs="Times New Roman" w:hint="eastAsia"/>
                <w:sz w:val="21"/>
                <w:szCs w:val="21"/>
              </w:rPr>
              <w:t>序号</w:t>
            </w:r>
          </w:p>
        </w:tc>
        <w:tc>
          <w:tcPr>
            <w:tcW w:w="797" w:type="pct"/>
          </w:tcPr>
          <w:p w:rsidR="006175A6" w:rsidRDefault="009B4BA7">
            <w:pPr>
              <w:pStyle w:val="TableParagraph"/>
              <w:rPr>
                <w:rFonts w:cs="Times New Roman"/>
                <w:sz w:val="21"/>
                <w:szCs w:val="21"/>
              </w:rPr>
            </w:pPr>
            <w:r>
              <w:rPr>
                <w:rFonts w:cs="Times New Roman" w:hint="eastAsia"/>
                <w:sz w:val="21"/>
                <w:szCs w:val="21"/>
              </w:rPr>
              <w:t>物料名称</w:t>
            </w:r>
          </w:p>
        </w:tc>
        <w:tc>
          <w:tcPr>
            <w:tcW w:w="890" w:type="pct"/>
          </w:tcPr>
          <w:p w:rsidR="006175A6" w:rsidRDefault="009B4BA7">
            <w:pPr>
              <w:pStyle w:val="TableParagraph"/>
              <w:rPr>
                <w:rFonts w:cs="Times New Roman"/>
                <w:sz w:val="21"/>
                <w:szCs w:val="21"/>
              </w:rPr>
            </w:pPr>
            <w:r>
              <w:rPr>
                <w:rFonts w:cs="Times New Roman" w:hint="eastAsia"/>
                <w:sz w:val="21"/>
                <w:szCs w:val="21"/>
              </w:rPr>
              <w:t>最大储量</w:t>
            </w:r>
          </w:p>
        </w:tc>
        <w:tc>
          <w:tcPr>
            <w:tcW w:w="909" w:type="pct"/>
          </w:tcPr>
          <w:p w:rsidR="006175A6" w:rsidRDefault="009B4BA7">
            <w:pPr>
              <w:pStyle w:val="TableParagraph"/>
              <w:rPr>
                <w:rFonts w:cs="Times New Roman"/>
                <w:sz w:val="21"/>
                <w:szCs w:val="21"/>
              </w:rPr>
            </w:pPr>
            <w:r>
              <w:rPr>
                <w:rFonts w:cs="Times New Roman" w:hint="eastAsia"/>
                <w:sz w:val="21"/>
                <w:szCs w:val="21"/>
              </w:rPr>
              <w:t>储存位置</w:t>
            </w:r>
          </w:p>
        </w:tc>
        <w:tc>
          <w:tcPr>
            <w:tcW w:w="1214" w:type="pct"/>
          </w:tcPr>
          <w:p w:rsidR="006175A6" w:rsidRDefault="009B4BA7">
            <w:pPr>
              <w:pStyle w:val="TableParagraph"/>
              <w:rPr>
                <w:rFonts w:cs="Times New Roman"/>
                <w:sz w:val="21"/>
                <w:szCs w:val="21"/>
              </w:rPr>
            </w:pPr>
            <w:r>
              <w:rPr>
                <w:rFonts w:cs="Times New Roman" w:hint="eastAsia"/>
                <w:sz w:val="21"/>
                <w:szCs w:val="21"/>
              </w:rPr>
              <w:t>毒性毒理</w:t>
            </w:r>
          </w:p>
        </w:tc>
        <w:tc>
          <w:tcPr>
            <w:tcW w:w="726" w:type="pct"/>
          </w:tcPr>
          <w:p w:rsidR="006175A6" w:rsidRDefault="009B4BA7">
            <w:pPr>
              <w:pStyle w:val="TableParagraph"/>
              <w:rPr>
                <w:rFonts w:cs="Times New Roman"/>
                <w:sz w:val="21"/>
                <w:szCs w:val="21"/>
              </w:rPr>
            </w:pPr>
            <w:r>
              <w:rPr>
                <w:rFonts w:cs="Times New Roman" w:hint="eastAsia"/>
                <w:sz w:val="21"/>
                <w:szCs w:val="21"/>
              </w:rPr>
              <w:t>危险特性</w:t>
            </w:r>
          </w:p>
        </w:tc>
      </w:tr>
      <w:tr w:rsidR="006175A6">
        <w:trPr>
          <w:trHeight w:val="340"/>
        </w:trPr>
        <w:tc>
          <w:tcPr>
            <w:tcW w:w="464" w:type="pct"/>
          </w:tcPr>
          <w:p w:rsidR="006175A6" w:rsidRDefault="009B4BA7">
            <w:pPr>
              <w:pStyle w:val="TableParagraph"/>
              <w:rPr>
                <w:rFonts w:ascii="Times New Roman"/>
                <w:sz w:val="21"/>
                <w:szCs w:val="21"/>
              </w:rPr>
            </w:pPr>
            <w:r>
              <w:rPr>
                <w:rFonts w:ascii="Times New Roman"/>
                <w:sz w:val="21"/>
                <w:szCs w:val="21"/>
              </w:rPr>
              <w:t>1</w:t>
            </w:r>
          </w:p>
        </w:tc>
        <w:tc>
          <w:tcPr>
            <w:tcW w:w="797" w:type="pct"/>
          </w:tcPr>
          <w:p w:rsidR="006175A6" w:rsidRDefault="009B4BA7">
            <w:pPr>
              <w:pStyle w:val="TableParagraph"/>
              <w:rPr>
                <w:rFonts w:cs="Times New Roman"/>
                <w:sz w:val="21"/>
                <w:szCs w:val="21"/>
              </w:rPr>
            </w:pPr>
            <w:r>
              <w:rPr>
                <w:rFonts w:cs="Times New Roman" w:hint="eastAsia"/>
                <w:sz w:val="21"/>
                <w:szCs w:val="21"/>
              </w:rPr>
              <w:t>柴油</w:t>
            </w:r>
          </w:p>
        </w:tc>
        <w:tc>
          <w:tcPr>
            <w:tcW w:w="890" w:type="pct"/>
          </w:tcPr>
          <w:p w:rsidR="006175A6" w:rsidRDefault="009B4BA7">
            <w:pPr>
              <w:pStyle w:val="TableParagraph"/>
              <w:rPr>
                <w:rFonts w:ascii="Times New Roman"/>
                <w:sz w:val="21"/>
                <w:szCs w:val="21"/>
                <w:lang w:eastAsia="zh-CN"/>
              </w:rPr>
            </w:pPr>
            <w:r>
              <w:rPr>
                <w:rFonts w:ascii="Times New Roman" w:hint="eastAsia"/>
                <w:sz w:val="21"/>
                <w:szCs w:val="21"/>
                <w:lang w:eastAsia="zh-CN"/>
              </w:rPr>
              <w:t>10</w:t>
            </w:r>
          </w:p>
        </w:tc>
        <w:tc>
          <w:tcPr>
            <w:tcW w:w="909" w:type="pct"/>
          </w:tcPr>
          <w:p w:rsidR="006175A6" w:rsidRDefault="009B4BA7">
            <w:pPr>
              <w:pStyle w:val="TableParagraph"/>
              <w:rPr>
                <w:rFonts w:cs="Times New Roman"/>
                <w:sz w:val="21"/>
                <w:szCs w:val="21"/>
              </w:rPr>
            </w:pPr>
            <w:r>
              <w:rPr>
                <w:rFonts w:cs="Times New Roman" w:hint="eastAsia"/>
                <w:sz w:val="21"/>
                <w:szCs w:val="21"/>
              </w:rPr>
              <w:t>储罐</w:t>
            </w:r>
          </w:p>
        </w:tc>
        <w:tc>
          <w:tcPr>
            <w:tcW w:w="1214" w:type="pct"/>
          </w:tcPr>
          <w:p w:rsidR="006175A6" w:rsidRDefault="009B4BA7">
            <w:pPr>
              <w:pStyle w:val="TableParagraph"/>
              <w:rPr>
                <w:rFonts w:ascii="Times New Roman"/>
                <w:sz w:val="21"/>
                <w:szCs w:val="21"/>
              </w:rPr>
            </w:pPr>
            <w:r>
              <w:rPr>
                <w:rFonts w:ascii="Times New Roman"/>
                <w:sz w:val="21"/>
                <w:szCs w:val="21"/>
              </w:rPr>
              <w:t>/</w:t>
            </w:r>
          </w:p>
        </w:tc>
        <w:tc>
          <w:tcPr>
            <w:tcW w:w="726" w:type="pct"/>
          </w:tcPr>
          <w:p w:rsidR="006175A6" w:rsidRDefault="009B4BA7">
            <w:pPr>
              <w:pStyle w:val="TableParagraph"/>
              <w:rPr>
                <w:rFonts w:cs="Times New Roman"/>
                <w:sz w:val="21"/>
                <w:szCs w:val="21"/>
              </w:rPr>
            </w:pPr>
            <w:r>
              <w:rPr>
                <w:rFonts w:cs="Times New Roman" w:hint="eastAsia"/>
                <w:sz w:val="21"/>
                <w:szCs w:val="21"/>
              </w:rPr>
              <w:t>易燃</w:t>
            </w:r>
          </w:p>
        </w:tc>
      </w:tr>
      <w:tr w:rsidR="006175A6">
        <w:trPr>
          <w:trHeight w:val="340"/>
        </w:trPr>
        <w:tc>
          <w:tcPr>
            <w:tcW w:w="464" w:type="pct"/>
          </w:tcPr>
          <w:p w:rsidR="006175A6" w:rsidRDefault="009B4BA7">
            <w:pPr>
              <w:pStyle w:val="TableParagraph"/>
              <w:rPr>
                <w:rFonts w:ascii="Times New Roman"/>
                <w:sz w:val="21"/>
                <w:szCs w:val="21"/>
              </w:rPr>
            </w:pPr>
            <w:r>
              <w:rPr>
                <w:rFonts w:ascii="Times New Roman"/>
                <w:sz w:val="21"/>
                <w:szCs w:val="21"/>
              </w:rPr>
              <w:t>2</w:t>
            </w:r>
          </w:p>
        </w:tc>
        <w:tc>
          <w:tcPr>
            <w:tcW w:w="797" w:type="pct"/>
          </w:tcPr>
          <w:p w:rsidR="006175A6" w:rsidRDefault="009B4BA7">
            <w:pPr>
              <w:pStyle w:val="TableParagraph"/>
              <w:rPr>
                <w:rFonts w:cs="Times New Roman"/>
                <w:sz w:val="21"/>
                <w:szCs w:val="21"/>
              </w:rPr>
            </w:pPr>
            <w:r>
              <w:rPr>
                <w:rFonts w:cs="Times New Roman" w:hint="eastAsia"/>
                <w:sz w:val="21"/>
                <w:szCs w:val="21"/>
              </w:rPr>
              <w:t>汽油</w:t>
            </w:r>
          </w:p>
        </w:tc>
        <w:tc>
          <w:tcPr>
            <w:tcW w:w="890" w:type="pct"/>
          </w:tcPr>
          <w:p w:rsidR="006175A6" w:rsidRDefault="009B4BA7">
            <w:pPr>
              <w:pStyle w:val="TableParagraph"/>
              <w:rPr>
                <w:rFonts w:ascii="Times New Roman"/>
                <w:sz w:val="21"/>
                <w:szCs w:val="21"/>
              </w:rPr>
            </w:pPr>
            <w:r>
              <w:rPr>
                <w:rFonts w:ascii="Times New Roman"/>
                <w:sz w:val="21"/>
                <w:szCs w:val="21"/>
              </w:rPr>
              <w:t>10</w:t>
            </w:r>
          </w:p>
        </w:tc>
        <w:tc>
          <w:tcPr>
            <w:tcW w:w="909" w:type="pct"/>
          </w:tcPr>
          <w:p w:rsidR="006175A6" w:rsidRDefault="009B4BA7">
            <w:pPr>
              <w:pStyle w:val="TableParagraph"/>
              <w:rPr>
                <w:rFonts w:cs="Times New Roman"/>
                <w:sz w:val="21"/>
                <w:szCs w:val="21"/>
              </w:rPr>
            </w:pPr>
            <w:r>
              <w:rPr>
                <w:rFonts w:cs="Times New Roman" w:hint="eastAsia"/>
                <w:sz w:val="21"/>
                <w:szCs w:val="21"/>
              </w:rPr>
              <w:t>储罐</w:t>
            </w:r>
          </w:p>
        </w:tc>
        <w:tc>
          <w:tcPr>
            <w:tcW w:w="1214" w:type="pct"/>
          </w:tcPr>
          <w:p w:rsidR="006175A6" w:rsidRDefault="009B4BA7">
            <w:pPr>
              <w:pStyle w:val="TableParagraph"/>
              <w:rPr>
                <w:rFonts w:ascii="Times New Roman"/>
                <w:sz w:val="21"/>
                <w:szCs w:val="21"/>
              </w:rPr>
            </w:pPr>
            <w:r>
              <w:rPr>
                <w:rFonts w:ascii="Times New Roman"/>
                <w:sz w:val="21"/>
                <w:szCs w:val="21"/>
              </w:rPr>
              <w:t>/</w:t>
            </w:r>
          </w:p>
        </w:tc>
        <w:tc>
          <w:tcPr>
            <w:tcW w:w="726" w:type="pct"/>
          </w:tcPr>
          <w:p w:rsidR="006175A6" w:rsidRDefault="009B4BA7">
            <w:pPr>
              <w:pStyle w:val="TableParagraph"/>
              <w:rPr>
                <w:rFonts w:cs="Times New Roman"/>
                <w:sz w:val="21"/>
                <w:szCs w:val="21"/>
              </w:rPr>
            </w:pPr>
            <w:r>
              <w:rPr>
                <w:rFonts w:cs="Times New Roman" w:hint="eastAsia"/>
                <w:sz w:val="21"/>
                <w:szCs w:val="21"/>
              </w:rPr>
              <w:t>易燃</w:t>
            </w:r>
          </w:p>
        </w:tc>
      </w:tr>
    </w:tbl>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汽油</w:t>
      </w:r>
      <w:r>
        <w:rPr>
          <w:rFonts w:hint="eastAsia"/>
        </w:rPr>
        <w:t>MSDS</w:t>
      </w:r>
    </w:p>
    <w:tbl>
      <w:tblPr>
        <w:tblW w:w="4887"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2500"/>
        <w:gridCol w:w="663"/>
        <w:gridCol w:w="40"/>
        <w:gridCol w:w="1573"/>
        <w:gridCol w:w="838"/>
        <w:gridCol w:w="2289"/>
      </w:tblGrid>
      <w:tr w:rsidR="006175A6">
        <w:trPr>
          <w:cantSplit/>
          <w:trHeight w:val="340"/>
        </w:trPr>
        <w:tc>
          <w:tcPr>
            <w:tcW w:w="256" w:type="pct"/>
            <w:vMerge w:val="restar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标识</w:t>
            </w:r>
          </w:p>
        </w:tc>
        <w:tc>
          <w:tcPr>
            <w:tcW w:w="1923"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中文名：汽油</w:t>
            </w:r>
          </w:p>
        </w:tc>
        <w:tc>
          <w:tcPr>
            <w:tcW w:w="2821"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英文名：</w:t>
            </w:r>
            <w:r>
              <w:rPr>
                <w:sz w:val="21"/>
              </w:rPr>
              <w:t xml:space="preserve"> gasoline</w:t>
            </w:r>
            <w:r>
              <w:rPr>
                <w:sz w:val="21"/>
              </w:rPr>
              <w:t>；</w:t>
            </w:r>
            <w:r>
              <w:rPr>
                <w:sz w:val="21"/>
              </w:rPr>
              <w:t>petrol</w:t>
            </w:r>
          </w:p>
        </w:tc>
      </w:tr>
      <w:tr w:rsidR="006175A6">
        <w:trPr>
          <w:cantSplit/>
          <w:trHeight w:val="340"/>
        </w:trPr>
        <w:tc>
          <w:tcPr>
            <w:tcW w:w="256" w:type="pct"/>
            <w:vMerge/>
            <w:tcBorders>
              <w:top w:val="single" w:sz="4" w:space="0" w:color="auto"/>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923"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分子式：</w:t>
            </w:r>
          </w:p>
        </w:tc>
        <w:tc>
          <w:tcPr>
            <w:tcW w:w="144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分子量：</w:t>
            </w:r>
          </w:p>
        </w:tc>
        <w:tc>
          <w:tcPr>
            <w:tcW w:w="1374"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CAS</w:t>
            </w:r>
            <w:r>
              <w:rPr>
                <w:sz w:val="21"/>
              </w:rPr>
              <w:t>号：</w:t>
            </w:r>
            <w:r>
              <w:rPr>
                <w:sz w:val="21"/>
              </w:rPr>
              <w:t>8006</w:t>
            </w:r>
            <w:r>
              <w:rPr>
                <w:sz w:val="21"/>
              </w:rPr>
              <w:t>－</w:t>
            </w:r>
            <w:r>
              <w:rPr>
                <w:sz w:val="21"/>
              </w:rPr>
              <w:t>61</w:t>
            </w:r>
            <w:r>
              <w:rPr>
                <w:sz w:val="21"/>
              </w:rPr>
              <w:t>－</w:t>
            </w:r>
            <w:r>
              <w:rPr>
                <w:sz w:val="21"/>
              </w:rPr>
              <w:t>9</w:t>
            </w:r>
          </w:p>
        </w:tc>
      </w:tr>
      <w:tr w:rsidR="006175A6">
        <w:trPr>
          <w:cantSplit/>
          <w:trHeight w:val="340"/>
        </w:trPr>
        <w:tc>
          <w:tcPr>
            <w:tcW w:w="256" w:type="pct"/>
            <w:vMerge/>
            <w:tcBorders>
              <w:top w:val="single" w:sz="4" w:space="0" w:color="auto"/>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危规号：</w:t>
            </w:r>
            <w:r>
              <w:rPr>
                <w:sz w:val="21"/>
              </w:rPr>
              <w:t>31001</w:t>
            </w:r>
          </w:p>
        </w:tc>
      </w:tr>
      <w:tr w:rsidR="006175A6">
        <w:trPr>
          <w:cantSplit/>
          <w:trHeight w:val="340"/>
        </w:trPr>
        <w:tc>
          <w:tcPr>
            <w:tcW w:w="256" w:type="pct"/>
            <w:vMerge w:val="restart"/>
            <w:tcBorders>
              <w:top w:val="nil"/>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理化性质</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性状：无色或淡黄色易挥发液体，具有特殊臭味。</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溶解性：不溶于水，易溶于苯、二硫化碳、醇、脂肪。</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501"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熔点（</w:t>
            </w:r>
            <w:r>
              <w:rPr>
                <w:rFonts w:ascii="宋体" w:hAnsi="宋体" w:cs="宋体" w:hint="eastAsia"/>
                <w:sz w:val="21"/>
              </w:rPr>
              <w:t>℃</w:t>
            </w:r>
            <w:r>
              <w:rPr>
                <w:sz w:val="21"/>
              </w:rPr>
              <w:t>）：＜－</w:t>
            </w:r>
            <w:r>
              <w:rPr>
                <w:sz w:val="21"/>
              </w:rPr>
              <w:t>60</w:t>
            </w:r>
          </w:p>
        </w:tc>
        <w:tc>
          <w:tcPr>
            <w:tcW w:w="1366"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沸点（</w:t>
            </w:r>
            <w:r>
              <w:rPr>
                <w:rFonts w:ascii="宋体" w:hAnsi="宋体" w:cs="宋体" w:hint="eastAsia"/>
                <w:sz w:val="21"/>
              </w:rPr>
              <w:t>℃</w:t>
            </w:r>
            <w:r>
              <w:rPr>
                <w:sz w:val="21"/>
              </w:rPr>
              <w:t>）：</w:t>
            </w:r>
            <w:r>
              <w:rPr>
                <w:sz w:val="21"/>
              </w:rPr>
              <w:t>40</w:t>
            </w:r>
            <w:r>
              <w:rPr>
                <w:sz w:val="21"/>
              </w:rPr>
              <w:t>～</w:t>
            </w:r>
            <w:r>
              <w:rPr>
                <w:sz w:val="21"/>
              </w:rPr>
              <w:t>200</w:t>
            </w:r>
          </w:p>
        </w:tc>
        <w:tc>
          <w:tcPr>
            <w:tcW w:w="18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相对密度（水＝</w:t>
            </w:r>
            <w:r>
              <w:rPr>
                <w:sz w:val="21"/>
              </w:rPr>
              <w:t>1</w:t>
            </w:r>
            <w:r>
              <w:rPr>
                <w:sz w:val="21"/>
              </w:rPr>
              <w:t>）：</w:t>
            </w:r>
            <w:r>
              <w:rPr>
                <w:sz w:val="21"/>
              </w:rPr>
              <w:t>0.70</w:t>
            </w:r>
            <w:r>
              <w:rPr>
                <w:sz w:val="21"/>
              </w:rPr>
              <w:t>～</w:t>
            </w:r>
            <w:r>
              <w:rPr>
                <w:sz w:val="21"/>
              </w:rPr>
              <w:t>0. 79</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501"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临界温度（</w:t>
            </w:r>
            <w:r>
              <w:rPr>
                <w:rFonts w:ascii="宋体" w:hAnsi="宋体" w:cs="宋体" w:hint="eastAsia"/>
                <w:sz w:val="21"/>
              </w:rPr>
              <w:t>℃</w:t>
            </w:r>
            <w:r>
              <w:rPr>
                <w:sz w:val="21"/>
              </w:rPr>
              <w:t>）：</w:t>
            </w:r>
            <w:r>
              <w:rPr>
                <w:sz w:val="21"/>
              </w:rPr>
              <w:t xml:space="preserve">  </w:t>
            </w:r>
          </w:p>
        </w:tc>
        <w:tc>
          <w:tcPr>
            <w:tcW w:w="1366"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临界压力（</w:t>
            </w:r>
            <w:r>
              <w:rPr>
                <w:sz w:val="21"/>
              </w:rPr>
              <w:t>MPa</w:t>
            </w:r>
            <w:r>
              <w:rPr>
                <w:sz w:val="21"/>
              </w:rPr>
              <w:t>）：</w:t>
            </w:r>
            <w:r>
              <w:rPr>
                <w:sz w:val="21"/>
              </w:rPr>
              <w:t xml:space="preserve">  </w:t>
            </w:r>
          </w:p>
        </w:tc>
        <w:tc>
          <w:tcPr>
            <w:tcW w:w="18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相对密度（空气＝</w:t>
            </w:r>
            <w:r>
              <w:rPr>
                <w:sz w:val="21"/>
              </w:rPr>
              <w:t>1</w:t>
            </w:r>
            <w:r>
              <w:rPr>
                <w:sz w:val="21"/>
              </w:rPr>
              <w:t>）：</w:t>
            </w:r>
            <w:r>
              <w:rPr>
                <w:sz w:val="21"/>
              </w:rPr>
              <w:t xml:space="preserve">3.5 </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501"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燃烧热（</w:t>
            </w:r>
            <w:r>
              <w:rPr>
                <w:sz w:val="21"/>
              </w:rPr>
              <w:t>KJ/mol</w:t>
            </w:r>
            <w:r>
              <w:rPr>
                <w:sz w:val="21"/>
              </w:rPr>
              <w:t>）：</w:t>
            </w:r>
          </w:p>
        </w:tc>
        <w:tc>
          <w:tcPr>
            <w:tcW w:w="1366"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最小点火能（</w:t>
            </w:r>
            <w:r>
              <w:rPr>
                <w:sz w:val="21"/>
              </w:rPr>
              <w:t>mJ</w:t>
            </w:r>
            <w:r>
              <w:rPr>
                <w:sz w:val="21"/>
              </w:rPr>
              <w:t>）：</w:t>
            </w:r>
          </w:p>
        </w:tc>
        <w:tc>
          <w:tcPr>
            <w:tcW w:w="18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饱和蒸汽压（</w:t>
            </w:r>
            <w:r>
              <w:rPr>
                <w:sz w:val="21"/>
              </w:rPr>
              <w:t>Pa</w:t>
            </w:r>
            <w:r>
              <w:rPr>
                <w:sz w:val="21"/>
              </w:rPr>
              <w:t>）：</w:t>
            </w:r>
            <w:r>
              <w:rPr>
                <w:sz w:val="21"/>
              </w:rPr>
              <w:t> </w:t>
            </w:r>
          </w:p>
        </w:tc>
      </w:tr>
      <w:tr w:rsidR="006175A6">
        <w:trPr>
          <w:cantSplit/>
          <w:trHeight w:val="340"/>
        </w:trPr>
        <w:tc>
          <w:tcPr>
            <w:tcW w:w="256" w:type="pct"/>
            <w:vMerge w:val="restart"/>
            <w:tcBorders>
              <w:top w:val="nil"/>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燃</w:t>
            </w:r>
            <w:r>
              <w:rPr>
                <w:sz w:val="21"/>
              </w:rPr>
              <w:lastRenderedPageBreak/>
              <w:t>烧爆炸危险性</w:t>
            </w:r>
          </w:p>
        </w:tc>
        <w:tc>
          <w:tcPr>
            <w:tcW w:w="1899"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lastRenderedPageBreak/>
              <w:t>燃烧性：</w:t>
            </w:r>
            <w:r>
              <w:rPr>
                <w:sz w:val="21"/>
              </w:rPr>
              <w:t xml:space="preserve">  </w:t>
            </w:r>
            <w:r>
              <w:rPr>
                <w:sz w:val="21"/>
              </w:rPr>
              <w:t>易燃</w:t>
            </w:r>
          </w:p>
        </w:tc>
        <w:tc>
          <w:tcPr>
            <w:tcW w:w="2845"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燃烧分解产物：一氧化碳、二氧化碳。</w:t>
            </w:r>
            <w:r>
              <w:rPr>
                <w:sz w:val="21"/>
              </w:rPr>
              <w:t> </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899"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闪点（</w:t>
            </w:r>
            <w:r>
              <w:rPr>
                <w:rFonts w:ascii="宋体" w:hAnsi="宋体" w:cs="宋体" w:hint="eastAsia"/>
                <w:sz w:val="21"/>
              </w:rPr>
              <w:t>℃</w:t>
            </w:r>
            <w:r>
              <w:rPr>
                <w:sz w:val="21"/>
              </w:rPr>
              <w:t>）：－</w:t>
            </w:r>
            <w:r>
              <w:rPr>
                <w:sz w:val="21"/>
              </w:rPr>
              <w:t xml:space="preserve">50 </w:t>
            </w:r>
          </w:p>
        </w:tc>
        <w:tc>
          <w:tcPr>
            <w:tcW w:w="2845"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聚合危害：</w:t>
            </w:r>
            <w:r>
              <w:rPr>
                <w:sz w:val="21"/>
              </w:rPr>
              <w:t> </w:t>
            </w:r>
            <w:r>
              <w:rPr>
                <w:sz w:val="21"/>
              </w:rPr>
              <w:t>不聚合</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899"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爆炸下限（％）：</w:t>
            </w:r>
            <w:r>
              <w:rPr>
                <w:sz w:val="21"/>
              </w:rPr>
              <w:t xml:space="preserve">1.3 </w:t>
            </w:r>
          </w:p>
        </w:tc>
        <w:tc>
          <w:tcPr>
            <w:tcW w:w="2845"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稳定性：</w:t>
            </w:r>
            <w:r>
              <w:rPr>
                <w:sz w:val="21"/>
              </w:rPr>
              <w:t> </w:t>
            </w:r>
            <w:r>
              <w:rPr>
                <w:sz w:val="21"/>
              </w:rPr>
              <w:t>稳定</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899"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爆炸上限（％）：</w:t>
            </w:r>
            <w:r>
              <w:rPr>
                <w:sz w:val="21"/>
              </w:rPr>
              <w:t xml:space="preserve"> 6.0</w:t>
            </w:r>
          </w:p>
        </w:tc>
        <w:tc>
          <w:tcPr>
            <w:tcW w:w="2845"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最大爆炸压力（</w:t>
            </w:r>
            <w:r>
              <w:rPr>
                <w:sz w:val="21"/>
              </w:rPr>
              <w:t>MPa</w:t>
            </w:r>
            <w:r>
              <w:rPr>
                <w:sz w:val="21"/>
              </w:rPr>
              <w:t>）：</w:t>
            </w:r>
            <w:r>
              <w:rPr>
                <w:sz w:val="21"/>
              </w:rPr>
              <w:t> </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899"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引燃温度（</w:t>
            </w:r>
            <w:r>
              <w:rPr>
                <w:rFonts w:ascii="宋体" w:hAnsi="宋体" w:cs="宋体" w:hint="eastAsia"/>
                <w:sz w:val="21"/>
              </w:rPr>
              <w:t>℃</w:t>
            </w:r>
            <w:r>
              <w:rPr>
                <w:sz w:val="21"/>
              </w:rPr>
              <w:t>）：</w:t>
            </w:r>
            <w:r>
              <w:rPr>
                <w:sz w:val="21"/>
              </w:rPr>
              <w:t>415</w:t>
            </w:r>
            <w:r>
              <w:rPr>
                <w:sz w:val="21"/>
              </w:rPr>
              <w:t>～</w:t>
            </w:r>
            <w:r>
              <w:rPr>
                <w:sz w:val="21"/>
              </w:rPr>
              <w:t>530</w:t>
            </w:r>
          </w:p>
        </w:tc>
        <w:tc>
          <w:tcPr>
            <w:tcW w:w="2845"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禁忌物：</w:t>
            </w:r>
            <w:r>
              <w:rPr>
                <w:sz w:val="21"/>
              </w:rPr>
              <w:t> </w:t>
            </w:r>
            <w:r>
              <w:rPr>
                <w:sz w:val="21"/>
              </w:rPr>
              <w:t>强氧化剂</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危险特性：</w:t>
            </w:r>
            <w:r>
              <w:rPr>
                <w:sz w:val="21"/>
              </w:rPr>
              <w:t> </w:t>
            </w:r>
            <w:r>
              <w:rPr>
                <w:sz w:val="21"/>
              </w:rPr>
              <w:t>其蒸气与空气可形成爆炸性混合物。遇明火、高热极易燃烧爆炸。与氧化剂能发生强烈反应。其蒸气比空气重，能在较低处扩散到相当远的地方，遇明火会引起回燃。</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pacing w:val="-4"/>
                <w:sz w:val="21"/>
              </w:rPr>
            </w:pPr>
            <w:r>
              <w:rPr>
                <w:spacing w:val="-4"/>
                <w:sz w:val="21"/>
              </w:rPr>
              <w:t>灭火方法：喷水冷却容器，可能的话将容器从火场移至空旷处。</w:t>
            </w:r>
          </w:p>
          <w:p w:rsidR="006175A6" w:rsidRDefault="009B4BA7">
            <w:pPr>
              <w:spacing w:line="240" w:lineRule="auto"/>
              <w:ind w:firstLineChars="0" w:firstLine="0"/>
              <w:rPr>
                <w:rFonts w:ascii="宋体" w:hAnsi="宋体" w:cs="宋体"/>
                <w:spacing w:val="-4"/>
                <w:sz w:val="21"/>
              </w:rPr>
            </w:pPr>
            <w:r>
              <w:rPr>
                <w:spacing w:val="-4"/>
                <w:sz w:val="21"/>
              </w:rPr>
              <w:t>灭火剂：泡沫、干粉、二氧化碳。用水灭火无效。</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毒性</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LD</w:t>
            </w:r>
            <w:r>
              <w:rPr>
                <w:sz w:val="21"/>
                <w:vertAlign w:val="subscript"/>
              </w:rPr>
              <w:t>50</w:t>
            </w:r>
            <w:r>
              <w:rPr>
                <w:sz w:val="21"/>
              </w:rPr>
              <w:t xml:space="preserve">  67000mg/kg</w:t>
            </w:r>
            <w:r>
              <w:rPr>
                <w:sz w:val="21"/>
              </w:rPr>
              <w:t>（小鼠经口）；</w:t>
            </w:r>
          </w:p>
          <w:p w:rsidR="006175A6" w:rsidRDefault="009B4BA7">
            <w:pPr>
              <w:spacing w:line="240" w:lineRule="auto"/>
              <w:ind w:firstLineChars="0" w:firstLine="0"/>
              <w:rPr>
                <w:rFonts w:ascii="宋体" w:hAnsi="宋体" w:cs="宋体"/>
                <w:sz w:val="21"/>
              </w:rPr>
            </w:pPr>
            <w:r>
              <w:rPr>
                <w:sz w:val="21"/>
              </w:rPr>
              <w:t>LC</w:t>
            </w:r>
            <w:r>
              <w:rPr>
                <w:sz w:val="21"/>
                <w:vertAlign w:val="subscript"/>
              </w:rPr>
              <w:t>50</w:t>
            </w:r>
            <w:r>
              <w:rPr>
                <w:sz w:val="21"/>
              </w:rPr>
              <w:t xml:space="preserve">  103000mg/m</w:t>
            </w:r>
            <w:r>
              <w:rPr>
                <w:sz w:val="21"/>
                <w:vertAlign w:val="superscript"/>
              </w:rPr>
              <w:t>3</w:t>
            </w:r>
            <w:r>
              <w:rPr>
                <w:sz w:val="21"/>
              </w:rPr>
              <w:t>，</w:t>
            </w:r>
            <w:r>
              <w:rPr>
                <w:sz w:val="21"/>
              </w:rPr>
              <w:t>2</w:t>
            </w:r>
            <w:r>
              <w:rPr>
                <w:sz w:val="21"/>
              </w:rPr>
              <w:t>小时（小鼠吸入）。</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对人体危害</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侵入途径：</w:t>
            </w:r>
            <w:r>
              <w:rPr>
                <w:sz w:val="21"/>
              </w:rPr>
              <w:t> </w:t>
            </w:r>
            <w:r>
              <w:rPr>
                <w:sz w:val="21"/>
              </w:rPr>
              <w:t>吸入、食入，经皮肤吸收。</w:t>
            </w:r>
          </w:p>
          <w:p w:rsidR="006175A6" w:rsidRDefault="009B4BA7">
            <w:pPr>
              <w:spacing w:line="240" w:lineRule="auto"/>
              <w:ind w:firstLineChars="0" w:firstLine="0"/>
              <w:rPr>
                <w:rFonts w:ascii="宋体" w:hAnsi="宋体" w:cs="宋体"/>
                <w:sz w:val="21"/>
              </w:rPr>
            </w:pPr>
            <w:r>
              <w:rPr>
                <w:sz w:val="21"/>
              </w:rPr>
              <w:t>健康危害：急性中毒：对中枢神经系统有麻醉作用。轻度中毒症状有头晕、头痛、恶心、呕吐、步态不稳、共济失调。高浓度吸入出现中毒性脑病。极高浓度吸入引起意识突然丧失、放射性呼吸停止。可伴有中毒性周围神经病及化学性肺炎。部分患者出现中毒性神经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急救</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皮肤接触：脱去被污染的衣着，用肥皂水和清水彻底冲洗皮肤。就医。</w:t>
            </w:r>
          </w:p>
          <w:p w:rsidR="006175A6" w:rsidRDefault="009B4BA7">
            <w:pPr>
              <w:spacing w:line="240" w:lineRule="auto"/>
              <w:ind w:firstLineChars="0" w:firstLine="0"/>
              <w:rPr>
                <w:sz w:val="21"/>
              </w:rPr>
            </w:pPr>
            <w:r>
              <w:rPr>
                <w:sz w:val="21"/>
              </w:rPr>
              <w:t>眼睛接触：</w:t>
            </w:r>
            <w:r>
              <w:rPr>
                <w:sz w:val="21"/>
              </w:rPr>
              <w:t> </w:t>
            </w:r>
            <w:r>
              <w:rPr>
                <w:sz w:val="21"/>
              </w:rPr>
              <w:t>提起眼睑，用流动清水或生理盐水彻底冲洗至少</w:t>
            </w:r>
            <w:r>
              <w:rPr>
                <w:sz w:val="21"/>
              </w:rPr>
              <w:t>15</w:t>
            </w:r>
            <w:r>
              <w:rPr>
                <w:sz w:val="21"/>
              </w:rPr>
              <w:t>分钟。就医。</w:t>
            </w:r>
          </w:p>
          <w:p w:rsidR="006175A6" w:rsidRDefault="009B4BA7">
            <w:pPr>
              <w:spacing w:line="240" w:lineRule="auto"/>
              <w:ind w:firstLineChars="0" w:firstLine="0"/>
              <w:rPr>
                <w:sz w:val="21"/>
              </w:rPr>
            </w:pPr>
            <w:r>
              <w:rPr>
                <w:sz w:val="21"/>
              </w:rPr>
              <w:t>吸入：迅速脱离现场至空气新鲜处，保持呼吸道通畅。如呼吸困难，给输氧。如呼吸停止，立即进行人工呼吸。就医。</w:t>
            </w:r>
          </w:p>
          <w:p w:rsidR="006175A6" w:rsidRDefault="009B4BA7">
            <w:pPr>
              <w:spacing w:line="240" w:lineRule="auto"/>
              <w:ind w:firstLineChars="0" w:firstLine="0"/>
              <w:rPr>
                <w:rFonts w:ascii="宋体" w:hAnsi="宋体" w:cs="宋体"/>
                <w:sz w:val="21"/>
              </w:rPr>
            </w:pPr>
            <w:r>
              <w:rPr>
                <w:sz w:val="21"/>
              </w:rPr>
              <w:t>食入：给饮牛奶或用植物油洗胃和灌肠。就医。</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防护</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pacing w:val="-4"/>
                <w:sz w:val="21"/>
              </w:rPr>
            </w:pPr>
            <w:r>
              <w:rPr>
                <w:spacing w:val="-4"/>
                <w:sz w:val="21"/>
              </w:rPr>
              <w:t>工程控制：生产过程密闭，全面通风。</w:t>
            </w:r>
          </w:p>
          <w:p w:rsidR="006175A6" w:rsidRDefault="009B4BA7">
            <w:pPr>
              <w:spacing w:line="240" w:lineRule="auto"/>
              <w:ind w:firstLineChars="0" w:firstLine="0"/>
              <w:rPr>
                <w:spacing w:val="-4"/>
                <w:sz w:val="21"/>
              </w:rPr>
            </w:pPr>
            <w:r>
              <w:rPr>
                <w:spacing w:val="-4"/>
                <w:sz w:val="21"/>
              </w:rPr>
              <w:t>呼吸系统防护：一般不需要特殊防护，高浓度接触时，佩戴自吸过滤式防毒面具（半面罩）。</w:t>
            </w:r>
          </w:p>
          <w:p w:rsidR="006175A6" w:rsidRDefault="009B4BA7">
            <w:pPr>
              <w:spacing w:line="240" w:lineRule="auto"/>
              <w:ind w:firstLineChars="0" w:firstLine="0"/>
              <w:rPr>
                <w:spacing w:val="-4"/>
                <w:sz w:val="21"/>
              </w:rPr>
            </w:pPr>
            <w:r>
              <w:rPr>
                <w:spacing w:val="-4"/>
                <w:sz w:val="21"/>
              </w:rPr>
              <w:t>眼睛防护：一般不需要特殊防护，高浓度接触时戴安全防护眼镜。</w:t>
            </w:r>
          </w:p>
          <w:p w:rsidR="006175A6" w:rsidRDefault="009B4BA7">
            <w:pPr>
              <w:spacing w:line="240" w:lineRule="auto"/>
              <w:ind w:firstLineChars="0" w:firstLine="0"/>
              <w:rPr>
                <w:spacing w:val="-4"/>
                <w:sz w:val="21"/>
              </w:rPr>
            </w:pPr>
            <w:r>
              <w:rPr>
                <w:spacing w:val="-4"/>
                <w:sz w:val="21"/>
              </w:rPr>
              <w:t>身体防护：穿防静电工作服。</w:t>
            </w:r>
          </w:p>
          <w:p w:rsidR="006175A6" w:rsidRDefault="009B4BA7">
            <w:pPr>
              <w:spacing w:line="240" w:lineRule="auto"/>
              <w:ind w:firstLineChars="0" w:firstLine="0"/>
              <w:rPr>
                <w:spacing w:val="-4"/>
                <w:sz w:val="21"/>
              </w:rPr>
            </w:pPr>
            <w:r>
              <w:rPr>
                <w:spacing w:val="-4"/>
                <w:sz w:val="21"/>
              </w:rPr>
              <w:t>手防护：戴防苯耐油手套。</w:t>
            </w:r>
          </w:p>
          <w:p w:rsidR="006175A6" w:rsidRDefault="009B4BA7">
            <w:pPr>
              <w:spacing w:line="240" w:lineRule="auto"/>
              <w:ind w:firstLineChars="0" w:firstLine="0"/>
              <w:rPr>
                <w:rFonts w:ascii="宋体" w:hAnsi="宋体" w:cs="宋体"/>
                <w:sz w:val="21"/>
              </w:rPr>
            </w:pPr>
            <w:r>
              <w:rPr>
                <w:spacing w:val="-4"/>
                <w:sz w:val="21"/>
              </w:rPr>
              <w:t>其它：工作现场严禁吸烟。避免长期反复接触。</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泄漏处理</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迅速撤离泄漏污染区人员至安全区，并进行隔离，严格限制出入。切断火源。建议应急处理人员戴自给正压式呼吸器，穿消防防护服。尽可能切断泄漏源。防止进入下水道、排洪沟等限制性空间。小量泄漏：用砂土、蛭石或其它惰性材料吸收。或在保证安全的情况下，就地焚烧。大量泄漏：构筑围堤或挖坑收容；用泡沫覆盖，降低蒸气灾害。用防爆泵转移至槽车或专用收集器内，回收或运至废物处理场所处置。</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贮运</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包装标志：</w:t>
            </w:r>
            <w:r>
              <w:rPr>
                <w:sz w:val="21"/>
              </w:rPr>
              <w:t>7        UN</w:t>
            </w:r>
            <w:r>
              <w:rPr>
                <w:sz w:val="21"/>
              </w:rPr>
              <w:t>编号：</w:t>
            </w:r>
            <w:r>
              <w:rPr>
                <w:sz w:val="21"/>
              </w:rPr>
              <w:t xml:space="preserve">1203      </w:t>
            </w:r>
            <w:r>
              <w:rPr>
                <w:sz w:val="21"/>
              </w:rPr>
              <w:t>包装分类：</w:t>
            </w:r>
            <w:r>
              <w:rPr>
                <w:rFonts w:ascii="宋体" w:hAnsi="宋体" w:cs="宋体" w:hint="eastAsia"/>
                <w:sz w:val="21"/>
              </w:rPr>
              <w:t>Ⅰ</w:t>
            </w:r>
          </w:p>
          <w:p w:rsidR="006175A6" w:rsidRDefault="009B4BA7">
            <w:pPr>
              <w:spacing w:line="240" w:lineRule="auto"/>
              <w:ind w:firstLineChars="0" w:firstLine="0"/>
              <w:rPr>
                <w:sz w:val="21"/>
              </w:rPr>
            </w:pPr>
            <w:r>
              <w:rPr>
                <w:sz w:val="21"/>
              </w:rPr>
              <w:t>包装方法：小开口钢桶；安瓿瓶外木板箱。</w:t>
            </w:r>
          </w:p>
          <w:p w:rsidR="006175A6" w:rsidRDefault="009B4BA7">
            <w:pPr>
              <w:spacing w:line="240" w:lineRule="auto"/>
              <w:ind w:firstLineChars="0" w:firstLine="0"/>
              <w:rPr>
                <w:rFonts w:ascii="宋体" w:hAnsi="宋体" w:cs="宋体"/>
                <w:sz w:val="21"/>
              </w:rPr>
            </w:pPr>
            <w:r>
              <w:rPr>
                <w:sz w:val="21"/>
              </w:rPr>
              <w:t>储运条件：储存于阴凉、通风仓间内。远离火种、热源。仓内温度不宜超过</w:t>
            </w:r>
            <w:r>
              <w:rPr>
                <w:sz w:val="21"/>
              </w:rPr>
              <w:t>30</w:t>
            </w:r>
            <w:r>
              <w:rPr>
                <w:rFonts w:ascii="宋体" w:hAnsi="宋体" w:cs="宋体" w:hint="eastAsia"/>
                <w:sz w:val="21"/>
              </w:rPr>
              <w:t>℃</w:t>
            </w:r>
            <w:r>
              <w:rPr>
                <w:sz w:val="21"/>
              </w:rPr>
              <w:t>。防止阳光直射。保持容器密封。应与氧化剂分开存放。储存间内的照明、通风等设施应采用防爆型，开关设在仓外。桶装堆跺不可过大，应留墙距、顶距、柱距及必要的防火检查走道。罐储时要有防火防爆技术措施。禁止使用易产生火花机械设备和工具。</w:t>
            </w:r>
            <w:r>
              <w:rPr>
                <w:sz w:val="21"/>
              </w:rPr>
              <w:lastRenderedPageBreak/>
              <w:t>灌装时应注意流速（不超过</w:t>
            </w:r>
            <w:r>
              <w:rPr>
                <w:sz w:val="21"/>
              </w:rPr>
              <w:t>3m/s</w:t>
            </w:r>
            <w:r>
              <w:rPr>
                <w:sz w:val="21"/>
              </w:rPr>
              <w:t>），且有接地装置，防止静电积聚。搬运时要注意轻装轻卸，防止包装及容器损坏。</w:t>
            </w:r>
          </w:p>
        </w:tc>
      </w:tr>
    </w:tbl>
    <w:p w:rsidR="006175A6" w:rsidRDefault="009B4BA7">
      <w:pPr>
        <w:pStyle w:val="a3"/>
      </w:pPr>
      <w:r>
        <w:rPr>
          <w:rFonts w:hint="eastAsia"/>
        </w:rPr>
        <w:lastRenderedPageBreak/>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柴油</w:t>
      </w:r>
      <w:r>
        <w:rPr>
          <w:rFonts w:hint="eastAsia"/>
        </w:rPr>
        <w:t>MSDS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424"/>
        <w:gridCol w:w="525"/>
        <w:gridCol w:w="496"/>
        <w:gridCol w:w="1164"/>
        <w:gridCol w:w="979"/>
        <w:gridCol w:w="2314"/>
      </w:tblGrid>
      <w:tr w:rsidR="006175A6">
        <w:trPr>
          <w:cantSplit/>
          <w:trHeight w:val="340"/>
        </w:trPr>
        <w:tc>
          <w:tcPr>
            <w:tcW w:w="256" w:type="pct"/>
            <w:vMerge w:val="restar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标识</w:t>
            </w:r>
          </w:p>
        </w:tc>
        <w:tc>
          <w:tcPr>
            <w:tcW w:w="2068"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中文名：柴油</w:t>
            </w:r>
            <w:r>
              <w:rPr>
                <w:sz w:val="21"/>
              </w:rPr>
              <w:tab/>
            </w:r>
          </w:p>
        </w:tc>
        <w:tc>
          <w:tcPr>
            <w:tcW w:w="2676"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英文名：</w:t>
            </w:r>
            <w:r>
              <w:rPr>
                <w:sz w:val="21"/>
              </w:rPr>
              <w:t>Diesel oil; Diesel fuel</w:t>
            </w:r>
          </w:p>
        </w:tc>
      </w:tr>
      <w:tr w:rsidR="006175A6">
        <w:trPr>
          <w:cantSplit/>
          <w:trHeight w:val="340"/>
        </w:trPr>
        <w:tc>
          <w:tcPr>
            <w:tcW w:w="256" w:type="pct"/>
            <w:vMerge/>
            <w:tcBorders>
              <w:top w:val="single" w:sz="4" w:space="0" w:color="auto"/>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分子式：</w:t>
            </w:r>
          </w:p>
        </w:tc>
        <w:tc>
          <w:tcPr>
            <w:tcW w:w="1585"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分子量：</w:t>
            </w:r>
          </w:p>
        </w:tc>
        <w:tc>
          <w:tcPr>
            <w:tcW w:w="1388"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CAS</w:t>
            </w:r>
            <w:r>
              <w:rPr>
                <w:sz w:val="21"/>
              </w:rPr>
              <w:t>号：</w:t>
            </w:r>
          </w:p>
        </w:tc>
      </w:tr>
      <w:tr w:rsidR="006175A6">
        <w:trPr>
          <w:cantSplit/>
          <w:trHeight w:val="340"/>
        </w:trPr>
        <w:tc>
          <w:tcPr>
            <w:tcW w:w="256" w:type="pct"/>
            <w:vMerge/>
            <w:tcBorders>
              <w:top w:val="single" w:sz="4" w:space="0" w:color="auto"/>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危规号：</w:t>
            </w:r>
          </w:p>
        </w:tc>
      </w:tr>
      <w:tr w:rsidR="006175A6">
        <w:trPr>
          <w:cantSplit/>
          <w:trHeight w:val="340"/>
        </w:trPr>
        <w:tc>
          <w:tcPr>
            <w:tcW w:w="256" w:type="pct"/>
            <w:vMerge w:val="restart"/>
            <w:tcBorders>
              <w:top w:val="nil"/>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理化性质</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性状：稍有粘性的棕色液体。</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溶解性：与水混溶，可混溶于乙醇。</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455"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熔点（</w:t>
            </w:r>
            <w:r>
              <w:rPr>
                <w:rFonts w:ascii="宋体" w:hAnsi="宋体" w:cs="宋体" w:hint="eastAsia"/>
                <w:sz w:val="21"/>
              </w:rPr>
              <w:t>℃</w:t>
            </w:r>
            <w:r>
              <w:rPr>
                <w:sz w:val="21"/>
              </w:rPr>
              <w:t>）：－</w:t>
            </w:r>
            <w:r>
              <w:rPr>
                <w:sz w:val="21"/>
              </w:rPr>
              <w:t>18</w:t>
            </w:r>
          </w:p>
        </w:tc>
        <w:tc>
          <w:tcPr>
            <w:tcW w:w="1312"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沸点（</w:t>
            </w:r>
            <w:r>
              <w:rPr>
                <w:rFonts w:ascii="宋体" w:hAnsi="宋体" w:cs="宋体" w:hint="eastAsia"/>
                <w:sz w:val="21"/>
              </w:rPr>
              <w:t>℃</w:t>
            </w:r>
            <w:r>
              <w:rPr>
                <w:sz w:val="21"/>
              </w:rPr>
              <w:t>）：</w:t>
            </w:r>
            <w:r>
              <w:rPr>
                <w:sz w:val="21"/>
              </w:rPr>
              <w:t>282</w:t>
            </w:r>
            <w:r>
              <w:rPr>
                <w:sz w:val="21"/>
              </w:rPr>
              <w:t>－</w:t>
            </w:r>
            <w:r>
              <w:rPr>
                <w:sz w:val="21"/>
              </w:rPr>
              <w:t>338</w:t>
            </w:r>
          </w:p>
        </w:tc>
        <w:tc>
          <w:tcPr>
            <w:tcW w:w="19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相对密度（水＝</w:t>
            </w:r>
            <w:r>
              <w:rPr>
                <w:sz w:val="21"/>
              </w:rPr>
              <w:t>1</w:t>
            </w:r>
            <w:r>
              <w:rPr>
                <w:sz w:val="21"/>
              </w:rPr>
              <w:t>）：</w:t>
            </w:r>
            <w:r>
              <w:rPr>
                <w:sz w:val="21"/>
              </w:rPr>
              <w:t>0.87</w:t>
            </w:r>
            <w:r>
              <w:rPr>
                <w:sz w:val="21"/>
              </w:rPr>
              <w:t>－</w:t>
            </w:r>
            <w:r>
              <w:rPr>
                <w:sz w:val="21"/>
              </w:rPr>
              <w:t>0.9</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455"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临界温度（</w:t>
            </w:r>
            <w:r>
              <w:rPr>
                <w:rFonts w:ascii="宋体" w:hAnsi="宋体" w:cs="宋体" w:hint="eastAsia"/>
                <w:sz w:val="21"/>
              </w:rPr>
              <w:t>℃</w:t>
            </w:r>
            <w:r>
              <w:rPr>
                <w:sz w:val="21"/>
              </w:rPr>
              <w:t>）：</w:t>
            </w:r>
          </w:p>
        </w:tc>
        <w:tc>
          <w:tcPr>
            <w:tcW w:w="1312"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临界压力（</w:t>
            </w:r>
            <w:r>
              <w:rPr>
                <w:sz w:val="21"/>
              </w:rPr>
              <w:t>MPa</w:t>
            </w:r>
            <w:r>
              <w:rPr>
                <w:sz w:val="21"/>
              </w:rPr>
              <w:t>）：</w:t>
            </w:r>
          </w:p>
        </w:tc>
        <w:tc>
          <w:tcPr>
            <w:tcW w:w="19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相对密度（空气＝</w:t>
            </w:r>
            <w:r>
              <w:rPr>
                <w:sz w:val="21"/>
              </w:rPr>
              <w:t>1</w:t>
            </w:r>
            <w:r>
              <w:rPr>
                <w:sz w:val="21"/>
              </w:rPr>
              <w:t>）：</w:t>
            </w:r>
            <w:r>
              <w:rPr>
                <w:sz w:val="21"/>
              </w:rPr>
              <w:t>3.38</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455" w:type="pct"/>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燃烧热（</w:t>
            </w:r>
            <w:r>
              <w:rPr>
                <w:sz w:val="21"/>
              </w:rPr>
              <w:t>KJ/mol</w:t>
            </w:r>
            <w:r>
              <w:rPr>
                <w:sz w:val="21"/>
              </w:rPr>
              <w:t>）：</w:t>
            </w:r>
          </w:p>
        </w:tc>
        <w:tc>
          <w:tcPr>
            <w:tcW w:w="1312" w:type="pct"/>
            <w:gridSpan w:val="3"/>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最小点火能（</w:t>
            </w:r>
            <w:r>
              <w:rPr>
                <w:sz w:val="21"/>
              </w:rPr>
              <w:t>mJ</w:t>
            </w:r>
            <w:r>
              <w:rPr>
                <w:sz w:val="21"/>
              </w:rPr>
              <w:t>）：</w:t>
            </w:r>
          </w:p>
        </w:tc>
        <w:tc>
          <w:tcPr>
            <w:tcW w:w="1977"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饱和蒸汽压（</w:t>
            </w:r>
            <w:r>
              <w:rPr>
                <w:sz w:val="21"/>
              </w:rPr>
              <w:t>KPa</w:t>
            </w:r>
            <w:r>
              <w:rPr>
                <w:sz w:val="21"/>
              </w:rPr>
              <w:t>）：</w:t>
            </w:r>
            <w:r>
              <w:rPr>
                <w:sz w:val="21"/>
              </w:rPr>
              <w:t>0.67</w:t>
            </w:r>
            <w:r>
              <w:rPr>
                <w:sz w:val="21"/>
              </w:rPr>
              <w:t>（</w:t>
            </w:r>
            <w:r>
              <w:rPr>
                <w:sz w:val="21"/>
              </w:rPr>
              <w:t>25</w:t>
            </w:r>
            <w:r>
              <w:rPr>
                <w:rFonts w:ascii="宋体" w:hAnsi="宋体" w:cs="宋体" w:hint="eastAsia"/>
                <w:sz w:val="21"/>
              </w:rPr>
              <w:t>℃</w:t>
            </w:r>
            <w:r>
              <w:rPr>
                <w:sz w:val="21"/>
              </w:rPr>
              <w:t>，纯品）</w:t>
            </w:r>
          </w:p>
        </w:tc>
      </w:tr>
      <w:tr w:rsidR="006175A6">
        <w:trPr>
          <w:cantSplit/>
          <w:trHeight w:val="340"/>
        </w:trPr>
        <w:tc>
          <w:tcPr>
            <w:tcW w:w="256" w:type="pct"/>
            <w:vMerge w:val="restart"/>
            <w:tcBorders>
              <w:top w:val="nil"/>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燃烧爆炸危险性</w:t>
            </w: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燃烧性：不燃</w:t>
            </w:r>
          </w:p>
        </w:tc>
        <w:tc>
          <w:tcPr>
            <w:tcW w:w="2973"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燃烧分解产物：一氧化碳、二氧化碳。</w:t>
            </w:r>
            <w:r>
              <w:rPr>
                <w:sz w:val="21"/>
              </w:rPr>
              <w:t> </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闪点（</w:t>
            </w:r>
            <w:r>
              <w:rPr>
                <w:rFonts w:ascii="宋体" w:hAnsi="宋体" w:cs="宋体" w:hint="eastAsia"/>
                <w:sz w:val="21"/>
              </w:rPr>
              <w:t>℃</w:t>
            </w:r>
            <w:r>
              <w:rPr>
                <w:sz w:val="21"/>
              </w:rPr>
              <w:t>）：</w:t>
            </w:r>
            <w:r>
              <w:rPr>
                <w:sz w:val="21"/>
              </w:rPr>
              <w:t>55</w:t>
            </w:r>
          </w:p>
        </w:tc>
        <w:tc>
          <w:tcPr>
            <w:tcW w:w="2973"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聚合危害：不聚合</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爆炸下限（％）：</w:t>
            </w:r>
          </w:p>
        </w:tc>
        <w:tc>
          <w:tcPr>
            <w:tcW w:w="2973"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稳定性：稳定</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爆炸上限（％）：</w:t>
            </w:r>
          </w:p>
        </w:tc>
        <w:tc>
          <w:tcPr>
            <w:tcW w:w="2973"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最大爆炸压力（</w:t>
            </w:r>
            <w:r>
              <w:rPr>
                <w:sz w:val="21"/>
              </w:rPr>
              <w:t>MPa</w:t>
            </w:r>
            <w:r>
              <w:rPr>
                <w:sz w:val="21"/>
              </w:rPr>
              <w:t>）：</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1770" w:type="pct"/>
            <w:gridSpan w:val="2"/>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引燃温度（</w:t>
            </w:r>
            <w:r>
              <w:rPr>
                <w:rFonts w:ascii="宋体" w:hAnsi="宋体" w:cs="宋体" w:hint="eastAsia"/>
                <w:sz w:val="21"/>
              </w:rPr>
              <w:t>℃</w:t>
            </w:r>
            <w:r>
              <w:rPr>
                <w:sz w:val="21"/>
              </w:rPr>
              <w:t>）：</w:t>
            </w:r>
            <w:r>
              <w:rPr>
                <w:sz w:val="21"/>
              </w:rPr>
              <w:t>257</w:t>
            </w:r>
          </w:p>
        </w:tc>
        <w:tc>
          <w:tcPr>
            <w:tcW w:w="2973" w:type="pct"/>
            <w:gridSpan w:val="4"/>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禁忌物：</w:t>
            </w:r>
            <w:r>
              <w:rPr>
                <w:sz w:val="21"/>
              </w:rPr>
              <w:t> </w:t>
            </w:r>
            <w:r>
              <w:rPr>
                <w:sz w:val="21"/>
              </w:rPr>
              <w:t>强氧化剂、卤素。</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危险特性：遇明火、高热或与氧化剂接触，有引起燃烧爆炸的危险。若遇高热，容器内压增大，有开裂和爆炸的危险。</w:t>
            </w:r>
          </w:p>
        </w:tc>
      </w:tr>
      <w:tr w:rsidR="006175A6">
        <w:trPr>
          <w:cantSplit/>
          <w:trHeight w:val="340"/>
        </w:trPr>
        <w:tc>
          <w:tcPr>
            <w:tcW w:w="256" w:type="pct"/>
            <w:vMerge/>
            <w:tcBorders>
              <w:top w:val="nil"/>
              <w:left w:val="single" w:sz="4" w:space="0" w:color="auto"/>
              <w:bottom w:val="single" w:sz="4" w:space="0" w:color="auto"/>
              <w:right w:val="single" w:sz="4" w:space="0" w:color="auto"/>
            </w:tcBorders>
            <w:vAlign w:val="center"/>
          </w:tcPr>
          <w:p w:rsidR="006175A6" w:rsidRDefault="006175A6">
            <w:pPr>
              <w:widowControl/>
              <w:spacing w:line="240" w:lineRule="auto"/>
              <w:ind w:firstLineChars="0" w:firstLine="0"/>
              <w:jc w:val="left"/>
              <w:rPr>
                <w:rFonts w:ascii="宋体" w:hAnsi="宋体" w:cs="宋体"/>
                <w:sz w:val="21"/>
              </w:rPr>
            </w:pP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灭火方法：消防人员必须佩戴防毒面具、穿全身消防服，在上风向灭火。尽可能将容器从火场移至空旷处。喷水保持火场容器冷却，直至灭火结束。自在火场中的容器若已变色或从安全泄压装置中产生声音，必须马上撤离。灭火剂：雾状水、泡沫、干粉、二氧化碳、砂土。</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对人体危害</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侵入途径：吸入、食入、经皮肤吸收。</w:t>
            </w:r>
          </w:p>
          <w:p w:rsidR="006175A6" w:rsidRDefault="009B4BA7">
            <w:pPr>
              <w:spacing w:line="240" w:lineRule="auto"/>
              <w:ind w:firstLineChars="0" w:firstLine="0"/>
              <w:rPr>
                <w:rFonts w:ascii="宋体" w:hAnsi="宋体" w:cs="宋体"/>
                <w:sz w:val="21"/>
              </w:rPr>
            </w:pPr>
            <w:r>
              <w:rPr>
                <w:sz w:val="21"/>
              </w:rPr>
              <w:t>皮肤接触可为主要吸收途径，可致急性肾脏损害。柴油可引起接触性皮炎、油性痤疮。吸入其雾滴或液体呛入可引起吸入性肺炎。能经胎盘进入胎儿血中。柴油废气可引起眼、鼻刺激症状，头晕及头痛。</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急救</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皮肤接触：立即脱去污染的衣着，用肥皂水和清水彻底冲洗皮肤。就医。</w:t>
            </w:r>
          </w:p>
          <w:p w:rsidR="006175A6" w:rsidRDefault="009B4BA7">
            <w:pPr>
              <w:spacing w:line="240" w:lineRule="auto"/>
              <w:ind w:firstLineChars="0" w:firstLine="0"/>
              <w:rPr>
                <w:sz w:val="21"/>
              </w:rPr>
            </w:pPr>
            <w:r>
              <w:rPr>
                <w:sz w:val="21"/>
              </w:rPr>
              <w:t>眼睛接触：立即提起眼睑，用大量流动清水或生理盐水彻底冲洗。就医。</w:t>
            </w:r>
          </w:p>
          <w:p w:rsidR="006175A6" w:rsidRDefault="009B4BA7">
            <w:pPr>
              <w:spacing w:line="240" w:lineRule="auto"/>
              <w:ind w:firstLineChars="0" w:firstLine="0"/>
              <w:rPr>
                <w:sz w:val="21"/>
              </w:rPr>
            </w:pPr>
            <w:r>
              <w:rPr>
                <w:sz w:val="21"/>
              </w:rPr>
              <w:t>吸入：迅速脱离现场至空气新鲜处，保持呼吸道通畅。如呼吸困难，给输氧。如呼吸停止，立即进行人工呼吸。就医。</w:t>
            </w:r>
          </w:p>
          <w:p w:rsidR="006175A6" w:rsidRDefault="009B4BA7">
            <w:pPr>
              <w:spacing w:line="240" w:lineRule="auto"/>
              <w:ind w:firstLineChars="0" w:firstLine="0"/>
              <w:rPr>
                <w:rFonts w:ascii="宋体" w:hAnsi="宋体" w:cs="宋体"/>
                <w:sz w:val="21"/>
              </w:rPr>
            </w:pPr>
            <w:r>
              <w:rPr>
                <w:sz w:val="21"/>
              </w:rPr>
              <w:t>食入：尽快彻底洗胃。就医。</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防护</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pacing w:val="-4"/>
                <w:sz w:val="21"/>
              </w:rPr>
            </w:pPr>
            <w:r>
              <w:rPr>
                <w:spacing w:val="-4"/>
                <w:sz w:val="21"/>
              </w:rPr>
              <w:t>工程防护：密闭操作，注意通风。</w:t>
            </w:r>
          </w:p>
          <w:p w:rsidR="006175A6" w:rsidRDefault="009B4BA7">
            <w:pPr>
              <w:spacing w:line="240" w:lineRule="auto"/>
              <w:ind w:firstLineChars="0" w:firstLine="0"/>
              <w:rPr>
                <w:rFonts w:ascii="宋体" w:hAnsi="宋体" w:cs="宋体"/>
                <w:sz w:val="21"/>
              </w:rPr>
            </w:pPr>
            <w:r>
              <w:rPr>
                <w:sz w:val="21"/>
              </w:rPr>
              <w:t>个人防护：空气中浓度超标时，建议佩戴自吸过滤式防毒面具（半面罩）。经济事态抢救或撤离时，必须佩戴空气呼吸器。戴化学安全防护眼镜。穿一般作业防护服。戴橡胶耐油手套。工作现场禁止吸烟。避免长期反复接触。</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jc w:val="center"/>
              <w:rPr>
                <w:rFonts w:ascii="宋体" w:hAnsi="宋体" w:cs="宋体"/>
                <w:sz w:val="21"/>
              </w:rPr>
            </w:pPr>
            <w:r>
              <w:rPr>
                <w:sz w:val="21"/>
              </w:rPr>
              <w:t>泄漏处理</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迅速撤离泄漏污染区人员至安全区，并进行隔离，严格限制出入。切断火源。建议应急处理人员戴自给正压式呼吸器，穿一般作业工作服。尽可能切断泄漏源。防止流入下水道、排洪沟等限制性空间。小量泄漏：用可活性炭或其它惰性材料吸收。大量泄漏：构筑围堤或挖坑收容。用泵移至槽车或专用收集器内，回收或运至废物处理场所处置。</w:t>
            </w:r>
          </w:p>
        </w:tc>
      </w:tr>
      <w:tr w:rsidR="006175A6">
        <w:trPr>
          <w:trHeight w:val="340"/>
        </w:trPr>
        <w:tc>
          <w:tcPr>
            <w:tcW w:w="256" w:type="pct"/>
            <w:tcBorders>
              <w:top w:val="single" w:sz="4" w:space="0" w:color="auto"/>
              <w:left w:val="single" w:sz="4" w:space="0" w:color="auto"/>
              <w:bottom w:val="single" w:sz="4" w:space="0" w:color="auto"/>
              <w:right w:val="single" w:sz="4" w:space="0" w:color="auto"/>
            </w:tcBorders>
            <w:vAlign w:val="center"/>
          </w:tcPr>
          <w:p w:rsidR="006175A6" w:rsidRDefault="009B4BA7">
            <w:pPr>
              <w:spacing w:line="240" w:lineRule="auto"/>
              <w:ind w:firstLineChars="0" w:firstLine="0"/>
              <w:rPr>
                <w:rFonts w:ascii="宋体" w:hAnsi="宋体" w:cs="宋体"/>
                <w:sz w:val="21"/>
              </w:rPr>
            </w:pPr>
            <w:r>
              <w:rPr>
                <w:sz w:val="21"/>
              </w:rPr>
              <w:lastRenderedPageBreak/>
              <w:t>贮运</w:t>
            </w:r>
          </w:p>
        </w:tc>
        <w:tc>
          <w:tcPr>
            <w:tcW w:w="4744" w:type="pct"/>
            <w:gridSpan w:val="6"/>
            <w:tcBorders>
              <w:top w:val="single" w:sz="4" w:space="0" w:color="auto"/>
              <w:left w:val="nil"/>
              <w:bottom w:val="single" w:sz="4" w:space="0" w:color="auto"/>
              <w:right w:val="single" w:sz="4" w:space="0" w:color="auto"/>
            </w:tcBorders>
          </w:tcPr>
          <w:p w:rsidR="006175A6" w:rsidRDefault="009B4BA7">
            <w:pPr>
              <w:spacing w:line="240" w:lineRule="auto"/>
              <w:ind w:firstLineChars="0" w:firstLine="0"/>
              <w:rPr>
                <w:rFonts w:ascii="宋体" w:hAnsi="宋体" w:cs="宋体"/>
                <w:sz w:val="21"/>
              </w:rPr>
            </w:pPr>
            <w:r>
              <w:rPr>
                <w:sz w:val="21"/>
              </w:rPr>
              <w:t>包装标志：</w:t>
            </w:r>
            <w:r>
              <w:rPr>
                <w:sz w:val="21"/>
              </w:rPr>
              <w:t xml:space="preserve">          UN</w:t>
            </w:r>
            <w:r>
              <w:rPr>
                <w:sz w:val="21"/>
              </w:rPr>
              <w:t>编号：</w:t>
            </w:r>
            <w:r>
              <w:rPr>
                <w:sz w:val="21"/>
              </w:rPr>
              <w:t xml:space="preserve">          </w:t>
            </w:r>
            <w:r>
              <w:rPr>
                <w:sz w:val="21"/>
              </w:rPr>
              <w:t>包装分类：</w:t>
            </w:r>
          </w:p>
          <w:p w:rsidR="006175A6" w:rsidRDefault="009B4BA7">
            <w:pPr>
              <w:spacing w:line="240" w:lineRule="auto"/>
              <w:ind w:firstLineChars="0" w:firstLine="0"/>
              <w:rPr>
                <w:sz w:val="21"/>
              </w:rPr>
            </w:pPr>
            <w:r>
              <w:rPr>
                <w:sz w:val="21"/>
              </w:rPr>
              <w:t>储运条件：储存于阴凉、通风的库房内。远离火种、热源。应与氧化剂、卤素分开存放，切忌混储。采用防爆型照明、通风设施。禁止使用易产生火花的机械设备和工具。储区应备有泄漏应急处理设备工具和合适的收容材料。</w:t>
            </w:r>
          </w:p>
          <w:p w:rsidR="006175A6" w:rsidRDefault="009B4BA7">
            <w:pPr>
              <w:spacing w:line="240" w:lineRule="auto"/>
              <w:ind w:firstLineChars="0" w:firstLine="0"/>
              <w:rPr>
                <w:rFonts w:ascii="宋体" w:hAnsi="宋体" w:cs="宋体"/>
                <w:sz w:val="21"/>
              </w:rPr>
            </w:pPr>
            <w:r>
              <w:rPr>
                <w:sz w:val="21"/>
              </w:rPr>
              <w:t>运输前应先检查包装容器是否完整、密封，运输过程中要确保容器不泄漏、不倒塌、不坠落、不损坏。运输时运输车辆配备相应的品种和数量的消防器材及泄漏应急处理设备。夏季最好早晚运输。运输时所用的槽车应有接地链，槽内可设隔板以减少震荡产生静电。严禁与氧化剂、卤素、食用化学品等混装混运。运输途中应防暴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r>
              <w:rPr>
                <w:sz w:val="21"/>
              </w:rPr>
              <w:t xml:space="preserve">  </w:t>
            </w:r>
          </w:p>
        </w:tc>
      </w:tr>
    </w:tbl>
    <w:p w:rsidR="006175A6" w:rsidRDefault="009B4BA7">
      <w:pPr>
        <w:ind w:firstLine="482"/>
        <w:rPr>
          <w:b/>
        </w:rPr>
      </w:pPr>
      <w:r>
        <w:rPr>
          <w:rFonts w:hint="eastAsia"/>
          <w:b/>
        </w:rPr>
        <w:t>2</w:t>
      </w:r>
      <w:r>
        <w:rPr>
          <w:rFonts w:hint="eastAsia"/>
          <w:b/>
        </w:rPr>
        <w:t>、生产工艺特点</w:t>
      </w: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ind w:firstLine="480"/>
      </w:pPr>
      <w:r>
        <w:rPr>
          <w:rFonts w:hint="eastAsia"/>
        </w:rPr>
        <w:lastRenderedPageBreak/>
        <w:t>根据《建设项目环境风险评价技术导则》（</w:t>
      </w:r>
      <w:r>
        <w:rPr>
          <w:rFonts w:hint="eastAsia"/>
        </w:rPr>
        <w:t>HJ169-2018</w:t>
      </w:r>
      <w:r>
        <w:rPr>
          <w:rFonts w:hint="eastAsia"/>
        </w:rPr>
        <w:t>）中附录</w:t>
      </w:r>
      <w:r>
        <w:rPr>
          <w:rFonts w:hint="eastAsia"/>
        </w:rPr>
        <w:t>C</w:t>
      </w:r>
      <w:r>
        <w:rPr>
          <w:rFonts w:hint="eastAsia"/>
        </w:rPr>
        <w:t>分析项目所属行业及生产工艺特点，按照表</w:t>
      </w:r>
      <w:r>
        <w:rPr>
          <w:rFonts w:hint="eastAsia"/>
        </w:rPr>
        <w:t xml:space="preserve"> C.1 </w:t>
      </w:r>
      <w:r>
        <w:rPr>
          <w:rFonts w:hint="eastAsia"/>
        </w:rPr>
        <w:t>评估生产工艺情况。具有多套工艺单元的项目，对每套生产工艺分别评分并求和。将</w:t>
      </w:r>
      <w:r>
        <w:rPr>
          <w:rFonts w:hint="eastAsia"/>
        </w:rPr>
        <w:t xml:space="preserve"> M </w:t>
      </w:r>
      <w:r>
        <w:rPr>
          <w:rFonts w:hint="eastAsia"/>
        </w:rPr>
        <w:t>划分为（</w:t>
      </w:r>
      <w:r>
        <w:rPr>
          <w:rFonts w:hint="eastAsia"/>
        </w:rPr>
        <w:t>1</w:t>
      </w:r>
      <w:r>
        <w:rPr>
          <w:rFonts w:hint="eastAsia"/>
        </w:rPr>
        <w:t>）</w:t>
      </w:r>
      <w:r>
        <w:rPr>
          <w:rFonts w:hint="eastAsia"/>
        </w:rPr>
        <w:t>M</w:t>
      </w:r>
      <w:r>
        <w:rPr>
          <w:rFonts w:hint="eastAsia"/>
        </w:rPr>
        <w:t>＞</w:t>
      </w:r>
      <w:r>
        <w:rPr>
          <w:rFonts w:hint="eastAsia"/>
        </w:rPr>
        <w:t>20</w:t>
      </w:r>
      <w:r>
        <w:rPr>
          <w:rFonts w:hint="eastAsia"/>
        </w:rPr>
        <w:t>；（</w:t>
      </w:r>
      <w:r>
        <w:rPr>
          <w:rFonts w:hint="eastAsia"/>
        </w:rPr>
        <w:t>2</w:t>
      </w:r>
      <w:r>
        <w:rPr>
          <w:rFonts w:hint="eastAsia"/>
        </w:rPr>
        <w:t>）</w:t>
      </w:r>
      <w:r>
        <w:rPr>
          <w:rFonts w:hint="eastAsia"/>
        </w:rPr>
        <w:t>10</w:t>
      </w:r>
      <w:r>
        <w:rPr>
          <w:rFonts w:hint="eastAsia"/>
        </w:rPr>
        <w:t>＜</w:t>
      </w:r>
      <w:r>
        <w:rPr>
          <w:rFonts w:hint="eastAsia"/>
        </w:rPr>
        <w:t>M</w:t>
      </w:r>
      <w:r>
        <w:rPr>
          <w:rFonts w:hint="eastAsia"/>
        </w:rPr>
        <w:t>≤</w:t>
      </w:r>
      <w:r>
        <w:rPr>
          <w:rFonts w:hint="eastAsia"/>
        </w:rPr>
        <w:t>20</w:t>
      </w:r>
      <w:r>
        <w:rPr>
          <w:rFonts w:hint="eastAsia"/>
        </w:rPr>
        <w:t>；（</w:t>
      </w:r>
      <w:r>
        <w:rPr>
          <w:rFonts w:hint="eastAsia"/>
        </w:rPr>
        <w:t>3</w:t>
      </w:r>
      <w:r>
        <w:rPr>
          <w:rFonts w:hint="eastAsia"/>
        </w:rPr>
        <w:t>）</w:t>
      </w:r>
      <w:r>
        <w:rPr>
          <w:rFonts w:hint="eastAsia"/>
        </w:rPr>
        <w:t>5</w:t>
      </w:r>
      <w:r>
        <w:rPr>
          <w:rFonts w:hint="eastAsia"/>
        </w:rPr>
        <w:t>＜</w:t>
      </w:r>
      <w:r>
        <w:rPr>
          <w:rFonts w:hint="eastAsia"/>
        </w:rPr>
        <w:t>M</w:t>
      </w:r>
      <w:r>
        <w:rPr>
          <w:rFonts w:hint="eastAsia"/>
        </w:rPr>
        <w:t>≤</w:t>
      </w:r>
      <w:r>
        <w:rPr>
          <w:rFonts w:hint="eastAsia"/>
        </w:rPr>
        <w:t>10</w:t>
      </w:r>
      <w:r>
        <w:rPr>
          <w:rFonts w:hint="eastAsia"/>
        </w:rPr>
        <w:t>；（</w:t>
      </w:r>
      <w:r>
        <w:rPr>
          <w:rFonts w:hint="eastAsia"/>
        </w:rPr>
        <w:t>4</w:t>
      </w:r>
      <w:r>
        <w:rPr>
          <w:rFonts w:hint="eastAsia"/>
        </w:rPr>
        <w:t>）</w:t>
      </w:r>
      <w:r>
        <w:rPr>
          <w:rFonts w:hint="eastAsia"/>
        </w:rPr>
        <w:t>M=5</w:t>
      </w:r>
      <w:r>
        <w:rPr>
          <w:rFonts w:hint="eastAsia"/>
        </w:rPr>
        <w:t>，分别以</w:t>
      </w:r>
      <w:r>
        <w:rPr>
          <w:rFonts w:hint="eastAsia"/>
        </w:rPr>
        <w:t xml:space="preserve"> M1</w:t>
      </w:r>
      <w:r>
        <w:rPr>
          <w:rFonts w:hint="eastAsia"/>
        </w:rPr>
        <w:t>、</w:t>
      </w:r>
      <w:r>
        <w:rPr>
          <w:rFonts w:hint="eastAsia"/>
        </w:rPr>
        <w:t>M2</w:t>
      </w:r>
      <w:r>
        <w:rPr>
          <w:rFonts w:hint="eastAsia"/>
        </w:rPr>
        <w:t>、</w:t>
      </w:r>
      <w:r>
        <w:rPr>
          <w:rFonts w:hint="eastAsia"/>
        </w:rPr>
        <w:t>M3</w:t>
      </w:r>
      <w:r>
        <w:rPr>
          <w:rFonts w:hint="eastAsia"/>
        </w:rPr>
        <w:t>和</w:t>
      </w:r>
      <w:r>
        <w:rPr>
          <w:rFonts w:hint="eastAsia"/>
        </w:rPr>
        <w:t>M4</w:t>
      </w:r>
      <w:r>
        <w:rPr>
          <w:rFonts w:hint="eastAsia"/>
        </w:rPr>
        <w:t>表示，本项目属于水利开发利用项目，行业及生产工艺评分具体见下表。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4</w:t>
      </w:r>
      <w:r w:rsidR="00A524F9">
        <w:fldChar w:fldCharType="end"/>
      </w:r>
      <w:r>
        <w:rPr>
          <w:rFonts w:hint="eastAsia"/>
        </w:rPr>
        <w:t xml:space="preserve">  </w:t>
      </w:r>
      <w:r>
        <w:rPr>
          <w:rFonts w:hint="eastAsia"/>
        </w:rPr>
        <w:t>行业及生产工艺评分</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3"/>
        <w:gridCol w:w="4499"/>
        <w:gridCol w:w="1073"/>
        <w:gridCol w:w="916"/>
        <w:gridCol w:w="575"/>
      </w:tblGrid>
      <w:tr w:rsidR="006175A6">
        <w:trPr>
          <w:trHeight w:val="340"/>
        </w:trPr>
        <w:tc>
          <w:tcPr>
            <w:tcW w:w="753" w:type="pct"/>
            <w:vAlign w:val="center"/>
          </w:tcPr>
          <w:p w:rsidR="006175A6" w:rsidRDefault="009B4BA7">
            <w:pPr>
              <w:pStyle w:val="TableParagraph"/>
              <w:rPr>
                <w:rFonts w:cs="Times New Roman"/>
                <w:sz w:val="21"/>
                <w:szCs w:val="21"/>
              </w:rPr>
            </w:pPr>
            <w:r>
              <w:rPr>
                <w:rFonts w:cs="Times New Roman" w:hint="eastAsia"/>
                <w:sz w:val="21"/>
                <w:szCs w:val="21"/>
              </w:rPr>
              <w:t>行业</w:t>
            </w:r>
          </w:p>
        </w:tc>
        <w:tc>
          <w:tcPr>
            <w:tcW w:w="2705" w:type="pct"/>
            <w:vAlign w:val="center"/>
          </w:tcPr>
          <w:p w:rsidR="006175A6" w:rsidRDefault="009B4BA7">
            <w:pPr>
              <w:pStyle w:val="TableParagraph"/>
              <w:rPr>
                <w:rFonts w:cs="Times New Roman"/>
                <w:sz w:val="21"/>
                <w:szCs w:val="21"/>
              </w:rPr>
            </w:pPr>
            <w:r>
              <w:rPr>
                <w:rFonts w:cs="Times New Roman" w:hint="eastAsia"/>
                <w:sz w:val="21"/>
                <w:szCs w:val="21"/>
              </w:rPr>
              <w:t>评估依据</w:t>
            </w:r>
          </w:p>
        </w:tc>
        <w:tc>
          <w:tcPr>
            <w:tcW w:w="645" w:type="pct"/>
            <w:vAlign w:val="center"/>
          </w:tcPr>
          <w:p w:rsidR="006175A6" w:rsidRDefault="009B4BA7">
            <w:pPr>
              <w:pStyle w:val="TableParagraph"/>
              <w:rPr>
                <w:rFonts w:cs="Times New Roman"/>
                <w:sz w:val="21"/>
                <w:szCs w:val="21"/>
              </w:rPr>
            </w:pPr>
            <w:r>
              <w:rPr>
                <w:rFonts w:cs="Times New Roman" w:hint="eastAsia"/>
                <w:sz w:val="21"/>
                <w:szCs w:val="21"/>
              </w:rPr>
              <w:t>分值</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企业</w:t>
            </w:r>
          </w:p>
          <w:p w:rsidR="006175A6" w:rsidRDefault="009B4BA7">
            <w:pPr>
              <w:pStyle w:val="TableParagraph"/>
              <w:rPr>
                <w:rFonts w:cs="Times New Roman"/>
                <w:sz w:val="21"/>
                <w:szCs w:val="21"/>
              </w:rPr>
            </w:pPr>
            <w:r>
              <w:rPr>
                <w:rFonts w:cs="Times New Roman" w:hint="eastAsia"/>
                <w:sz w:val="21"/>
                <w:szCs w:val="21"/>
              </w:rPr>
              <w:t>情况</w:t>
            </w:r>
          </w:p>
        </w:tc>
        <w:tc>
          <w:tcPr>
            <w:tcW w:w="347" w:type="pct"/>
            <w:vAlign w:val="center"/>
          </w:tcPr>
          <w:p w:rsidR="006175A6" w:rsidRDefault="009B4BA7">
            <w:pPr>
              <w:pStyle w:val="TableParagraph"/>
              <w:rPr>
                <w:rFonts w:cs="Times New Roman"/>
                <w:sz w:val="21"/>
                <w:szCs w:val="21"/>
              </w:rPr>
            </w:pPr>
            <w:r>
              <w:rPr>
                <w:rFonts w:cs="Times New Roman" w:hint="eastAsia"/>
                <w:sz w:val="21"/>
                <w:szCs w:val="21"/>
              </w:rPr>
              <w:t>得分</w:t>
            </w:r>
          </w:p>
        </w:tc>
      </w:tr>
      <w:tr w:rsidR="006175A6">
        <w:trPr>
          <w:trHeight w:val="340"/>
        </w:trPr>
        <w:tc>
          <w:tcPr>
            <w:tcW w:w="753" w:type="pct"/>
            <w:vMerge w:val="restar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石化、化工、医药、轻工、化纤、有色冶炼等</w:t>
            </w:r>
          </w:p>
        </w:tc>
        <w:tc>
          <w:tcPr>
            <w:tcW w:w="2705" w:type="pct"/>
            <w:vAlign w:val="center"/>
          </w:tcPr>
          <w:p w:rsidR="006175A6" w:rsidRDefault="009B4BA7">
            <w:pPr>
              <w:pStyle w:val="TableParagraph"/>
              <w:rPr>
                <w:rFonts w:cs="Times New Roman"/>
                <w:sz w:val="21"/>
                <w:szCs w:val="21"/>
                <w:lang w:eastAsia="zh-CN"/>
              </w:rPr>
            </w:pPr>
            <w:r>
              <w:rPr>
                <w:rFonts w:cs="Times New Roman" w:hint="eastAsia"/>
                <w:spacing w:val="-2"/>
                <w:sz w:val="21"/>
                <w:szCs w:val="21"/>
                <w:lang w:eastAsia="zh-CN"/>
              </w:rPr>
              <w:t>涉及光气及光气化工艺、电解工艺</w:t>
            </w:r>
            <w:r>
              <w:rPr>
                <w:rFonts w:cs="Times New Roman" w:hint="eastAsia"/>
                <w:sz w:val="21"/>
                <w:szCs w:val="21"/>
                <w:lang w:eastAsia="zh-CN"/>
              </w:rPr>
              <w:t>（氯碱</w:t>
            </w:r>
            <w:r>
              <w:rPr>
                <w:rFonts w:cs="Times New Roman" w:hint="eastAsia"/>
                <w:spacing w:val="-5"/>
                <w:sz w:val="21"/>
                <w:szCs w:val="21"/>
                <w:lang w:eastAsia="zh-CN"/>
              </w:rPr>
              <w:t>）</w:t>
            </w:r>
            <w:r>
              <w:rPr>
                <w:rFonts w:cs="Times New Roman" w:hint="eastAsia"/>
                <w:spacing w:val="-2"/>
                <w:sz w:val="21"/>
                <w:szCs w:val="21"/>
                <w:lang w:eastAsia="zh-CN"/>
              </w:rPr>
              <w:t xml:space="preserve">、氯化工 </w:t>
            </w:r>
            <w:r>
              <w:rPr>
                <w:rFonts w:cs="Times New Roman" w:hint="eastAsia"/>
                <w:spacing w:val="-4"/>
                <w:sz w:val="21"/>
                <w:szCs w:val="21"/>
                <w:lang w:eastAsia="zh-CN"/>
              </w:rPr>
              <w:t>艺、硝化工艺、合成氨工艺、裂解</w:t>
            </w:r>
            <w:r>
              <w:rPr>
                <w:rFonts w:cs="Times New Roman" w:hint="eastAsia"/>
                <w:sz w:val="21"/>
                <w:szCs w:val="21"/>
                <w:lang w:eastAsia="zh-CN"/>
              </w:rPr>
              <w:t>（裂化</w:t>
            </w:r>
            <w:r>
              <w:rPr>
                <w:rFonts w:cs="Times New Roman" w:hint="eastAsia"/>
                <w:spacing w:val="-5"/>
                <w:sz w:val="21"/>
                <w:szCs w:val="21"/>
                <w:lang w:eastAsia="zh-CN"/>
              </w:rPr>
              <w:t>）</w:t>
            </w:r>
            <w:r>
              <w:rPr>
                <w:rFonts w:cs="Times New Roman" w:hint="eastAsia"/>
                <w:sz w:val="21"/>
                <w:szCs w:val="21"/>
                <w:lang w:eastAsia="zh-CN"/>
              </w:rPr>
              <w:t xml:space="preserve">工艺、氟 </w:t>
            </w:r>
            <w:r>
              <w:rPr>
                <w:rFonts w:cs="Times New Roman" w:hint="eastAsia"/>
                <w:spacing w:val="-4"/>
                <w:sz w:val="21"/>
                <w:szCs w:val="21"/>
                <w:lang w:eastAsia="zh-CN"/>
              </w:rPr>
              <w:t xml:space="preserve">化工艺、加氢工艺、重氮化工艺、氧化工艺、过氧化 </w:t>
            </w:r>
            <w:r>
              <w:rPr>
                <w:rFonts w:cs="Times New Roman" w:hint="eastAsia"/>
                <w:spacing w:val="-5"/>
                <w:sz w:val="21"/>
                <w:szCs w:val="21"/>
                <w:lang w:eastAsia="zh-CN"/>
              </w:rPr>
              <w:t>工艺、胺基化工艺、磺化工艺、聚合工艺、烷基化工 艺、新型煤化工工艺、电石生产工艺、偶氮化工艺</w:t>
            </w:r>
          </w:p>
        </w:tc>
        <w:tc>
          <w:tcPr>
            <w:tcW w:w="645" w:type="pct"/>
            <w:vAlign w:val="center"/>
          </w:tcPr>
          <w:p w:rsidR="006175A6" w:rsidRDefault="009B4BA7">
            <w:pPr>
              <w:pStyle w:val="TableParagraph"/>
              <w:rPr>
                <w:rFonts w:cs="Times New Roman"/>
                <w:sz w:val="21"/>
                <w:szCs w:val="21"/>
              </w:rPr>
            </w:pPr>
            <w:r>
              <w:rPr>
                <w:rFonts w:ascii="Times New Roman"/>
                <w:sz w:val="21"/>
                <w:szCs w:val="21"/>
              </w:rPr>
              <w:t>10/</w:t>
            </w:r>
            <w:r>
              <w:rPr>
                <w:rFonts w:cs="Times New Roman" w:hint="eastAsia"/>
                <w:sz w:val="21"/>
                <w:szCs w:val="21"/>
              </w:rPr>
              <w:t>套</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不涉及</w:t>
            </w:r>
          </w:p>
        </w:tc>
        <w:tc>
          <w:tcPr>
            <w:tcW w:w="347" w:type="pct"/>
            <w:vAlign w:val="center"/>
          </w:tcPr>
          <w:p w:rsidR="006175A6" w:rsidRDefault="009B4BA7">
            <w:pPr>
              <w:pStyle w:val="TableParagraph"/>
              <w:rPr>
                <w:rFonts w:ascii="Times New Roman"/>
                <w:sz w:val="21"/>
                <w:szCs w:val="21"/>
              </w:rPr>
            </w:pPr>
            <w:r>
              <w:rPr>
                <w:rFonts w:ascii="Times New Roman"/>
                <w:sz w:val="21"/>
                <w:szCs w:val="21"/>
              </w:rPr>
              <w:t>0</w:t>
            </w:r>
          </w:p>
        </w:tc>
      </w:tr>
      <w:tr w:rsidR="006175A6">
        <w:trPr>
          <w:trHeight w:val="340"/>
        </w:trPr>
        <w:tc>
          <w:tcPr>
            <w:tcW w:w="753"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270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无机酸制酸工艺、焦化工艺</w:t>
            </w:r>
          </w:p>
        </w:tc>
        <w:tc>
          <w:tcPr>
            <w:tcW w:w="645" w:type="pct"/>
            <w:vAlign w:val="center"/>
          </w:tcPr>
          <w:p w:rsidR="006175A6" w:rsidRDefault="009B4BA7">
            <w:pPr>
              <w:pStyle w:val="TableParagraph"/>
              <w:rPr>
                <w:rFonts w:cs="Times New Roman"/>
                <w:sz w:val="21"/>
                <w:szCs w:val="21"/>
              </w:rPr>
            </w:pPr>
            <w:r>
              <w:rPr>
                <w:rFonts w:ascii="Times New Roman"/>
                <w:sz w:val="21"/>
                <w:szCs w:val="21"/>
              </w:rPr>
              <w:t>5/</w:t>
            </w:r>
            <w:r>
              <w:rPr>
                <w:rFonts w:cs="Times New Roman" w:hint="eastAsia"/>
                <w:sz w:val="21"/>
                <w:szCs w:val="21"/>
              </w:rPr>
              <w:t>套</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不涉及</w:t>
            </w:r>
          </w:p>
        </w:tc>
        <w:tc>
          <w:tcPr>
            <w:tcW w:w="347" w:type="pct"/>
            <w:vAlign w:val="center"/>
          </w:tcPr>
          <w:p w:rsidR="006175A6" w:rsidRDefault="009B4BA7">
            <w:pPr>
              <w:pStyle w:val="TableParagraph"/>
              <w:rPr>
                <w:rFonts w:ascii="Times New Roman"/>
                <w:sz w:val="21"/>
                <w:szCs w:val="21"/>
              </w:rPr>
            </w:pPr>
            <w:r>
              <w:rPr>
                <w:rFonts w:ascii="Times New Roman"/>
                <w:sz w:val="21"/>
                <w:szCs w:val="21"/>
              </w:rPr>
              <w:t>0</w:t>
            </w:r>
          </w:p>
        </w:tc>
      </w:tr>
      <w:tr w:rsidR="006175A6">
        <w:trPr>
          <w:trHeight w:val="340"/>
        </w:trPr>
        <w:tc>
          <w:tcPr>
            <w:tcW w:w="753"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270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其他高温或高压，且涉及易燃易爆等物质的工艺过程</w:t>
            </w:r>
            <w:r>
              <w:rPr>
                <w:rFonts w:ascii="Times New Roman"/>
                <w:sz w:val="21"/>
                <w:szCs w:val="21"/>
                <w:vertAlign w:val="superscript"/>
                <w:lang w:eastAsia="zh-CN"/>
              </w:rPr>
              <w:t>a</w:t>
            </w:r>
            <w:r>
              <w:rPr>
                <w:rFonts w:cs="Times New Roman" w:hint="eastAsia"/>
                <w:sz w:val="21"/>
                <w:szCs w:val="21"/>
                <w:lang w:eastAsia="zh-CN"/>
              </w:rPr>
              <w:t>、危险物质储存罐区</w:t>
            </w:r>
          </w:p>
        </w:tc>
        <w:tc>
          <w:tcPr>
            <w:tcW w:w="645" w:type="pct"/>
            <w:vAlign w:val="center"/>
          </w:tcPr>
          <w:p w:rsidR="006175A6" w:rsidRDefault="009B4BA7">
            <w:pPr>
              <w:pStyle w:val="TableParagraph"/>
              <w:rPr>
                <w:rFonts w:cs="Times New Roman"/>
                <w:sz w:val="21"/>
                <w:szCs w:val="21"/>
              </w:rPr>
            </w:pPr>
            <w:r>
              <w:rPr>
                <w:rFonts w:ascii="Times New Roman"/>
                <w:sz w:val="21"/>
                <w:szCs w:val="21"/>
              </w:rPr>
              <w:t>5/</w:t>
            </w:r>
            <w:r>
              <w:rPr>
                <w:rFonts w:cs="Times New Roman" w:hint="eastAsia"/>
                <w:sz w:val="21"/>
                <w:szCs w:val="21"/>
              </w:rPr>
              <w:t>套（罐</w:t>
            </w:r>
          </w:p>
          <w:p w:rsidR="006175A6" w:rsidRDefault="009B4BA7">
            <w:pPr>
              <w:pStyle w:val="TableParagraph"/>
              <w:rPr>
                <w:rFonts w:cs="Times New Roman"/>
                <w:sz w:val="21"/>
                <w:szCs w:val="21"/>
              </w:rPr>
            </w:pPr>
            <w:r>
              <w:rPr>
                <w:rFonts w:cs="Times New Roman" w:hint="eastAsia"/>
                <w:sz w:val="21"/>
                <w:szCs w:val="21"/>
              </w:rPr>
              <w:t>区）</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不涉及</w:t>
            </w:r>
          </w:p>
        </w:tc>
        <w:tc>
          <w:tcPr>
            <w:tcW w:w="347" w:type="pct"/>
            <w:vAlign w:val="center"/>
          </w:tcPr>
          <w:p w:rsidR="006175A6" w:rsidRDefault="009B4BA7">
            <w:pPr>
              <w:pStyle w:val="TableParagraph"/>
              <w:rPr>
                <w:rFonts w:ascii="Times New Roman"/>
                <w:sz w:val="21"/>
                <w:szCs w:val="21"/>
              </w:rPr>
            </w:pPr>
            <w:r>
              <w:rPr>
                <w:rFonts w:ascii="Times New Roman"/>
                <w:sz w:val="21"/>
                <w:szCs w:val="21"/>
              </w:rPr>
              <w:t>0</w:t>
            </w:r>
          </w:p>
        </w:tc>
      </w:tr>
      <w:tr w:rsidR="006175A6">
        <w:trPr>
          <w:trHeight w:val="340"/>
        </w:trPr>
        <w:tc>
          <w:tcPr>
            <w:tcW w:w="753" w:type="pct"/>
            <w:vAlign w:val="center"/>
          </w:tcPr>
          <w:p w:rsidR="006175A6" w:rsidRDefault="009B4BA7">
            <w:pPr>
              <w:pStyle w:val="TableParagraph"/>
              <w:rPr>
                <w:rFonts w:ascii="Times New Roman"/>
                <w:sz w:val="21"/>
                <w:szCs w:val="21"/>
              </w:rPr>
            </w:pPr>
            <w:r>
              <w:rPr>
                <w:rFonts w:cs="Times New Roman" w:hint="eastAsia"/>
                <w:sz w:val="21"/>
                <w:szCs w:val="21"/>
              </w:rPr>
              <w:t>管道、港口</w:t>
            </w:r>
            <w:r>
              <w:rPr>
                <w:rFonts w:ascii="Times New Roman"/>
                <w:sz w:val="21"/>
                <w:szCs w:val="21"/>
              </w:rPr>
              <w:t>/</w:t>
            </w:r>
          </w:p>
          <w:p w:rsidR="006175A6" w:rsidRDefault="009B4BA7">
            <w:pPr>
              <w:pStyle w:val="TableParagraph"/>
              <w:rPr>
                <w:rFonts w:cs="Times New Roman"/>
                <w:sz w:val="21"/>
                <w:szCs w:val="21"/>
              </w:rPr>
            </w:pPr>
            <w:r>
              <w:rPr>
                <w:rFonts w:cs="Times New Roman" w:hint="eastAsia"/>
                <w:sz w:val="21"/>
                <w:szCs w:val="21"/>
              </w:rPr>
              <w:t>码头等</w:t>
            </w:r>
          </w:p>
        </w:tc>
        <w:tc>
          <w:tcPr>
            <w:tcW w:w="270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涉及危险物质管道运输项目、港口</w:t>
            </w:r>
            <w:r>
              <w:rPr>
                <w:rFonts w:ascii="Times New Roman"/>
                <w:sz w:val="21"/>
                <w:szCs w:val="21"/>
                <w:lang w:eastAsia="zh-CN"/>
              </w:rPr>
              <w:t>/</w:t>
            </w:r>
            <w:r>
              <w:rPr>
                <w:rFonts w:cs="Times New Roman" w:hint="eastAsia"/>
                <w:sz w:val="21"/>
                <w:szCs w:val="21"/>
                <w:lang w:eastAsia="zh-CN"/>
              </w:rPr>
              <w:t>码头等</w:t>
            </w:r>
          </w:p>
        </w:tc>
        <w:tc>
          <w:tcPr>
            <w:tcW w:w="645" w:type="pct"/>
            <w:vAlign w:val="center"/>
          </w:tcPr>
          <w:p w:rsidR="006175A6" w:rsidRDefault="009B4BA7">
            <w:pPr>
              <w:pStyle w:val="TableParagraph"/>
              <w:rPr>
                <w:rFonts w:ascii="Times New Roman"/>
                <w:sz w:val="21"/>
                <w:szCs w:val="21"/>
              </w:rPr>
            </w:pPr>
            <w:r>
              <w:rPr>
                <w:rFonts w:ascii="Times New Roman"/>
                <w:sz w:val="21"/>
                <w:szCs w:val="21"/>
              </w:rPr>
              <w:t>10</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不涉及</w:t>
            </w:r>
          </w:p>
        </w:tc>
        <w:tc>
          <w:tcPr>
            <w:tcW w:w="347" w:type="pct"/>
            <w:vAlign w:val="center"/>
          </w:tcPr>
          <w:p w:rsidR="006175A6" w:rsidRDefault="009B4BA7">
            <w:pPr>
              <w:pStyle w:val="TableParagraph"/>
              <w:rPr>
                <w:rFonts w:ascii="Times New Roman"/>
                <w:sz w:val="21"/>
                <w:szCs w:val="21"/>
              </w:rPr>
            </w:pPr>
            <w:r>
              <w:rPr>
                <w:rFonts w:ascii="Times New Roman"/>
                <w:sz w:val="21"/>
                <w:szCs w:val="21"/>
              </w:rPr>
              <w:t>0</w:t>
            </w:r>
          </w:p>
        </w:tc>
      </w:tr>
      <w:tr w:rsidR="006175A6">
        <w:trPr>
          <w:trHeight w:val="340"/>
        </w:trPr>
        <w:tc>
          <w:tcPr>
            <w:tcW w:w="753" w:type="pct"/>
            <w:vAlign w:val="center"/>
          </w:tcPr>
          <w:p w:rsidR="006175A6" w:rsidRDefault="006175A6">
            <w:pPr>
              <w:pStyle w:val="TableParagraph"/>
              <w:rPr>
                <w:rFonts w:cs="Times New Roman"/>
                <w:sz w:val="21"/>
                <w:szCs w:val="21"/>
              </w:rPr>
            </w:pPr>
          </w:p>
          <w:p w:rsidR="006175A6" w:rsidRDefault="009B4BA7">
            <w:pPr>
              <w:pStyle w:val="TableParagraph"/>
              <w:rPr>
                <w:rFonts w:cs="Times New Roman"/>
                <w:sz w:val="21"/>
                <w:szCs w:val="21"/>
              </w:rPr>
            </w:pPr>
            <w:r>
              <w:rPr>
                <w:rFonts w:cs="Times New Roman" w:hint="eastAsia"/>
                <w:sz w:val="21"/>
                <w:szCs w:val="21"/>
              </w:rPr>
              <w:t>石油天然气</w:t>
            </w:r>
          </w:p>
        </w:tc>
        <w:tc>
          <w:tcPr>
            <w:tcW w:w="2705"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石油、天然气、页岩气开采（含净化）、气库（不含加气站的气库</w:t>
            </w:r>
            <w:r>
              <w:rPr>
                <w:rFonts w:cs="Times New Roman" w:hint="eastAsia"/>
                <w:spacing w:val="-5"/>
                <w:sz w:val="21"/>
                <w:szCs w:val="21"/>
                <w:lang w:eastAsia="zh-CN"/>
              </w:rPr>
              <w:t>）</w:t>
            </w:r>
            <w:r>
              <w:rPr>
                <w:rFonts w:cs="Times New Roman" w:hint="eastAsia"/>
                <w:spacing w:val="-3"/>
                <w:sz w:val="21"/>
                <w:szCs w:val="21"/>
                <w:lang w:eastAsia="zh-CN"/>
              </w:rPr>
              <w:t>、油库</w:t>
            </w:r>
            <w:r>
              <w:rPr>
                <w:rFonts w:cs="Times New Roman" w:hint="eastAsia"/>
                <w:sz w:val="21"/>
                <w:szCs w:val="21"/>
                <w:lang w:eastAsia="zh-CN"/>
              </w:rPr>
              <w:t>（不含加气站的油库</w:t>
            </w:r>
            <w:r>
              <w:rPr>
                <w:rFonts w:cs="Times New Roman" w:hint="eastAsia"/>
                <w:spacing w:val="-3"/>
                <w:sz w:val="21"/>
                <w:szCs w:val="21"/>
                <w:lang w:eastAsia="zh-CN"/>
              </w:rPr>
              <w:t>）</w:t>
            </w:r>
            <w:r>
              <w:rPr>
                <w:rFonts w:cs="Times New Roman" w:hint="eastAsia"/>
                <w:spacing w:val="-2"/>
                <w:sz w:val="21"/>
                <w:szCs w:val="21"/>
                <w:lang w:eastAsia="zh-CN"/>
              </w:rPr>
              <w:t>、油气</w:t>
            </w:r>
            <w:r>
              <w:rPr>
                <w:rFonts w:cs="Times New Roman" w:hint="eastAsia"/>
                <w:spacing w:val="-19"/>
                <w:sz w:val="21"/>
                <w:szCs w:val="21"/>
                <w:lang w:eastAsia="zh-CN"/>
              </w:rPr>
              <w:t xml:space="preserve">管线 </w:t>
            </w:r>
            <w:r>
              <w:rPr>
                <w:rFonts w:ascii="Times New Roman"/>
                <w:sz w:val="21"/>
                <w:szCs w:val="21"/>
                <w:vertAlign w:val="superscript"/>
                <w:lang w:eastAsia="zh-CN"/>
              </w:rPr>
              <w:t>b</w:t>
            </w:r>
            <w:r>
              <w:rPr>
                <w:rFonts w:cs="Times New Roman" w:hint="eastAsia"/>
                <w:sz w:val="21"/>
                <w:szCs w:val="21"/>
                <w:lang w:eastAsia="zh-CN"/>
              </w:rPr>
              <w:t>（不含城镇燃气管线）</w:t>
            </w:r>
          </w:p>
        </w:tc>
        <w:tc>
          <w:tcPr>
            <w:tcW w:w="645" w:type="pct"/>
            <w:vAlign w:val="center"/>
          </w:tcPr>
          <w:p w:rsidR="006175A6" w:rsidRDefault="006175A6">
            <w:pPr>
              <w:pStyle w:val="TableParagraph"/>
              <w:rPr>
                <w:rFonts w:cs="Times New Roman"/>
                <w:lang w:eastAsia="zh-CN"/>
              </w:rPr>
            </w:pPr>
          </w:p>
          <w:p w:rsidR="006175A6" w:rsidRDefault="009B4BA7">
            <w:pPr>
              <w:pStyle w:val="TableParagraph"/>
              <w:rPr>
                <w:rFonts w:ascii="Times New Roman"/>
                <w:sz w:val="21"/>
                <w:szCs w:val="21"/>
              </w:rPr>
            </w:pPr>
            <w:r>
              <w:rPr>
                <w:rFonts w:ascii="Times New Roman"/>
                <w:sz w:val="21"/>
                <w:szCs w:val="21"/>
              </w:rPr>
              <w:t>10</w:t>
            </w:r>
          </w:p>
        </w:tc>
        <w:tc>
          <w:tcPr>
            <w:tcW w:w="551" w:type="pct"/>
            <w:vAlign w:val="center"/>
          </w:tcPr>
          <w:p w:rsidR="006175A6" w:rsidRDefault="006175A6">
            <w:pPr>
              <w:pStyle w:val="TableParagraph"/>
              <w:rPr>
                <w:rFonts w:cs="Times New Roman"/>
                <w:sz w:val="21"/>
                <w:szCs w:val="21"/>
              </w:rPr>
            </w:pPr>
          </w:p>
          <w:p w:rsidR="006175A6" w:rsidRDefault="009B4BA7">
            <w:pPr>
              <w:pStyle w:val="TableParagraph"/>
              <w:rPr>
                <w:rFonts w:cs="Times New Roman"/>
                <w:sz w:val="21"/>
                <w:szCs w:val="21"/>
              </w:rPr>
            </w:pPr>
            <w:r>
              <w:rPr>
                <w:rFonts w:cs="Times New Roman" w:hint="eastAsia"/>
                <w:sz w:val="21"/>
                <w:szCs w:val="21"/>
              </w:rPr>
              <w:t>不涉及</w:t>
            </w:r>
          </w:p>
        </w:tc>
        <w:tc>
          <w:tcPr>
            <w:tcW w:w="347" w:type="pct"/>
            <w:vAlign w:val="center"/>
          </w:tcPr>
          <w:p w:rsidR="006175A6" w:rsidRDefault="006175A6">
            <w:pPr>
              <w:pStyle w:val="TableParagraph"/>
              <w:rPr>
                <w:rFonts w:cs="Times New Roman"/>
              </w:rPr>
            </w:pPr>
          </w:p>
          <w:p w:rsidR="006175A6" w:rsidRDefault="009B4BA7">
            <w:pPr>
              <w:pStyle w:val="TableParagraph"/>
              <w:rPr>
                <w:rFonts w:ascii="Times New Roman"/>
                <w:sz w:val="21"/>
                <w:szCs w:val="21"/>
              </w:rPr>
            </w:pPr>
            <w:r>
              <w:rPr>
                <w:rFonts w:ascii="Times New Roman"/>
                <w:sz w:val="21"/>
                <w:szCs w:val="21"/>
              </w:rPr>
              <w:t>0</w:t>
            </w:r>
          </w:p>
        </w:tc>
      </w:tr>
      <w:tr w:rsidR="006175A6">
        <w:trPr>
          <w:trHeight w:val="340"/>
        </w:trPr>
        <w:tc>
          <w:tcPr>
            <w:tcW w:w="753" w:type="pct"/>
            <w:vMerge w:val="restart"/>
            <w:vAlign w:val="center"/>
          </w:tcPr>
          <w:p w:rsidR="006175A6" w:rsidRDefault="009B4BA7">
            <w:pPr>
              <w:pStyle w:val="TableParagraph"/>
              <w:rPr>
                <w:rFonts w:cs="Times New Roman"/>
                <w:sz w:val="21"/>
                <w:szCs w:val="21"/>
              </w:rPr>
            </w:pPr>
            <w:r>
              <w:rPr>
                <w:rFonts w:cs="Times New Roman" w:hint="eastAsia"/>
                <w:sz w:val="21"/>
                <w:szCs w:val="21"/>
              </w:rPr>
              <w:t>其他</w:t>
            </w:r>
          </w:p>
        </w:tc>
        <w:tc>
          <w:tcPr>
            <w:tcW w:w="2705" w:type="pct"/>
            <w:vMerge w:val="restar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涉及危险物质使用、贮存的项目</w:t>
            </w:r>
          </w:p>
        </w:tc>
        <w:tc>
          <w:tcPr>
            <w:tcW w:w="645" w:type="pct"/>
            <w:vMerge w:val="restart"/>
            <w:vAlign w:val="center"/>
          </w:tcPr>
          <w:p w:rsidR="006175A6" w:rsidRDefault="009B4BA7">
            <w:pPr>
              <w:pStyle w:val="TableParagraph"/>
              <w:rPr>
                <w:rFonts w:ascii="Times New Roman"/>
                <w:sz w:val="21"/>
                <w:szCs w:val="21"/>
              </w:rPr>
            </w:pPr>
            <w:r>
              <w:rPr>
                <w:rFonts w:ascii="Times New Roman"/>
                <w:sz w:val="21"/>
                <w:szCs w:val="21"/>
              </w:rPr>
              <w:t>5</w:t>
            </w: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柴油</w:t>
            </w:r>
          </w:p>
        </w:tc>
        <w:tc>
          <w:tcPr>
            <w:tcW w:w="347" w:type="pct"/>
            <w:vMerge w:val="restart"/>
            <w:vAlign w:val="center"/>
          </w:tcPr>
          <w:p w:rsidR="006175A6" w:rsidRDefault="009B4BA7">
            <w:pPr>
              <w:pStyle w:val="TableParagraph"/>
              <w:rPr>
                <w:rFonts w:ascii="Times New Roman"/>
                <w:sz w:val="21"/>
                <w:szCs w:val="21"/>
              </w:rPr>
            </w:pPr>
            <w:r>
              <w:rPr>
                <w:rFonts w:ascii="Times New Roman"/>
                <w:sz w:val="21"/>
                <w:szCs w:val="21"/>
              </w:rPr>
              <w:t>5</w:t>
            </w:r>
          </w:p>
        </w:tc>
      </w:tr>
      <w:tr w:rsidR="006175A6">
        <w:trPr>
          <w:trHeight w:val="340"/>
        </w:trPr>
        <w:tc>
          <w:tcPr>
            <w:tcW w:w="753"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2705" w:type="pct"/>
            <w:vMerge/>
            <w:vAlign w:val="center"/>
          </w:tcPr>
          <w:p w:rsidR="006175A6" w:rsidRDefault="006175A6">
            <w:pPr>
              <w:widowControl/>
              <w:autoSpaceDE/>
              <w:autoSpaceDN/>
              <w:spacing w:line="240" w:lineRule="auto"/>
              <w:ind w:firstLineChars="0" w:firstLine="0"/>
              <w:jc w:val="center"/>
              <w:rPr>
                <w:rFonts w:ascii="宋体" w:hAnsi="宋体"/>
                <w:sz w:val="21"/>
              </w:rPr>
            </w:pPr>
          </w:p>
        </w:tc>
        <w:tc>
          <w:tcPr>
            <w:tcW w:w="645" w:type="pct"/>
            <w:vMerge/>
            <w:vAlign w:val="center"/>
          </w:tcPr>
          <w:p w:rsidR="006175A6" w:rsidRDefault="006175A6">
            <w:pPr>
              <w:widowControl/>
              <w:autoSpaceDE/>
              <w:autoSpaceDN/>
              <w:spacing w:line="240" w:lineRule="auto"/>
              <w:ind w:firstLineChars="0" w:firstLine="0"/>
              <w:jc w:val="center"/>
              <w:rPr>
                <w:rFonts w:hAnsi="宋体" w:cs="宋体"/>
                <w:sz w:val="21"/>
              </w:rPr>
            </w:pPr>
          </w:p>
        </w:tc>
        <w:tc>
          <w:tcPr>
            <w:tcW w:w="551" w:type="pct"/>
            <w:vAlign w:val="center"/>
          </w:tcPr>
          <w:p w:rsidR="006175A6" w:rsidRDefault="009B4BA7">
            <w:pPr>
              <w:pStyle w:val="TableParagraph"/>
              <w:rPr>
                <w:rFonts w:cs="Times New Roman"/>
                <w:sz w:val="21"/>
                <w:szCs w:val="21"/>
              </w:rPr>
            </w:pPr>
            <w:r>
              <w:rPr>
                <w:rFonts w:cs="Times New Roman" w:hint="eastAsia"/>
                <w:sz w:val="21"/>
                <w:szCs w:val="21"/>
              </w:rPr>
              <w:t>汽油</w:t>
            </w:r>
          </w:p>
        </w:tc>
        <w:tc>
          <w:tcPr>
            <w:tcW w:w="347" w:type="pct"/>
            <w:vMerge/>
            <w:vAlign w:val="center"/>
          </w:tcPr>
          <w:p w:rsidR="006175A6" w:rsidRDefault="006175A6">
            <w:pPr>
              <w:widowControl/>
              <w:autoSpaceDE/>
              <w:autoSpaceDN/>
              <w:spacing w:line="240" w:lineRule="auto"/>
              <w:ind w:firstLineChars="0" w:firstLine="0"/>
              <w:jc w:val="center"/>
              <w:rPr>
                <w:rFonts w:hAnsi="宋体" w:cs="宋体"/>
                <w:sz w:val="21"/>
              </w:rPr>
            </w:pPr>
          </w:p>
        </w:tc>
      </w:tr>
      <w:tr w:rsidR="006175A6">
        <w:trPr>
          <w:trHeight w:val="340"/>
        </w:trPr>
        <w:tc>
          <w:tcPr>
            <w:tcW w:w="753" w:type="pct"/>
            <w:vAlign w:val="center"/>
          </w:tcPr>
          <w:p w:rsidR="006175A6" w:rsidRDefault="009B4BA7">
            <w:pPr>
              <w:pStyle w:val="TableParagraph"/>
              <w:rPr>
                <w:rFonts w:cs="Times New Roman"/>
                <w:sz w:val="21"/>
                <w:szCs w:val="21"/>
              </w:rPr>
            </w:pPr>
            <w:r>
              <w:rPr>
                <w:rFonts w:cs="Times New Roman" w:hint="eastAsia"/>
                <w:sz w:val="21"/>
                <w:szCs w:val="21"/>
              </w:rPr>
              <w:t>合计</w:t>
            </w:r>
          </w:p>
        </w:tc>
        <w:tc>
          <w:tcPr>
            <w:tcW w:w="2705" w:type="pct"/>
            <w:vAlign w:val="center"/>
          </w:tcPr>
          <w:p w:rsidR="006175A6" w:rsidRDefault="009B4BA7">
            <w:pPr>
              <w:pStyle w:val="TableParagraph"/>
              <w:rPr>
                <w:rFonts w:ascii="Times New Roman"/>
                <w:sz w:val="21"/>
                <w:szCs w:val="21"/>
              </w:rPr>
            </w:pPr>
            <w:r>
              <w:rPr>
                <w:rFonts w:ascii="Times New Roman"/>
                <w:sz w:val="21"/>
                <w:szCs w:val="21"/>
              </w:rPr>
              <w:t>/</w:t>
            </w:r>
          </w:p>
        </w:tc>
        <w:tc>
          <w:tcPr>
            <w:tcW w:w="645" w:type="pct"/>
            <w:vAlign w:val="center"/>
          </w:tcPr>
          <w:p w:rsidR="006175A6" w:rsidRDefault="009B4BA7">
            <w:pPr>
              <w:pStyle w:val="TableParagraph"/>
              <w:rPr>
                <w:rFonts w:ascii="Times New Roman"/>
                <w:sz w:val="21"/>
                <w:szCs w:val="21"/>
              </w:rPr>
            </w:pPr>
            <w:r>
              <w:rPr>
                <w:rFonts w:ascii="Times New Roman"/>
                <w:sz w:val="21"/>
                <w:szCs w:val="21"/>
              </w:rPr>
              <w:t>/</w:t>
            </w:r>
          </w:p>
        </w:tc>
        <w:tc>
          <w:tcPr>
            <w:tcW w:w="551" w:type="pct"/>
            <w:vAlign w:val="center"/>
          </w:tcPr>
          <w:p w:rsidR="006175A6" w:rsidRDefault="009B4BA7">
            <w:pPr>
              <w:pStyle w:val="TableParagraph"/>
              <w:rPr>
                <w:rFonts w:ascii="Times New Roman"/>
                <w:sz w:val="21"/>
                <w:szCs w:val="21"/>
              </w:rPr>
            </w:pPr>
            <w:r>
              <w:rPr>
                <w:rFonts w:ascii="Times New Roman"/>
                <w:sz w:val="21"/>
                <w:szCs w:val="21"/>
              </w:rPr>
              <w:t>/</w:t>
            </w:r>
          </w:p>
        </w:tc>
        <w:tc>
          <w:tcPr>
            <w:tcW w:w="347" w:type="pct"/>
            <w:vAlign w:val="center"/>
          </w:tcPr>
          <w:p w:rsidR="006175A6" w:rsidRDefault="009B4BA7">
            <w:pPr>
              <w:pStyle w:val="TableParagraph"/>
              <w:rPr>
                <w:rFonts w:ascii="Times New Roman"/>
                <w:sz w:val="21"/>
                <w:szCs w:val="21"/>
              </w:rPr>
            </w:pPr>
            <w:r>
              <w:rPr>
                <w:rFonts w:ascii="Times New Roman"/>
                <w:sz w:val="21"/>
                <w:szCs w:val="21"/>
              </w:rPr>
              <w:t>5</w:t>
            </w:r>
          </w:p>
        </w:tc>
      </w:tr>
    </w:tbl>
    <w:p w:rsidR="006175A6" w:rsidRDefault="009B4BA7">
      <w:pPr>
        <w:spacing w:line="240" w:lineRule="auto"/>
        <w:ind w:firstLineChars="0" w:firstLine="0"/>
      </w:pPr>
      <w:r>
        <w:rPr>
          <w:rFonts w:hint="eastAsia"/>
        </w:rPr>
        <w:t>注：</w:t>
      </w:r>
      <w:r>
        <w:rPr>
          <w:rFonts w:hint="eastAsia"/>
        </w:rPr>
        <w:t>a.</w:t>
      </w:r>
      <w:r>
        <w:rPr>
          <w:rFonts w:hint="eastAsia"/>
        </w:rPr>
        <w:t>高温指工艺温度≥</w:t>
      </w:r>
      <w:r>
        <w:rPr>
          <w:rFonts w:hint="eastAsia"/>
        </w:rPr>
        <w:t xml:space="preserve">300 </w:t>
      </w:r>
      <w:r>
        <w:rPr>
          <w:rFonts w:hint="eastAsia"/>
        </w:rPr>
        <w:t>℃，高压指压力容器的设计压力（</w:t>
      </w:r>
      <w:r>
        <w:rPr>
          <w:rFonts w:hint="eastAsia"/>
        </w:rPr>
        <w:t>P</w:t>
      </w:r>
      <w:r>
        <w:rPr>
          <w:rFonts w:hint="eastAsia"/>
        </w:rPr>
        <w:t>）≥</w:t>
      </w:r>
      <w:r>
        <w:rPr>
          <w:rFonts w:hint="eastAsia"/>
        </w:rPr>
        <w:t>10.0 MPa</w:t>
      </w:r>
      <w:r>
        <w:rPr>
          <w:rFonts w:hint="eastAsia"/>
        </w:rPr>
        <w:t>；</w:t>
      </w:r>
    </w:p>
    <w:p w:rsidR="006175A6" w:rsidRDefault="009B4BA7">
      <w:pPr>
        <w:spacing w:line="240" w:lineRule="auto"/>
        <w:ind w:firstLineChars="0" w:firstLine="420"/>
      </w:pPr>
      <w:r>
        <w:rPr>
          <w:rFonts w:hint="eastAsia"/>
        </w:rPr>
        <w:t>b.</w:t>
      </w:r>
      <w:r>
        <w:rPr>
          <w:rFonts w:hint="eastAsia"/>
        </w:rPr>
        <w:t>长输管道运输项目应按站场、管线分段进行评价。</w:t>
      </w:r>
    </w:p>
    <w:p w:rsidR="006175A6" w:rsidRDefault="009B4BA7">
      <w:pPr>
        <w:ind w:firstLine="480"/>
      </w:pPr>
      <w:r>
        <w:rPr>
          <w:rFonts w:hint="eastAsia"/>
        </w:rPr>
        <w:t>由上表可知，本项目</w:t>
      </w:r>
      <w:r>
        <w:rPr>
          <w:rFonts w:hint="eastAsia"/>
        </w:rPr>
        <w:t>M=5</w:t>
      </w:r>
      <w:r>
        <w:rPr>
          <w:rFonts w:hint="eastAsia"/>
        </w:rPr>
        <w:t>，以</w:t>
      </w:r>
      <w:r>
        <w:rPr>
          <w:rFonts w:hint="eastAsia"/>
        </w:rPr>
        <w:t>M4</w:t>
      </w:r>
      <w:r>
        <w:rPr>
          <w:rFonts w:hint="eastAsia"/>
        </w:rPr>
        <w:t>表示。</w:t>
      </w:r>
    </w:p>
    <w:p w:rsidR="006175A6" w:rsidRDefault="009B4BA7">
      <w:pPr>
        <w:pStyle w:val="3"/>
      </w:pPr>
      <w:r>
        <w:rPr>
          <w:rFonts w:hint="eastAsia"/>
        </w:rPr>
        <w:t>环境敏感目标调查</w:t>
      </w:r>
    </w:p>
    <w:p w:rsidR="006175A6" w:rsidRDefault="009B4BA7">
      <w:pPr>
        <w:ind w:firstLine="482"/>
        <w:rPr>
          <w:b/>
        </w:rPr>
      </w:pPr>
      <w:r>
        <w:rPr>
          <w:rFonts w:hint="eastAsia"/>
          <w:b/>
        </w:rPr>
        <w:t>1</w:t>
      </w:r>
      <w:r>
        <w:rPr>
          <w:rFonts w:hint="eastAsia"/>
          <w:b/>
        </w:rPr>
        <w:t>、风险评价范围</w:t>
      </w:r>
    </w:p>
    <w:p w:rsidR="006175A6" w:rsidRDefault="009B4BA7">
      <w:pPr>
        <w:ind w:firstLine="480"/>
      </w:pPr>
      <w:r>
        <w:rPr>
          <w:rFonts w:hint="eastAsia"/>
        </w:rPr>
        <w:t>本次环境风险评价等级为简单分析，根据《建设项目环境风险评价技术导则》（</w:t>
      </w:r>
      <w:r>
        <w:rPr>
          <w:rFonts w:hint="eastAsia"/>
        </w:rPr>
        <w:t>HJ 169-2018</w:t>
      </w:r>
      <w:r>
        <w:rPr>
          <w:rFonts w:hint="eastAsia"/>
        </w:rPr>
        <w:t>），大气风险评价范围同大气评价范围，地表水环境风险评价范围同地表水评价范围，地下水环境风险评价范围同地下水评价范围。</w:t>
      </w:r>
    </w:p>
    <w:p w:rsidR="006175A6" w:rsidRDefault="009B4BA7">
      <w:pPr>
        <w:ind w:firstLine="480"/>
      </w:pPr>
      <w:r>
        <w:rPr>
          <w:rFonts w:hint="eastAsia"/>
        </w:rPr>
        <w:t>2</w:t>
      </w:r>
      <w:r>
        <w:rPr>
          <w:rFonts w:hint="eastAsia"/>
        </w:rPr>
        <w:t>、环境风险敏感目标</w:t>
      </w:r>
    </w:p>
    <w:p w:rsidR="006175A6" w:rsidRDefault="009B4BA7">
      <w:pPr>
        <w:ind w:firstLine="480"/>
      </w:pPr>
      <w:r>
        <w:rPr>
          <w:rFonts w:hint="eastAsia"/>
        </w:rPr>
        <w:t>项目主要环境风险保护目标类型有评价范围内居民点、学校及规划居民区，项目环境保护目标分布一览表见</w:t>
      </w:r>
      <w:r w:rsidR="00D43EA2">
        <w:rPr>
          <w:rFonts w:hint="eastAsia"/>
        </w:rPr>
        <w:t>第一章节。</w:t>
      </w:r>
    </w:p>
    <w:p w:rsidR="006175A6" w:rsidRDefault="009B4BA7">
      <w:pPr>
        <w:pStyle w:val="2"/>
      </w:pPr>
      <w:bookmarkStart w:id="80" w:name="_Toc80170124"/>
      <w:r>
        <w:rPr>
          <w:rFonts w:hint="eastAsia"/>
        </w:rPr>
        <w:lastRenderedPageBreak/>
        <w:t>环境风险潜势初判</w:t>
      </w:r>
      <w:bookmarkEnd w:id="80"/>
    </w:p>
    <w:p w:rsidR="006175A6" w:rsidRDefault="009B4BA7">
      <w:pPr>
        <w:pStyle w:val="3"/>
      </w:pPr>
      <w:r>
        <w:rPr>
          <w:rFonts w:hint="eastAsia"/>
        </w:rPr>
        <w:t>危险物质数量与临界量比值（</w:t>
      </w:r>
      <w:r>
        <w:rPr>
          <w:rFonts w:hint="eastAsia"/>
        </w:rPr>
        <w:t>Q</w:t>
      </w:r>
      <w:r>
        <w:rPr>
          <w:rFonts w:hint="eastAsia"/>
        </w:rPr>
        <w:t>）</w:t>
      </w:r>
    </w:p>
    <w:p w:rsidR="006175A6" w:rsidRDefault="009B4BA7">
      <w:pPr>
        <w:ind w:firstLine="480"/>
      </w:pPr>
      <w:r>
        <w:rPr>
          <w:rFonts w:hint="eastAsia"/>
        </w:rPr>
        <w:t>计算所涉及的每种危险物质在厂界内的最大存在总量与其在附录</w:t>
      </w:r>
      <w:r>
        <w:rPr>
          <w:rFonts w:hint="eastAsia"/>
        </w:rPr>
        <w:t xml:space="preserve"> B </w:t>
      </w:r>
      <w:r>
        <w:rPr>
          <w:rFonts w:hint="eastAsia"/>
        </w:rPr>
        <w:t>中对应临界量的比值</w:t>
      </w:r>
      <w:r>
        <w:rPr>
          <w:rFonts w:hint="eastAsia"/>
        </w:rPr>
        <w:t>Q</w:t>
      </w:r>
      <w:r>
        <w:rPr>
          <w:rFonts w:hint="eastAsia"/>
        </w:rPr>
        <w:t>。在不同厂区的同一种物质，按其在厂界内的最大存在总量计算。对于长输管线项目，按照两个截断阀室之间管段危险物质最大存在总量计算。当只涉及一种危险物质时，计算该物质的总量与其临界量比值，即为</w:t>
      </w:r>
      <w:r>
        <w:rPr>
          <w:rFonts w:hint="eastAsia"/>
        </w:rPr>
        <w:t>Q</w:t>
      </w:r>
      <w:r>
        <w:rPr>
          <w:rFonts w:hint="eastAsia"/>
        </w:rPr>
        <w:t>；</w:t>
      </w:r>
      <w:r>
        <w:rPr>
          <w:rFonts w:hint="eastAsia"/>
        </w:rPr>
        <w:t xml:space="preserve"> </w:t>
      </w:r>
      <w:r>
        <w:rPr>
          <w:rFonts w:hint="eastAsia"/>
        </w:rPr>
        <w:t>当存在多种危险物质时，则按式（</w:t>
      </w:r>
      <w:r>
        <w:rPr>
          <w:rFonts w:hint="eastAsia"/>
        </w:rPr>
        <w:t>C.1</w:t>
      </w:r>
      <w:r>
        <w:rPr>
          <w:rFonts w:hint="eastAsia"/>
        </w:rPr>
        <w:t>）计算物质总量与其临界量比值（</w:t>
      </w:r>
      <w:r>
        <w:rPr>
          <w:rFonts w:hint="eastAsia"/>
        </w:rPr>
        <w:t>Q</w:t>
      </w:r>
      <w:r>
        <w:rPr>
          <w:rFonts w:hint="eastAsia"/>
        </w:rPr>
        <w:t>）：</w:t>
      </w:r>
    </w:p>
    <w:p w:rsidR="006175A6" w:rsidRDefault="009B4BA7">
      <w:pPr>
        <w:ind w:firstLineChars="83" w:firstLine="199"/>
        <w:jc w:val="center"/>
      </w:pPr>
      <w:r>
        <w:rPr>
          <w:noProof/>
        </w:rPr>
        <w:drawing>
          <wp:inline distT="0" distB="0" distL="0" distR="0" wp14:anchorId="53C35F92" wp14:editId="093648BF">
            <wp:extent cx="1574165" cy="492760"/>
            <wp:effectExtent l="0" t="0" r="6985" b="2540"/>
            <wp:docPr id="5" name="图片 5" descr="C:\Users\ADMINI~1\AppData\Local\Temp\ksohtml974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9748\wp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74165" cy="492760"/>
                    </a:xfrm>
                    <a:prstGeom prst="rect">
                      <a:avLst/>
                    </a:prstGeom>
                    <a:noFill/>
                    <a:ln>
                      <a:noFill/>
                    </a:ln>
                  </pic:spPr>
                </pic:pic>
              </a:graphicData>
            </a:graphic>
          </wp:inline>
        </w:drawing>
      </w:r>
    </w:p>
    <w:p w:rsidR="006175A6" w:rsidRDefault="009B4BA7">
      <w:pPr>
        <w:adjustRightInd w:val="0"/>
        <w:snapToGrid w:val="0"/>
        <w:ind w:firstLine="480"/>
      </w:pPr>
      <w:r>
        <w:rPr>
          <w:rFonts w:ascii="宋体" w:hAnsi="宋体" w:hint="eastAsia"/>
        </w:rPr>
        <w:t>式中：</w:t>
      </w:r>
      <w:r>
        <w:t>q</w:t>
      </w:r>
      <w:r>
        <w:rPr>
          <w:vertAlign w:val="subscript"/>
        </w:rPr>
        <w:t>1</w:t>
      </w:r>
      <w:r>
        <w:t>, q</w:t>
      </w:r>
      <w:r>
        <w:rPr>
          <w:vertAlign w:val="subscript"/>
        </w:rPr>
        <w:t>2</w:t>
      </w:r>
      <w:r>
        <w:t>, ...,q</w:t>
      </w:r>
      <w:r>
        <w:rPr>
          <w:vertAlign w:val="subscript"/>
        </w:rPr>
        <w:t>n</w:t>
      </w:r>
      <w:r>
        <w:t>--</w:t>
      </w:r>
      <w:r>
        <w:rPr>
          <w:rFonts w:ascii="宋体" w:hAnsi="宋体" w:hint="eastAsia"/>
        </w:rPr>
        <w:t>每种环境风险物质的最大存在总量，</w:t>
      </w:r>
      <w:r>
        <w:t>t</w:t>
      </w:r>
      <w:r>
        <w:rPr>
          <w:rFonts w:ascii="宋体" w:hAnsi="宋体" w:hint="eastAsia"/>
        </w:rPr>
        <w:t>；</w:t>
      </w:r>
    </w:p>
    <w:p w:rsidR="006175A6" w:rsidRDefault="009B4BA7">
      <w:pPr>
        <w:adjustRightInd w:val="0"/>
        <w:snapToGrid w:val="0"/>
        <w:ind w:firstLineChars="400" w:firstLine="960"/>
      </w:pPr>
      <w:r>
        <w:t>Q</w:t>
      </w:r>
      <w:r>
        <w:rPr>
          <w:vertAlign w:val="subscript"/>
        </w:rPr>
        <w:t>1</w:t>
      </w:r>
      <w:r>
        <w:t>, Q</w:t>
      </w:r>
      <w:r>
        <w:rPr>
          <w:vertAlign w:val="subscript"/>
        </w:rPr>
        <w:t>2</w:t>
      </w:r>
      <w:r>
        <w:t>, ...,Q</w:t>
      </w:r>
      <w:r>
        <w:rPr>
          <w:vertAlign w:val="subscript"/>
        </w:rPr>
        <w:t>n</w:t>
      </w:r>
      <w:r>
        <w:t>--</w:t>
      </w:r>
      <w:r>
        <w:rPr>
          <w:rFonts w:ascii="宋体" w:hAnsi="宋体" w:hint="eastAsia"/>
        </w:rPr>
        <w:t>每种环境风险物质的临界量，</w:t>
      </w:r>
      <w:r>
        <w:t>t</w:t>
      </w:r>
      <w:r>
        <w:rPr>
          <w:rFonts w:ascii="宋体" w:hAnsi="宋体" w:hint="eastAsia"/>
        </w:rPr>
        <w:t>。</w:t>
      </w:r>
    </w:p>
    <w:p w:rsidR="006175A6" w:rsidRDefault="009B4BA7">
      <w:pPr>
        <w:snapToGrid w:val="0"/>
        <w:ind w:firstLine="480"/>
      </w:pPr>
      <w:r>
        <w:rPr>
          <w:rFonts w:ascii="宋体" w:hAnsi="宋体" w:hint="eastAsia"/>
        </w:rPr>
        <w:t>根据《企业突发环境事件风险分级方法》（</w:t>
      </w:r>
      <w:r>
        <w:t>HJ941-2018</w:t>
      </w:r>
      <w:r>
        <w:rPr>
          <w:rFonts w:ascii="宋体" w:hAnsi="宋体" w:hint="eastAsia"/>
        </w:rPr>
        <w:t>）：</w:t>
      </w:r>
    </w:p>
    <w:p w:rsidR="006175A6" w:rsidRDefault="009B4BA7">
      <w:pPr>
        <w:ind w:firstLine="480"/>
      </w:pPr>
      <w:r>
        <w:t>Q</w:t>
      </w:r>
      <w:r>
        <w:rPr>
          <w:rFonts w:ascii="宋体" w:hAnsi="宋体"/>
        </w:rPr>
        <w:t>＜</w:t>
      </w:r>
      <w:r>
        <w:t>1</w:t>
      </w:r>
      <w:r>
        <w:rPr>
          <w:rFonts w:ascii="宋体" w:hAnsi="宋体"/>
        </w:rPr>
        <w:t>时，以</w:t>
      </w:r>
      <w:r>
        <w:t>Q</w:t>
      </w:r>
      <w:r>
        <w:rPr>
          <w:vertAlign w:val="subscript"/>
        </w:rPr>
        <w:t>0</w:t>
      </w:r>
      <w:r>
        <w:rPr>
          <w:rFonts w:ascii="宋体" w:hAnsi="宋体"/>
        </w:rPr>
        <w:t>表示，企业直接评为一般环境风险等级；</w:t>
      </w:r>
    </w:p>
    <w:p w:rsidR="006175A6" w:rsidRDefault="009B4BA7">
      <w:pPr>
        <w:ind w:firstLine="480"/>
      </w:pPr>
      <w:r>
        <w:t>1≤Q</w:t>
      </w:r>
      <w:r>
        <w:rPr>
          <w:rFonts w:ascii="宋体" w:hAnsi="宋体"/>
        </w:rPr>
        <w:t>＜</w:t>
      </w:r>
      <w:r>
        <w:t>10</w:t>
      </w:r>
      <w:r>
        <w:rPr>
          <w:rFonts w:ascii="宋体" w:hAnsi="宋体"/>
        </w:rPr>
        <w:t>，以</w:t>
      </w:r>
      <w:r>
        <w:t>Q</w:t>
      </w:r>
      <w:r>
        <w:rPr>
          <w:vertAlign w:val="subscript"/>
        </w:rPr>
        <w:t>1</w:t>
      </w:r>
      <w:r>
        <w:rPr>
          <w:rFonts w:ascii="宋体" w:hAnsi="宋体"/>
        </w:rPr>
        <w:t>表示；</w:t>
      </w:r>
    </w:p>
    <w:p w:rsidR="006175A6" w:rsidRDefault="009B4BA7">
      <w:pPr>
        <w:ind w:firstLine="480"/>
      </w:pPr>
      <w:r>
        <w:t>10≤Q</w:t>
      </w:r>
      <w:r>
        <w:rPr>
          <w:rFonts w:ascii="宋体" w:hAnsi="宋体"/>
        </w:rPr>
        <w:t>＜</w:t>
      </w:r>
      <w:r>
        <w:t>100</w:t>
      </w:r>
      <w:r>
        <w:rPr>
          <w:rFonts w:ascii="宋体" w:hAnsi="宋体"/>
        </w:rPr>
        <w:t>，以</w:t>
      </w:r>
      <w:r>
        <w:t>Q</w:t>
      </w:r>
      <w:r>
        <w:rPr>
          <w:vertAlign w:val="subscript"/>
        </w:rPr>
        <w:t>2</w:t>
      </w:r>
      <w:r>
        <w:rPr>
          <w:rFonts w:ascii="宋体" w:hAnsi="宋体"/>
        </w:rPr>
        <w:t>表示；</w:t>
      </w:r>
    </w:p>
    <w:p w:rsidR="006175A6" w:rsidRDefault="009B4BA7">
      <w:pPr>
        <w:ind w:firstLine="480"/>
      </w:pPr>
      <w:r>
        <w:t>Q≥100</w:t>
      </w:r>
      <w:r>
        <w:rPr>
          <w:rFonts w:ascii="宋体" w:hAnsi="宋体" w:hint="eastAsia"/>
        </w:rPr>
        <w:t>，以</w:t>
      </w:r>
      <w:r>
        <w:t>Q</w:t>
      </w:r>
      <w:r>
        <w:rPr>
          <w:vertAlign w:val="subscript"/>
        </w:rPr>
        <w:t>3</w:t>
      </w:r>
      <w:r>
        <w:rPr>
          <w:rFonts w:ascii="宋体" w:hAnsi="宋体" w:hint="eastAsia"/>
        </w:rPr>
        <w:t>表示。</w:t>
      </w:r>
    </w:p>
    <w:p w:rsidR="006175A6" w:rsidRDefault="009B4BA7">
      <w:pPr>
        <w:ind w:firstLine="480"/>
      </w:pPr>
      <w:r>
        <w:rPr>
          <w:rFonts w:ascii="宋体" w:hAnsi="宋体" w:hint="eastAsia"/>
        </w:rPr>
        <w:t>本项目涉及的危险物质种类的</w:t>
      </w:r>
      <w:r>
        <w:rPr>
          <w:rFonts w:hint="eastAsia"/>
        </w:rPr>
        <w:t>q</w:t>
      </w:r>
      <w:r>
        <w:rPr>
          <w:rFonts w:ascii="宋体" w:hAnsi="宋体" w:hint="eastAsia"/>
        </w:rPr>
        <w:t>值和</w:t>
      </w:r>
      <w:r>
        <w:rPr>
          <w:rFonts w:hint="eastAsia"/>
        </w:rPr>
        <w:t>Q</w:t>
      </w:r>
      <w:r>
        <w:rPr>
          <w:rFonts w:ascii="宋体" w:hAnsi="宋体" w:hint="eastAsia"/>
        </w:rPr>
        <w:t>值见</w:t>
      </w:r>
      <w:r>
        <w:rPr>
          <w:rFonts w:ascii="宋体" w:hAnsi="宋体"/>
        </w:rPr>
        <w:fldChar w:fldCharType="begin"/>
      </w:r>
      <w:r>
        <w:rPr>
          <w:rFonts w:ascii="宋体" w:hAnsi="宋体"/>
        </w:rPr>
        <w:instrText xml:space="preserve"> </w:instrText>
      </w:r>
      <w:r>
        <w:rPr>
          <w:rFonts w:ascii="宋体" w:hAnsi="宋体" w:hint="eastAsia"/>
        </w:rPr>
        <w:instrText>REF _Ref79595600 \h</w:instrText>
      </w:r>
      <w:r>
        <w:rPr>
          <w:rFonts w:ascii="宋体" w:hAnsi="宋体"/>
        </w:rPr>
        <w:instrText xml:space="preserve"> </w:instrText>
      </w:r>
      <w:r>
        <w:rPr>
          <w:rFonts w:ascii="宋体" w:hAnsi="宋体"/>
        </w:rPr>
      </w:r>
      <w:r>
        <w:rPr>
          <w:rFonts w:ascii="宋体" w:hAnsi="宋体"/>
        </w:rPr>
        <w:fldChar w:fldCharType="separate"/>
      </w:r>
      <w:r w:rsidR="00E97427">
        <w:rPr>
          <w:rFonts w:hint="eastAsia"/>
        </w:rPr>
        <w:t>表</w:t>
      </w:r>
      <w:r w:rsidR="00E97427">
        <w:rPr>
          <w:rFonts w:hint="eastAsia"/>
        </w:rPr>
        <w:t xml:space="preserve"> </w:t>
      </w:r>
      <w:r w:rsidR="00E97427">
        <w:rPr>
          <w:noProof/>
        </w:rPr>
        <w:t>7.2</w:t>
      </w:r>
      <w:r w:rsidR="00E97427">
        <w:noBreakHyphen/>
      </w:r>
      <w:r w:rsidR="00E97427">
        <w:rPr>
          <w:noProof/>
        </w:rPr>
        <w:t>1</w:t>
      </w:r>
      <w:r>
        <w:rPr>
          <w:rFonts w:ascii="宋体" w:hAnsi="宋体"/>
        </w:rPr>
        <w:fldChar w:fldCharType="end"/>
      </w:r>
      <w:r>
        <w:rPr>
          <w:rFonts w:ascii="宋体" w:hAnsi="宋体" w:hint="eastAsia"/>
        </w:rPr>
        <w:t>。</w:t>
      </w:r>
    </w:p>
    <w:p w:rsidR="006175A6" w:rsidRDefault="009B4BA7">
      <w:pPr>
        <w:pStyle w:val="a3"/>
      </w:pPr>
      <w:bookmarkStart w:id="81" w:name="_Ref79595600"/>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81"/>
      <w:r>
        <w:rPr>
          <w:rFonts w:hint="eastAsia"/>
        </w:rPr>
        <w:t xml:space="preserve">  </w:t>
      </w:r>
      <w:r>
        <w:rPr>
          <w:rFonts w:hint="eastAsia"/>
        </w:rPr>
        <w:t>本项目涉及危险物质</w:t>
      </w:r>
      <w:r>
        <w:rPr>
          <w:rFonts w:hint="eastAsia"/>
        </w:rPr>
        <w:t>q</w:t>
      </w:r>
      <w:r>
        <w:rPr>
          <w:rFonts w:hint="eastAsia"/>
        </w:rPr>
        <w:t>值和</w:t>
      </w:r>
      <w:r>
        <w:rPr>
          <w:rFonts w:hint="eastAsia"/>
        </w:rPr>
        <w:t>Q</w:t>
      </w:r>
      <w:r>
        <w:rPr>
          <w:rFonts w:hint="eastAsia"/>
        </w:rPr>
        <w:t>值一览表</w:t>
      </w:r>
    </w:p>
    <w:tbl>
      <w:tblPr>
        <w:tblW w:w="8316" w:type="dxa"/>
        <w:tblInd w:w="108" w:type="dxa"/>
        <w:tblLayout w:type="fixed"/>
        <w:tblCellMar>
          <w:left w:w="0" w:type="dxa"/>
          <w:right w:w="0" w:type="dxa"/>
        </w:tblCellMar>
        <w:tblLook w:val="04A0" w:firstRow="1" w:lastRow="0" w:firstColumn="1" w:lastColumn="0" w:noHBand="0" w:noVBand="1"/>
      </w:tblPr>
      <w:tblGrid>
        <w:gridCol w:w="2079"/>
        <w:gridCol w:w="2079"/>
        <w:gridCol w:w="2079"/>
        <w:gridCol w:w="2079"/>
      </w:tblGrid>
      <w:tr w:rsidR="006175A6">
        <w:trPr>
          <w:trHeight w:val="340"/>
        </w:trPr>
        <w:tc>
          <w:tcPr>
            <w:tcW w:w="2079" w:type="dxa"/>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危险物质</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最大储存量</w:t>
            </w:r>
            <w:r>
              <w:rPr>
                <w:rFonts w:ascii="Times New Roman" w:hAnsi="Times New Roman" w:cs="Times New Roman"/>
                <w:sz w:val="21"/>
                <w:szCs w:val="21"/>
              </w:rPr>
              <w:t>t</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临界量</w:t>
            </w:r>
            <w:r>
              <w:rPr>
                <w:rFonts w:ascii="Times New Roman" w:hAnsi="Times New Roman" w:cs="Times New Roman"/>
                <w:sz w:val="21"/>
                <w:szCs w:val="21"/>
              </w:rPr>
              <w:t>t</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eastAsia="Calibri" w:hAnsi="Times New Roman" w:cs="Times New Roman"/>
                <w:sz w:val="21"/>
                <w:szCs w:val="21"/>
              </w:rPr>
              <w:t>qi/Qi</w:t>
            </w:r>
          </w:p>
        </w:tc>
      </w:tr>
      <w:tr w:rsidR="006175A6">
        <w:trPr>
          <w:trHeight w:val="340"/>
        </w:trPr>
        <w:tc>
          <w:tcPr>
            <w:tcW w:w="2079" w:type="dxa"/>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汽油</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10</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eastAsiaTheme="minorEastAsia" w:hAnsi="Times New Roman" w:cs="Times New Roman" w:hint="eastAsia"/>
                <w:sz w:val="21"/>
                <w:szCs w:val="21"/>
                <w:lang w:eastAsia="zh-CN"/>
              </w:rPr>
              <w:t>2500</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0.004</w:t>
            </w:r>
          </w:p>
        </w:tc>
      </w:tr>
      <w:tr w:rsidR="006175A6">
        <w:trPr>
          <w:trHeight w:val="340"/>
        </w:trPr>
        <w:tc>
          <w:tcPr>
            <w:tcW w:w="2079" w:type="dxa"/>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柴油</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10</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eastAsia="Calibri" w:hAnsi="Times New Roman" w:cs="Times New Roman"/>
                <w:sz w:val="21"/>
                <w:szCs w:val="21"/>
              </w:rPr>
            </w:pPr>
            <w:r>
              <w:rPr>
                <w:rFonts w:ascii="Times New Roman" w:eastAsiaTheme="minorEastAsia" w:hAnsi="Times New Roman" w:cs="Times New Roman" w:hint="eastAsia"/>
                <w:sz w:val="21"/>
                <w:szCs w:val="21"/>
                <w:lang w:eastAsia="zh-CN"/>
              </w:rPr>
              <w:t>2500</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hint="eastAsia"/>
                <w:sz w:val="21"/>
                <w:szCs w:val="21"/>
                <w:lang w:eastAsia="zh-CN"/>
              </w:rPr>
              <w:t>0.004</w:t>
            </w:r>
          </w:p>
        </w:tc>
      </w:tr>
      <w:tr w:rsidR="006175A6">
        <w:trPr>
          <w:trHeight w:val="340"/>
        </w:trPr>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rFonts w:ascii="Times New Roman" w:eastAsiaTheme="minorEastAsia" w:hAnsi="Times New Roman" w:cs="Times New Roman"/>
                <w:sz w:val="21"/>
                <w:szCs w:val="21"/>
                <w:lang w:eastAsia="zh-CN"/>
              </w:rPr>
            </w:pPr>
            <w:r>
              <w:rPr>
                <w:rFonts w:ascii="Times New Roman" w:hAnsi="Times New Roman" w:cs="Times New Roman" w:hint="eastAsia"/>
                <w:sz w:val="21"/>
                <w:szCs w:val="21"/>
                <w:lang w:eastAsia="zh-CN"/>
              </w:rPr>
              <w:t>总计</w:t>
            </w:r>
          </w:p>
        </w:tc>
        <w:tc>
          <w:tcPr>
            <w:tcW w:w="2079" w:type="dxa"/>
            <w:tcBorders>
              <w:top w:val="single" w:sz="4" w:space="0" w:color="000000"/>
              <w:left w:val="nil"/>
              <w:bottom w:val="single" w:sz="4" w:space="0" w:color="000000"/>
              <w:right w:val="single" w:sz="4" w:space="0" w:color="000000"/>
            </w:tcBorders>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hint="eastAsia"/>
                <w:sz w:val="21"/>
                <w:szCs w:val="21"/>
                <w:lang w:eastAsia="zh-CN"/>
              </w:rPr>
              <w:t>0.008</w:t>
            </w:r>
          </w:p>
        </w:tc>
      </w:tr>
    </w:tbl>
    <w:p w:rsidR="006175A6" w:rsidRDefault="009B4BA7">
      <w:pPr>
        <w:pStyle w:val="3"/>
      </w:pPr>
      <w:r>
        <w:rPr>
          <w:rFonts w:hint="eastAsia"/>
        </w:rPr>
        <w:t>环境风险潜势判断</w:t>
      </w:r>
    </w:p>
    <w:p w:rsidR="006175A6" w:rsidRDefault="009B4BA7">
      <w:pPr>
        <w:ind w:firstLine="480"/>
      </w:pPr>
      <w:r>
        <w:rPr>
          <w:rFonts w:hint="eastAsia"/>
        </w:rPr>
        <w:t>建设项目环境风险潜势划分为Ⅰ、Ⅱ、Ⅲ、Ⅳ</w:t>
      </w:r>
      <w:r>
        <w:rPr>
          <w:rFonts w:hint="eastAsia"/>
        </w:rPr>
        <w:t>/</w:t>
      </w:r>
      <w:r>
        <w:rPr>
          <w:rFonts w:hint="eastAsia"/>
        </w:rPr>
        <w:t>Ⅳ</w:t>
      </w:r>
      <w:r>
        <w:rPr>
          <w:rFonts w:hint="eastAsia"/>
        </w:rPr>
        <w:t>+</w:t>
      </w:r>
      <w:r>
        <w:rPr>
          <w:rFonts w:hint="eastAsia"/>
        </w:rPr>
        <w:t>级。因为本项目的</w:t>
      </w:r>
      <w:r>
        <w:rPr>
          <w:rFonts w:hint="eastAsia"/>
        </w:rPr>
        <w:t>Q</w:t>
      </w:r>
      <w:r>
        <w:rPr>
          <w:rFonts w:hint="eastAsia"/>
        </w:rPr>
        <w:t>＜</w:t>
      </w:r>
      <w:r>
        <w:rPr>
          <w:rFonts w:hint="eastAsia"/>
        </w:rPr>
        <w:t>1</w:t>
      </w:r>
      <w:r>
        <w:rPr>
          <w:rFonts w:hint="eastAsia"/>
        </w:rPr>
        <w:t>，故本项目环境风险潜势为Ⅰ。</w:t>
      </w:r>
    </w:p>
    <w:p w:rsidR="006175A6" w:rsidRDefault="009B4BA7">
      <w:pPr>
        <w:pStyle w:val="3"/>
      </w:pPr>
      <w:r>
        <w:rPr>
          <w:rFonts w:hint="eastAsia"/>
        </w:rPr>
        <w:t>环评工作等级</w:t>
      </w:r>
    </w:p>
    <w:p w:rsidR="006175A6" w:rsidRDefault="009B4BA7">
      <w:pPr>
        <w:ind w:firstLine="480"/>
      </w:pPr>
      <w:r>
        <w:rPr>
          <w:rFonts w:hint="eastAsia"/>
        </w:rPr>
        <w:t>环境风险评价工作等级划分为一级、二级、三级和简要分析。根据建设项目涉及的物质及工艺系统危险性和所在地的环境敏感性确定环境风险潜势，按照下</w:t>
      </w:r>
      <w:r>
        <w:rPr>
          <w:rFonts w:hint="eastAsia"/>
        </w:rPr>
        <w:lastRenderedPageBreak/>
        <w:t>表确定评价工作等级。根据环境风险潜势初判，本项目的风险潜势为Ⅰ，可开展简单分析。</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评价工作等级划分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9"/>
        <w:gridCol w:w="1316"/>
        <w:gridCol w:w="1690"/>
        <w:gridCol w:w="1690"/>
        <w:gridCol w:w="1911"/>
      </w:tblGrid>
      <w:tr w:rsidR="006175A6">
        <w:trPr>
          <w:trHeight w:val="340"/>
        </w:trPr>
        <w:tc>
          <w:tcPr>
            <w:tcW w:w="1028"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sz w:val="21"/>
                <w:szCs w:val="21"/>
              </w:rPr>
              <w:t>环境风险潜势</w:t>
            </w:r>
          </w:p>
        </w:tc>
        <w:tc>
          <w:tcPr>
            <w:tcW w:w="791"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Ⅳ</w:t>
            </w:r>
            <w:r>
              <w:rPr>
                <w:sz w:val="21"/>
                <w:szCs w:val="21"/>
              </w:rPr>
              <w:t>、</w:t>
            </w:r>
            <w:r>
              <w:rPr>
                <w:rFonts w:hint="eastAsia"/>
                <w:sz w:val="21"/>
                <w:szCs w:val="21"/>
              </w:rPr>
              <w:t>Ⅳ</w:t>
            </w:r>
            <w:r>
              <w:rPr>
                <w:sz w:val="21"/>
                <w:szCs w:val="21"/>
              </w:rPr>
              <w:t>+</w:t>
            </w:r>
          </w:p>
        </w:tc>
        <w:tc>
          <w:tcPr>
            <w:tcW w:w="101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Ⅲ</w:t>
            </w:r>
          </w:p>
        </w:tc>
        <w:tc>
          <w:tcPr>
            <w:tcW w:w="101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Ⅱ</w:t>
            </w:r>
          </w:p>
        </w:tc>
        <w:tc>
          <w:tcPr>
            <w:tcW w:w="1149"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rFonts w:hint="eastAsia"/>
                <w:sz w:val="21"/>
                <w:szCs w:val="21"/>
              </w:rPr>
              <w:t>Ⅰ</w:t>
            </w:r>
          </w:p>
        </w:tc>
      </w:tr>
      <w:tr w:rsidR="006175A6">
        <w:trPr>
          <w:trHeight w:val="340"/>
        </w:trPr>
        <w:tc>
          <w:tcPr>
            <w:tcW w:w="1028" w:type="pct"/>
            <w:tcBorders>
              <w:top w:val="single" w:sz="4" w:space="0" w:color="000000"/>
              <w:left w:val="single" w:sz="4" w:space="0" w:color="000000"/>
              <w:bottom w:val="single" w:sz="4" w:space="0" w:color="000000"/>
              <w:right w:val="single" w:sz="4" w:space="0" w:color="000000"/>
            </w:tcBorders>
            <w:vAlign w:val="center"/>
          </w:tcPr>
          <w:p w:rsidR="006175A6" w:rsidRDefault="009B4BA7">
            <w:pPr>
              <w:pStyle w:val="TableParagraph"/>
              <w:rPr>
                <w:sz w:val="21"/>
                <w:szCs w:val="21"/>
              </w:rPr>
            </w:pPr>
            <w:r>
              <w:rPr>
                <w:sz w:val="21"/>
                <w:szCs w:val="21"/>
              </w:rPr>
              <w:t>评价工作等级</w:t>
            </w:r>
          </w:p>
        </w:tc>
        <w:tc>
          <w:tcPr>
            <w:tcW w:w="791"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sz w:val="21"/>
                <w:szCs w:val="21"/>
              </w:rPr>
              <w:t>一</w:t>
            </w:r>
          </w:p>
        </w:tc>
        <w:tc>
          <w:tcPr>
            <w:tcW w:w="101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sz w:val="21"/>
                <w:szCs w:val="21"/>
              </w:rPr>
              <w:t>二</w:t>
            </w:r>
          </w:p>
        </w:tc>
        <w:tc>
          <w:tcPr>
            <w:tcW w:w="1016"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sz w:val="21"/>
                <w:szCs w:val="21"/>
              </w:rPr>
              <w:t>三</w:t>
            </w:r>
          </w:p>
        </w:tc>
        <w:tc>
          <w:tcPr>
            <w:tcW w:w="1149" w:type="pct"/>
            <w:tcBorders>
              <w:top w:val="single" w:sz="4" w:space="0" w:color="000000"/>
              <w:left w:val="nil"/>
              <w:bottom w:val="single" w:sz="4" w:space="0" w:color="000000"/>
              <w:right w:val="single" w:sz="4" w:space="0" w:color="000000"/>
            </w:tcBorders>
            <w:vAlign w:val="center"/>
          </w:tcPr>
          <w:p w:rsidR="006175A6" w:rsidRDefault="009B4BA7">
            <w:pPr>
              <w:pStyle w:val="TableParagraph"/>
              <w:rPr>
                <w:sz w:val="21"/>
                <w:szCs w:val="21"/>
              </w:rPr>
            </w:pPr>
            <w:r>
              <w:rPr>
                <w:sz w:val="21"/>
                <w:szCs w:val="21"/>
              </w:rPr>
              <w:t>简单分析</w:t>
            </w:r>
          </w:p>
        </w:tc>
      </w:tr>
    </w:tbl>
    <w:p w:rsidR="006175A6" w:rsidRDefault="009B4BA7">
      <w:pPr>
        <w:pStyle w:val="2"/>
      </w:pPr>
      <w:bookmarkStart w:id="82" w:name="_Toc80170125"/>
      <w:r>
        <w:rPr>
          <w:rFonts w:hint="eastAsia"/>
        </w:rPr>
        <w:t>环境风险识别</w:t>
      </w:r>
      <w:bookmarkEnd w:id="82"/>
    </w:p>
    <w:p w:rsidR="006175A6" w:rsidRDefault="009B4BA7">
      <w:pPr>
        <w:pStyle w:val="3"/>
      </w:pPr>
      <w:r>
        <w:rPr>
          <w:rFonts w:hint="eastAsia"/>
        </w:rPr>
        <w:t>物质风险识别</w:t>
      </w:r>
    </w:p>
    <w:p w:rsidR="006175A6" w:rsidRDefault="009B4BA7">
      <w:pPr>
        <w:ind w:firstLine="480"/>
      </w:pPr>
      <w:r>
        <w:rPr>
          <w:rFonts w:hint="eastAsia"/>
        </w:rPr>
        <w:t>根据《建设项目环境风险评价技术导则》（</w:t>
      </w:r>
      <w:r>
        <w:rPr>
          <w:rFonts w:hint="eastAsia"/>
        </w:rPr>
        <w:t>HJ/T169-2018</w:t>
      </w:r>
      <w:r>
        <w:rPr>
          <w:rFonts w:hint="eastAsia"/>
        </w:rPr>
        <w:t>）附录</w:t>
      </w:r>
      <w:r>
        <w:rPr>
          <w:rFonts w:hint="eastAsia"/>
        </w:rPr>
        <w:t xml:space="preserve"> B</w:t>
      </w:r>
      <w:r>
        <w:rPr>
          <w:rFonts w:hint="eastAsia"/>
        </w:rPr>
        <w:t>，本项目存在的危险性物质主要为柴油和汽油，根据调查，本项目仅施工期将于枢纽工程施工区内储存少量的柴油和汽油，最大储存量为</w:t>
      </w:r>
      <w:r>
        <w:rPr>
          <w:rFonts w:hint="eastAsia"/>
        </w:rPr>
        <w:t>20t</w:t>
      </w:r>
      <w:r>
        <w:rPr>
          <w:rFonts w:hint="eastAsia"/>
        </w:rPr>
        <w:t>，不构成重大危险源。项目施工期期涉及的环境风险物质识别情况见</w:t>
      </w:r>
      <w:r>
        <w:fldChar w:fldCharType="begin"/>
      </w:r>
      <w:r>
        <w:instrText xml:space="preserve"> </w:instrText>
      </w:r>
      <w:r>
        <w:rPr>
          <w:rFonts w:hint="eastAsia"/>
        </w:rPr>
        <w:instrText>REF _Ref79595600 \h</w:instrText>
      </w:r>
      <w:r>
        <w:instrText xml:space="preserve"> </w:instrText>
      </w:r>
      <w:r>
        <w:fldChar w:fldCharType="separate"/>
      </w:r>
      <w:r w:rsidR="00E97427">
        <w:rPr>
          <w:rFonts w:hint="eastAsia"/>
        </w:rPr>
        <w:t>表</w:t>
      </w:r>
      <w:r w:rsidR="00E97427">
        <w:rPr>
          <w:rFonts w:hint="eastAsia"/>
        </w:rPr>
        <w:t xml:space="preserve"> </w:t>
      </w:r>
      <w:r w:rsidR="00E97427">
        <w:rPr>
          <w:noProof/>
        </w:rPr>
        <w:t>7.2</w:t>
      </w:r>
      <w:r w:rsidR="00E97427">
        <w:noBreakHyphen/>
      </w:r>
      <w:r w:rsidR="00E97427">
        <w:rPr>
          <w:noProof/>
        </w:rPr>
        <w:t>1</w:t>
      </w:r>
      <w:r>
        <w:fldChar w:fldCharType="end"/>
      </w:r>
      <w:r>
        <w:rPr>
          <w:rFonts w:hint="eastAsia"/>
        </w:rPr>
        <w:t>。</w:t>
      </w:r>
    </w:p>
    <w:p w:rsidR="006175A6" w:rsidRDefault="009B4BA7">
      <w:pPr>
        <w:pStyle w:val="3"/>
      </w:pPr>
      <w:r>
        <w:rPr>
          <w:rFonts w:hint="eastAsia"/>
        </w:rPr>
        <w:t>生产系统危险性识别</w:t>
      </w:r>
    </w:p>
    <w:p w:rsidR="006175A6" w:rsidRDefault="009B4BA7">
      <w:pPr>
        <w:ind w:firstLine="480"/>
      </w:pPr>
      <w:r>
        <w:rPr>
          <w:rFonts w:hint="eastAsia"/>
        </w:rPr>
        <w:t>本项目作为水库工程营运期向黄粮镇提供水源，无生产性作业工艺，根据本工程施工及运行特点及周围环境特点，项目可能存在的主要风险包括诱发地震、水库渗漏、库岸失稳、大坝溃坝。</w:t>
      </w:r>
    </w:p>
    <w:p w:rsidR="006175A6" w:rsidRDefault="009B4BA7">
      <w:pPr>
        <w:pStyle w:val="3"/>
      </w:pPr>
      <w:r>
        <w:rPr>
          <w:rFonts w:hint="eastAsia"/>
        </w:rPr>
        <w:t>运输系统危险性识别</w:t>
      </w:r>
    </w:p>
    <w:p w:rsidR="006175A6" w:rsidRDefault="009B4BA7">
      <w:pPr>
        <w:ind w:firstLine="480"/>
      </w:pPr>
      <w:r>
        <w:rPr>
          <w:rFonts w:hint="eastAsia"/>
        </w:rPr>
        <w:t>本项目在柴油、汽油运输过程中由于管理原因、人员失误、车辆故障、路况和环境等方面的原因，可能发生泄露、火灾和爆炸事故，对沿线企业及居民构成威胁。可能引发运输车辆事故的一些原因，可大致分为以下几类：人员失误、车辆故障、管理失效、外部事故。</w:t>
      </w:r>
    </w:p>
    <w:p w:rsidR="006175A6" w:rsidRDefault="009B4BA7">
      <w:pPr>
        <w:pStyle w:val="2"/>
      </w:pPr>
      <w:bookmarkStart w:id="83" w:name="_Toc80170126"/>
      <w:r>
        <w:rPr>
          <w:rFonts w:hint="eastAsia"/>
        </w:rPr>
        <w:t>风险事故情形分析</w:t>
      </w:r>
      <w:bookmarkEnd w:id="83"/>
    </w:p>
    <w:p w:rsidR="006175A6" w:rsidRDefault="009B4BA7">
      <w:pPr>
        <w:ind w:firstLine="480"/>
      </w:pPr>
      <w:r>
        <w:rPr>
          <w:rFonts w:hint="eastAsia"/>
        </w:rPr>
        <w:t>根据风险识别可知，本项目对环境影响较大并且具有代表性的环境风险类型为柴油、汽油泄露，危险单位为储罐区，风险物质为柴油、汽油，环境风险类型为汽油、柴油储罐泄露导致的次生环境风险。</w:t>
      </w:r>
    </w:p>
    <w:p w:rsidR="006175A6" w:rsidRDefault="009B4BA7">
      <w:pPr>
        <w:pStyle w:val="a3"/>
      </w:pPr>
      <w:bookmarkStart w:id="84" w:name="_Ref79650008"/>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84"/>
      <w:r>
        <w:rPr>
          <w:rFonts w:hint="eastAsia"/>
        </w:rPr>
        <w:t xml:space="preserve">  </w:t>
      </w:r>
      <w:r>
        <w:rPr>
          <w:rFonts w:hint="eastAsia"/>
        </w:rPr>
        <w:t>建设项目环境风险识别表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891"/>
        <w:gridCol w:w="991"/>
        <w:gridCol w:w="1178"/>
        <w:gridCol w:w="1148"/>
        <w:gridCol w:w="1397"/>
        <w:gridCol w:w="1667"/>
        <w:gridCol w:w="511"/>
      </w:tblGrid>
      <w:tr w:rsidR="006175A6">
        <w:trPr>
          <w:trHeight w:val="340"/>
        </w:trPr>
        <w:tc>
          <w:tcPr>
            <w:tcW w:w="320" w:type="pct"/>
            <w:vAlign w:val="center"/>
          </w:tcPr>
          <w:p w:rsidR="006175A6" w:rsidRDefault="009B4BA7">
            <w:pPr>
              <w:pStyle w:val="TableParagraph"/>
              <w:rPr>
                <w:rFonts w:cs="Times New Roman"/>
                <w:sz w:val="21"/>
                <w:szCs w:val="21"/>
              </w:rPr>
            </w:pPr>
            <w:r>
              <w:rPr>
                <w:rFonts w:cs="Times New Roman" w:hint="eastAsia"/>
                <w:sz w:val="21"/>
                <w:szCs w:val="21"/>
              </w:rPr>
              <w:t>序号</w:t>
            </w:r>
          </w:p>
        </w:tc>
        <w:tc>
          <w:tcPr>
            <w:tcW w:w="536" w:type="pct"/>
            <w:vAlign w:val="center"/>
          </w:tcPr>
          <w:p w:rsidR="006175A6" w:rsidRDefault="009B4BA7">
            <w:pPr>
              <w:pStyle w:val="TableParagraph"/>
              <w:rPr>
                <w:rFonts w:cs="Times New Roman"/>
                <w:sz w:val="21"/>
                <w:szCs w:val="21"/>
              </w:rPr>
            </w:pPr>
            <w:r>
              <w:rPr>
                <w:rFonts w:cs="Times New Roman" w:hint="eastAsia"/>
                <w:sz w:val="21"/>
                <w:szCs w:val="21"/>
              </w:rPr>
              <w:t>危险单元</w:t>
            </w:r>
          </w:p>
        </w:tc>
        <w:tc>
          <w:tcPr>
            <w:tcW w:w="596" w:type="pct"/>
            <w:vAlign w:val="center"/>
          </w:tcPr>
          <w:p w:rsidR="006175A6" w:rsidRDefault="009B4BA7">
            <w:pPr>
              <w:pStyle w:val="TableParagraph"/>
              <w:rPr>
                <w:rFonts w:cs="Times New Roman"/>
                <w:sz w:val="21"/>
                <w:szCs w:val="21"/>
              </w:rPr>
            </w:pPr>
            <w:r>
              <w:rPr>
                <w:rFonts w:cs="Times New Roman" w:hint="eastAsia"/>
                <w:sz w:val="21"/>
                <w:szCs w:val="21"/>
              </w:rPr>
              <w:t>风险源</w:t>
            </w:r>
          </w:p>
        </w:tc>
        <w:tc>
          <w:tcPr>
            <w:tcW w:w="708" w:type="pct"/>
            <w:vAlign w:val="center"/>
          </w:tcPr>
          <w:p w:rsidR="006175A6" w:rsidRDefault="009B4BA7">
            <w:pPr>
              <w:pStyle w:val="TableParagraph"/>
              <w:rPr>
                <w:rFonts w:cs="Times New Roman"/>
                <w:sz w:val="21"/>
                <w:szCs w:val="21"/>
              </w:rPr>
            </w:pPr>
            <w:r>
              <w:rPr>
                <w:rFonts w:cs="Times New Roman" w:hint="eastAsia"/>
                <w:sz w:val="21"/>
                <w:szCs w:val="21"/>
              </w:rPr>
              <w:t>主要危险物质</w:t>
            </w:r>
          </w:p>
        </w:tc>
        <w:tc>
          <w:tcPr>
            <w:tcW w:w="690" w:type="pct"/>
            <w:vAlign w:val="center"/>
          </w:tcPr>
          <w:p w:rsidR="006175A6" w:rsidRDefault="009B4BA7">
            <w:pPr>
              <w:pStyle w:val="TableParagraph"/>
              <w:rPr>
                <w:rFonts w:cs="Times New Roman"/>
                <w:sz w:val="21"/>
                <w:szCs w:val="21"/>
              </w:rPr>
            </w:pPr>
            <w:r>
              <w:rPr>
                <w:rFonts w:cs="Times New Roman" w:hint="eastAsia"/>
                <w:sz w:val="21"/>
                <w:szCs w:val="21"/>
              </w:rPr>
              <w:t>环境风险类型</w:t>
            </w:r>
          </w:p>
        </w:tc>
        <w:tc>
          <w:tcPr>
            <w:tcW w:w="840" w:type="pct"/>
            <w:vAlign w:val="center"/>
          </w:tcPr>
          <w:p w:rsidR="006175A6" w:rsidRDefault="009B4BA7">
            <w:pPr>
              <w:pStyle w:val="TableParagraph"/>
              <w:rPr>
                <w:rFonts w:cs="Times New Roman"/>
                <w:sz w:val="21"/>
                <w:szCs w:val="21"/>
              </w:rPr>
            </w:pPr>
            <w:r>
              <w:rPr>
                <w:rFonts w:cs="Times New Roman" w:hint="eastAsia"/>
                <w:sz w:val="21"/>
                <w:szCs w:val="21"/>
              </w:rPr>
              <w:t>环境影响途径</w:t>
            </w:r>
          </w:p>
        </w:tc>
        <w:tc>
          <w:tcPr>
            <w:tcW w:w="1002"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可能受影响的环境敏感目标</w:t>
            </w:r>
          </w:p>
        </w:tc>
        <w:tc>
          <w:tcPr>
            <w:tcW w:w="307" w:type="pct"/>
            <w:vAlign w:val="center"/>
          </w:tcPr>
          <w:p w:rsidR="006175A6" w:rsidRDefault="009B4BA7">
            <w:pPr>
              <w:pStyle w:val="TableParagraph"/>
              <w:rPr>
                <w:rFonts w:cs="Times New Roman"/>
                <w:sz w:val="21"/>
                <w:szCs w:val="21"/>
              </w:rPr>
            </w:pPr>
            <w:r>
              <w:rPr>
                <w:rFonts w:cs="Times New Roman" w:hint="eastAsia"/>
                <w:sz w:val="21"/>
                <w:szCs w:val="21"/>
              </w:rPr>
              <w:t>备注</w:t>
            </w:r>
          </w:p>
        </w:tc>
      </w:tr>
      <w:tr w:rsidR="006175A6">
        <w:trPr>
          <w:trHeight w:val="340"/>
        </w:trPr>
        <w:tc>
          <w:tcPr>
            <w:tcW w:w="320" w:type="pct"/>
            <w:vAlign w:val="center"/>
          </w:tcPr>
          <w:p w:rsidR="006175A6" w:rsidRDefault="009B4BA7">
            <w:pPr>
              <w:pStyle w:val="TableParagraph"/>
              <w:rPr>
                <w:rFonts w:ascii="Times New Roman"/>
                <w:sz w:val="21"/>
                <w:szCs w:val="21"/>
              </w:rPr>
            </w:pPr>
            <w:r>
              <w:rPr>
                <w:rFonts w:ascii="Times New Roman"/>
                <w:sz w:val="21"/>
                <w:szCs w:val="21"/>
              </w:rPr>
              <w:lastRenderedPageBreak/>
              <w:t>1</w:t>
            </w:r>
          </w:p>
        </w:tc>
        <w:tc>
          <w:tcPr>
            <w:tcW w:w="536"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储罐区</w:t>
            </w:r>
          </w:p>
        </w:tc>
        <w:tc>
          <w:tcPr>
            <w:tcW w:w="596" w:type="pct"/>
            <w:vAlign w:val="center"/>
          </w:tcPr>
          <w:p w:rsidR="006175A6" w:rsidRDefault="009B4BA7">
            <w:pPr>
              <w:pStyle w:val="TableParagraph"/>
              <w:rPr>
                <w:rFonts w:cs="Times New Roman"/>
                <w:sz w:val="21"/>
                <w:szCs w:val="21"/>
              </w:rPr>
            </w:pPr>
            <w:r>
              <w:rPr>
                <w:rFonts w:cs="Times New Roman" w:hint="eastAsia"/>
                <w:sz w:val="21"/>
                <w:szCs w:val="21"/>
              </w:rPr>
              <w:t>柴油储罐</w:t>
            </w:r>
          </w:p>
        </w:tc>
        <w:tc>
          <w:tcPr>
            <w:tcW w:w="708" w:type="pct"/>
            <w:vAlign w:val="center"/>
          </w:tcPr>
          <w:p w:rsidR="006175A6" w:rsidRDefault="009B4BA7">
            <w:pPr>
              <w:pStyle w:val="TableParagraph"/>
              <w:rPr>
                <w:rFonts w:cs="Times New Roman"/>
                <w:sz w:val="21"/>
                <w:szCs w:val="21"/>
              </w:rPr>
            </w:pPr>
            <w:r>
              <w:rPr>
                <w:rFonts w:cs="Times New Roman" w:hint="eastAsia"/>
                <w:sz w:val="21"/>
                <w:szCs w:val="21"/>
              </w:rPr>
              <w:t>柴油</w:t>
            </w:r>
          </w:p>
        </w:tc>
        <w:tc>
          <w:tcPr>
            <w:tcW w:w="690" w:type="pct"/>
            <w:vAlign w:val="center"/>
          </w:tcPr>
          <w:p w:rsidR="006175A6" w:rsidRDefault="009B4BA7">
            <w:pPr>
              <w:pStyle w:val="TableParagraph"/>
              <w:rPr>
                <w:rFonts w:cs="Times New Roman"/>
                <w:sz w:val="21"/>
                <w:szCs w:val="21"/>
                <w:lang w:eastAsia="zh-CN"/>
              </w:rPr>
            </w:pPr>
            <w:r>
              <w:rPr>
                <w:rFonts w:cs="Times New Roman" w:hint="eastAsia"/>
                <w:sz w:val="21"/>
                <w:szCs w:val="21"/>
              </w:rPr>
              <w:t>燃烧、爆炸</w:t>
            </w:r>
            <w:r>
              <w:rPr>
                <w:rFonts w:cs="Times New Roman" w:hint="eastAsia"/>
                <w:sz w:val="21"/>
                <w:szCs w:val="21"/>
                <w:lang w:eastAsia="zh-CN"/>
              </w:rPr>
              <w:t>、泄露</w:t>
            </w:r>
          </w:p>
        </w:tc>
        <w:tc>
          <w:tcPr>
            <w:tcW w:w="840" w:type="pct"/>
            <w:vAlign w:val="center"/>
          </w:tcPr>
          <w:p w:rsidR="006175A6" w:rsidRDefault="009B4BA7">
            <w:pPr>
              <w:pStyle w:val="TableParagraph"/>
              <w:rPr>
                <w:rFonts w:cs="Times New Roman"/>
                <w:sz w:val="21"/>
                <w:szCs w:val="21"/>
              </w:rPr>
            </w:pPr>
            <w:r>
              <w:rPr>
                <w:rFonts w:cs="Times New Roman" w:hint="eastAsia"/>
                <w:sz w:val="21"/>
                <w:szCs w:val="21"/>
              </w:rPr>
              <w:t>地下水、大气</w:t>
            </w:r>
          </w:p>
        </w:tc>
        <w:tc>
          <w:tcPr>
            <w:tcW w:w="1002" w:type="pct"/>
            <w:vAlign w:val="center"/>
          </w:tcPr>
          <w:p w:rsidR="006175A6" w:rsidRDefault="009B4BA7">
            <w:pPr>
              <w:pStyle w:val="TableParagraph"/>
              <w:rPr>
                <w:rFonts w:cs="Times New Roman"/>
                <w:sz w:val="21"/>
                <w:szCs w:val="21"/>
              </w:rPr>
            </w:pPr>
            <w:r>
              <w:rPr>
                <w:rFonts w:cs="Times New Roman" w:hint="eastAsia"/>
                <w:sz w:val="21"/>
                <w:szCs w:val="21"/>
                <w:lang w:eastAsia="zh-CN"/>
              </w:rPr>
              <w:t>石柱村</w:t>
            </w:r>
            <w:r>
              <w:rPr>
                <w:rFonts w:cs="Times New Roman" w:hint="eastAsia"/>
                <w:sz w:val="21"/>
                <w:szCs w:val="21"/>
              </w:rPr>
              <w:t>居民点</w:t>
            </w:r>
          </w:p>
        </w:tc>
        <w:tc>
          <w:tcPr>
            <w:tcW w:w="307" w:type="pct"/>
            <w:vMerge w:val="restart"/>
            <w:vAlign w:val="center"/>
          </w:tcPr>
          <w:p w:rsidR="006175A6" w:rsidRDefault="009B4BA7">
            <w:pPr>
              <w:pStyle w:val="TableParagraph"/>
              <w:rPr>
                <w:rFonts w:ascii="Times New Roman"/>
                <w:sz w:val="21"/>
                <w:szCs w:val="21"/>
              </w:rPr>
            </w:pPr>
            <w:r>
              <w:rPr>
                <w:rFonts w:ascii="Times New Roman"/>
                <w:sz w:val="21"/>
                <w:szCs w:val="21"/>
              </w:rPr>
              <w:t>/</w:t>
            </w:r>
          </w:p>
        </w:tc>
      </w:tr>
      <w:tr w:rsidR="006175A6">
        <w:trPr>
          <w:trHeight w:val="340"/>
        </w:trPr>
        <w:tc>
          <w:tcPr>
            <w:tcW w:w="320" w:type="pct"/>
            <w:vAlign w:val="center"/>
          </w:tcPr>
          <w:p w:rsidR="006175A6" w:rsidRDefault="009B4BA7">
            <w:pPr>
              <w:pStyle w:val="TableParagraph"/>
              <w:rPr>
                <w:rFonts w:ascii="Times New Roman"/>
                <w:sz w:val="21"/>
                <w:szCs w:val="21"/>
              </w:rPr>
            </w:pPr>
            <w:r>
              <w:rPr>
                <w:rFonts w:ascii="Times New Roman"/>
                <w:sz w:val="21"/>
                <w:szCs w:val="21"/>
              </w:rPr>
              <w:t>2</w:t>
            </w:r>
          </w:p>
        </w:tc>
        <w:tc>
          <w:tcPr>
            <w:tcW w:w="536"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储罐区</w:t>
            </w:r>
          </w:p>
        </w:tc>
        <w:tc>
          <w:tcPr>
            <w:tcW w:w="596" w:type="pct"/>
            <w:vAlign w:val="center"/>
          </w:tcPr>
          <w:p w:rsidR="006175A6" w:rsidRDefault="009B4BA7">
            <w:pPr>
              <w:pStyle w:val="TableParagraph"/>
              <w:rPr>
                <w:rFonts w:cs="Times New Roman"/>
                <w:sz w:val="21"/>
                <w:szCs w:val="21"/>
              </w:rPr>
            </w:pPr>
            <w:r>
              <w:rPr>
                <w:rFonts w:cs="Times New Roman" w:hint="eastAsia"/>
                <w:sz w:val="21"/>
                <w:szCs w:val="21"/>
              </w:rPr>
              <w:t>汽油储罐</w:t>
            </w:r>
          </w:p>
        </w:tc>
        <w:tc>
          <w:tcPr>
            <w:tcW w:w="708" w:type="pct"/>
            <w:vAlign w:val="center"/>
          </w:tcPr>
          <w:p w:rsidR="006175A6" w:rsidRDefault="009B4BA7">
            <w:pPr>
              <w:pStyle w:val="TableParagraph"/>
              <w:rPr>
                <w:rFonts w:cs="Times New Roman"/>
                <w:sz w:val="21"/>
                <w:szCs w:val="21"/>
              </w:rPr>
            </w:pPr>
            <w:r>
              <w:rPr>
                <w:rFonts w:cs="Times New Roman" w:hint="eastAsia"/>
                <w:sz w:val="21"/>
                <w:szCs w:val="21"/>
              </w:rPr>
              <w:t>汽油</w:t>
            </w:r>
          </w:p>
        </w:tc>
        <w:tc>
          <w:tcPr>
            <w:tcW w:w="690" w:type="pct"/>
            <w:vAlign w:val="center"/>
          </w:tcPr>
          <w:p w:rsidR="006175A6" w:rsidRDefault="009B4BA7">
            <w:pPr>
              <w:pStyle w:val="TableParagraph"/>
              <w:rPr>
                <w:rFonts w:cs="Times New Roman"/>
                <w:sz w:val="21"/>
                <w:szCs w:val="21"/>
                <w:lang w:eastAsia="zh-CN"/>
              </w:rPr>
            </w:pPr>
            <w:r>
              <w:rPr>
                <w:rFonts w:cs="Times New Roman" w:hint="eastAsia"/>
                <w:sz w:val="21"/>
                <w:szCs w:val="21"/>
              </w:rPr>
              <w:t>燃烧、爆炸</w:t>
            </w:r>
            <w:r>
              <w:rPr>
                <w:rFonts w:cs="Times New Roman" w:hint="eastAsia"/>
                <w:sz w:val="21"/>
                <w:szCs w:val="21"/>
                <w:lang w:eastAsia="zh-CN"/>
              </w:rPr>
              <w:t>、泄露</w:t>
            </w:r>
          </w:p>
        </w:tc>
        <w:tc>
          <w:tcPr>
            <w:tcW w:w="840" w:type="pct"/>
            <w:vAlign w:val="center"/>
          </w:tcPr>
          <w:p w:rsidR="006175A6" w:rsidRDefault="009B4BA7">
            <w:pPr>
              <w:pStyle w:val="TableParagraph"/>
              <w:rPr>
                <w:rFonts w:cs="Times New Roman"/>
                <w:sz w:val="21"/>
                <w:szCs w:val="21"/>
              </w:rPr>
            </w:pPr>
            <w:r>
              <w:rPr>
                <w:rFonts w:cs="Times New Roman" w:hint="eastAsia"/>
                <w:sz w:val="21"/>
                <w:szCs w:val="21"/>
              </w:rPr>
              <w:t>地下水、大气</w:t>
            </w:r>
          </w:p>
        </w:tc>
        <w:tc>
          <w:tcPr>
            <w:tcW w:w="1002" w:type="pct"/>
            <w:vAlign w:val="center"/>
          </w:tcPr>
          <w:p w:rsidR="006175A6" w:rsidRDefault="009B4BA7">
            <w:pPr>
              <w:pStyle w:val="TableParagraph"/>
              <w:rPr>
                <w:rFonts w:cs="Times New Roman"/>
                <w:sz w:val="21"/>
                <w:szCs w:val="21"/>
              </w:rPr>
            </w:pPr>
            <w:r>
              <w:rPr>
                <w:rFonts w:cs="Times New Roman" w:hint="eastAsia"/>
                <w:sz w:val="21"/>
                <w:szCs w:val="21"/>
                <w:lang w:eastAsia="zh-CN"/>
              </w:rPr>
              <w:t>石柱村</w:t>
            </w:r>
            <w:r>
              <w:rPr>
                <w:rFonts w:cs="Times New Roman" w:hint="eastAsia"/>
                <w:sz w:val="21"/>
                <w:szCs w:val="21"/>
              </w:rPr>
              <w:t>居民点</w:t>
            </w:r>
          </w:p>
        </w:tc>
        <w:tc>
          <w:tcPr>
            <w:tcW w:w="307" w:type="pct"/>
            <w:vMerge/>
            <w:vAlign w:val="center"/>
          </w:tcPr>
          <w:p w:rsidR="006175A6" w:rsidRDefault="006175A6">
            <w:pPr>
              <w:widowControl/>
              <w:autoSpaceDE/>
              <w:autoSpaceDN/>
              <w:spacing w:line="240" w:lineRule="auto"/>
              <w:ind w:firstLineChars="0" w:firstLine="0"/>
              <w:jc w:val="center"/>
              <w:rPr>
                <w:rFonts w:hAnsi="宋体" w:cs="宋体"/>
                <w:sz w:val="21"/>
              </w:rPr>
            </w:pPr>
          </w:p>
        </w:tc>
      </w:tr>
    </w:tbl>
    <w:p w:rsidR="006175A6" w:rsidRDefault="009B4BA7">
      <w:pPr>
        <w:pStyle w:val="2"/>
      </w:pPr>
      <w:bookmarkStart w:id="85" w:name="_Toc80170127"/>
      <w:r>
        <w:rPr>
          <w:rFonts w:hint="eastAsia"/>
        </w:rPr>
        <w:t>施工期环境风险分析</w:t>
      </w:r>
      <w:bookmarkEnd w:id="85"/>
    </w:p>
    <w:p w:rsidR="006175A6" w:rsidRDefault="009B4BA7">
      <w:pPr>
        <w:ind w:firstLine="480"/>
      </w:pPr>
      <w:r>
        <w:rPr>
          <w:rFonts w:hint="eastAsia"/>
        </w:rPr>
        <w:t>拟建项目不属于建设项目环境影响评价分类管理名录中规定的化学原料及化学品制造、石油和天然气开采与炼制、信息化学品制造、化学纤维制造、有色金属治炼加工、采掘业、建材等行业项目，自身不涉及有毒有害物质和易燃易爆物质的生产等，本次环评仅对拟建项目环境风险做一般性分析。两河口水库上游无工业污染企业，其水库水质污染风险主要来自：淹没区垃圾废物污染风险；库区四周人为排污风险等；汇水区域污染风险等。</w:t>
      </w:r>
    </w:p>
    <w:p w:rsidR="006175A6" w:rsidRDefault="009B4BA7">
      <w:pPr>
        <w:pStyle w:val="3"/>
      </w:pPr>
      <w:r>
        <w:rPr>
          <w:rFonts w:hint="eastAsia"/>
        </w:rPr>
        <w:t>油料泄漏风险分析</w:t>
      </w:r>
    </w:p>
    <w:p w:rsidR="006175A6" w:rsidRDefault="009B4BA7">
      <w:pPr>
        <w:ind w:firstLine="480"/>
      </w:pPr>
      <w:r>
        <w:rPr>
          <w:rFonts w:hint="eastAsia"/>
        </w:rPr>
        <w:t>（</w:t>
      </w:r>
      <w:r>
        <w:rPr>
          <w:rFonts w:hint="eastAsia"/>
        </w:rPr>
        <w:t>1</w:t>
      </w:r>
      <w:r>
        <w:rPr>
          <w:rFonts w:hint="eastAsia"/>
        </w:rPr>
        <w:t>）最大可信事故及发生概率</w:t>
      </w:r>
    </w:p>
    <w:p w:rsidR="006175A6" w:rsidRDefault="009B4BA7">
      <w:pPr>
        <w:ind w:firstLine="480"/>
      </w:pPr>
      <w:r>
        <w:rPr>
          <w:rFonts w:hint="eastAsia"/>
        </w:rPr>
        <w:t>最大可信事故指事故所造成的危害在所有预测的事故中最严重，并且发生该事故的概率不为“</w:t>
      </w:r>
      <w:r>
        <w:rPr>
          <w:rFonts w:hint="eastAsia"/>
        </w:rPr>
        <w:t>0</w:t>
      </w:r>
      <w:r>
        <w:rPr>
          <w:rFonts w:hint="eastAsia"/>
        </w:rPr>
        <w:t>”。在上述风险识别、分析和事故分析的基础上，可以看出，本项目的最大可信事故设定为储罐区的汽油柴油泄露事故和燃烧爆炸。</w:t>
      </w:r>
    </w:p>
    <w:p w:rsidR="006175A6" w:rsidRDefault="009B4BA7">
      <w:pPr>
        <w:ind w:firstLine="480"/>
      </w:pPr>
      <w:r>
        <w:rPr>
          <w:rFonts w:hint="eastAsia"/>
        </w:rPr>
        <w:t>本次风险评价最大可信事类比方法进行确定，分析国内外部分汽油柴油储罐事故案例，结合本厂区的实际情况，项目事故主要有火灾爆炸和柴油泄露，事故主要原因是由于气体达可燃浓度和点火源的存在，达到气体爆炸极限条件，以及泄露等基本事件。汽油柴油泄漏和通风不良造成柴油达可燃浓度，则汽油柴油达可燃浓度的基本事件的结构重要度最大。但是，点火源的基本原因事件也应予以同样重视。在基本事件中，防雷电和自燃火源可根据事故控制措施分析表执行。贮存区首先是要使通风良好，并应将计量口关闭严密，其次要定期检查阻火器防火网的可靠性。</w:t>
      </w:r>
    </w:p>
    <w:p w:rsidR="006175A6" w:rsidRDefault="009B4BA7">
      <w:pPr>
        <w:ind w:firstLine="480"/>
      </w:pPr>
      <w:r>
        <w:rPr>
          <w:rFonts w:hint="eastAsia"/>
        </w:rPr>
        <w:t>泄漏事故类型如容器、管道、泵体、压缩机、装卸臂和装卸软管的泄露和破裂等，泄露频率详见下表。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事故发生概率一览表</w:t>
      </w:r>
      <w:r>
        <w:rPr>
          <w:rFonts w:hint="eastAsia"/>
        </w:rPr>
        <w:t xml:space="preserve">  </w:t>
      </w:r>
      <w:r>
        <w:rPr>
          <w:rFonts w:hint="eastAsia"/>
        </w:rPr>
        <w:t>单位：次</w:t>
      </w:r>
      <w:r>
        <w:rPr>
          <w:rFonts w:hint="eastAsia"/>
        </w:rPr>
        <w:t>/</w:t>
      </w:r>
      <w:r>
        <w:rPr>
          <w:rFonts w:hint="eastAsia"/>
        </w:rPr>
        <w:t>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557"/>
        <w:gridCol w:w="1969"/>
      </w:tblGrid>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部位类型</w:t>
            </w:r>
          </w:p>
        </w:tc>
        <w:tc>
          <w:tcPr>
            <w:tcW w:w="2087" w:type="pct"/>
            <w:vAlign w:val="center"/>
          </w:tcPr>
          <w:p w:rsidR="006175A6" w:rsidRDefault="009B4BA7">
            <w:pPr>
              <w:pStyle w:val="af0"/>
              <w:adjustRightInd w:val="0"/>
              <w:snapToGrid w:val="0"/>
            </w:pPr>
            <w:r>
              <w:rPr>
                <w:rFonts w:hAnsi="宋体"/>
              </w:rPr>
              <w:t>泄露模式</w:t>
            </w:r>
          </w:p>
        </w:tc>
        <w:tc>
          <w:tcPr>
            <w:tcW w:w="1155" w:type="pct"/>
            <w:vAlign w:val="center"/>
          </w:tcPr>
          <w:p w:rsidR="006175A6" w:rsidRDefault="009B4BA7">
            <w:pPr>
              <w:pStyle w:val="af0"/>
              <w:adjustRightInd w:val="0"/>
              <w:snapToGrid w:val="0"/>
            </w:pPr>
            <w:r>
              <w:rPr>
                <w:rFonts w:hAnsi="宋体"/>
              </w:rPr>
              <w:t>泄露频率</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反应器</w:t>
            </w:r>
            <w:r>
              <w:t>/</w:t>
            </w:r>
            <w:r>
              <w:rPr>
                <w:rFonts w:hAnsi="宋体"/>
              </w:rPr>
              <w:t>工业储罐</w:t>
            </w:r>
            <w:r>
              <w:t>/</w:t>
            </w:r>
            <w:r>
              <w:rPr>
                <w:rFonts w:hAnsi="宋体"/>
              </w:rPr>
              <w:t>气体储罐</w:t>
            </w:r>
            <w:r>
              <w:t>/</w:t>
            </w:r>
            <w:r>
              <w:rPr>
                <w:rFonts w:hAnsi="宋体"/>
              </w:rPr>
              <w:t>塔器</w:t>
            </w:r>
          </w:p>
        </w:tc>
        <w:tc>
          <w:tcPr>
            <w:tcW w:w="2087" w:type="pct"/>
            <w:vAlign w:val="center"/>
          </w:tcPr>
          <w:p w:rsidR="006175A6" w:rsidRDefault="009B4BA7">
            <w:pPr>
              <w:pStyle w:val="af0"/>
              <w:adjustRightInd w:val="0"/>
              <w:snapToGrid w:val="0"/>
            </w:pPr>
            <w:r>
              <w:rPr>
                <w:rFonts w:hAnsi="宋体"/>
              </w:rPr>
              <w:t>泄露孔径为</w:t>
            </w:r>
            <w:r>
              <w:t>10mm</w:t>
            </w:r>
            <w:r>
              <w:rPr>
                <w:rFonts w:hAnsi="宋体"/>
              </w:rPr>
              <w:t>孔径</w:t>
            </w:r>
          </w:p>
          <w:p w:rsidR="006175A6" w:rsidRDefault="009B4BA7">
            <w:pPr>
              <w:pStyle w:val="af0"/>
              <w:adjustRightInd w:val="0"/>
              <w:snapToGrid w:val="0"/>
            </w:pPr>
            <w:r>
              <w:t>10min</w:t>
            </w:r>
            <w:r>
              <w:rPr>
                <w:rFonts w:hAnsi="宋体"/>
              </w:rPr>
              <w:t>内储罐泄露完</w:t>
            </w:r>
          </w:p>
          <w:p w:rsidR="006175A6" w:rsidRDefault="009B4BA7">
            <w:pPr>
              <w:pStyle w:val="af0"/>
              <w:adjustRightInd w:val="0"/>
              <w:snapToGrid w:val="0"/>
            </w:pPr>
            <w:r>
              <w:rPr>
                <w:rFonts w:hAnsi="宋体"/>
              </w:rPr>
              <w:lastRenderedPageBreak/>
              <w:t>储罐完全破裂</w:t>
            </w:r>
          </w:p>
        </w:tc>
        <w:tc>
          <w:tcPr>
            <w:tcW w:w="1155" w:type="pct"/>
            <w:vAlign w:val="center"/>
          </w:tcPr>
          <w:p w:rsidR="006175A6" w:rsidRDefault="009B4BA7">
            <w:pPr>
              <w:pStyle w:val="af0"/>
              <w:adjustRightInd w:val="0"/>
              <w:snapToGrid w:val="0"/>
            </w:pPr>
            <w:r>
              <w:lastRenderedPageBreak/>
              <w:t>1.00×10</w:t>
            </w:r>
            <w:r>
              <w:rPr>
                <w:vertAlign w:val="superscript"/>
              </w:rPr>
              <w:t>-4</w:t>
            </w:r>
            <w:r>
              <w:t>/a</w:t>
            </w:r>
          </w:p>
          <w:p w:rsidR="006175A6" w:rsidRDefault="009B4BA7">
            <w:pPr>
              <w:pStyle w:val="af0"/>
              <w:adjustRightInd w:val="0"/>
              <w:snapToGrid w:val="0"/>
            </w:pPr>
            <w:r>
              <w:t>5.00×10</w:t>
            </w:r>
            <w:r>
              <w:rPr>
                <w:vertAlign w:val="superscript"/>
              </w:rPr>
              <w:t>-6</w:t>
            </w:r>
            <w:r>
              <w:t>/a</w:t>
            </w:r>
          </w:p>
          <w:p w:rsidR="006175A6" w:rsidRDefault="009B4BA7">
            <w:pPr>
              <w:pStyle w:val="af0"/>
              <w:adjustRightInd w:val="0"/>
              <w:snapToGrid w:val="0"/>
            </w:pPr>
            <w:r>
              <w:t>5.00×10</w:t>
            </w:r>
            <w:r>
              <w:rPr>
                <w:vertAlign w:val="superscript"/>
              </w:rPr>
              <w:t>-6</w:t>
            </w:r>
            <w:r>
              <w:t>/a</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lastRenderedPageBreak/>
              <w:t>常压单包容储罐</w:t>
            </w:r>
          </w:p>
        </w:tc>
        <w:tc>
          <w:tcPr>
            <w:tcW w:w="2087" w:type="pct"/>
            <w:vAlign w:val="center"/>
          </w:tcPr>
          <w:p w:rsidR="006175A6" w:rsidRDefault="009B4BA7">
            <w:pPr>
              <w:pStyle w:val="af0"/>
              <w:adjustRightInd w:val="0"/>
              <w:snapToGrid w:val="0"/>
            </w:pPr>
            <w:r>
              <w:rPr>
                <w:rFonts w:hAnsi="宋体"/>
              </w:rPr>
              <w:t>泄露孔径为</w:t>
            </w:r>
            <w:r>
              <w:t>10mm</w:t>
            </w:r>
            <w:r>
              <w:rPr>
                <w:rFonts w:hAnsi="宋体"/>
              </w:rPr>
              <w:t>孔径</w:t>
            </w:r>
          </w:p>
          <w:p w:rsidR="006175A6" w:rsidRDefault="009B4BA7">
            <w:pPr>
              <w:pStyle w:val="af0"/>
              <w:adjustRightInd w:val="0"/>
              <w:snapToGrid w:val="0"/>
            </w:pPr>
            <w:r>
              <w:t>10min</w:t>
            </w:r>
            <w:r>
              <w:rPr>
                <w:rFonts w:hAnsi="宋体"/>
              </w:rPr>
              <w:t>内储罐泄露完</w:t>
            </w:r>
          </w:p>
          <w:p w:rsidR="006175A6" w:rsidRDefault="009B4BA7">
            <w:pPr>
              <w:pStyle w:val="af0"/>
              <w:adjustRightInd w:val="0"/>
              <w:snapToGrid w:val="0"/>
            </w:pPr>
            <w:r>
              <w:rPr>
                <w:rFonts w:hAnsi="宋体"/>
              </w:rPr>
              <w:t>储罐完全破裂</w:t>
            </w:r>
          </w:p>
        </w:tc>
        <w:tc>
          <w:tcPr>
            <w:tcW w:w="1155" w:type="pct"/>
            <w:vAlign w:val="center"/>
          </w:tcPr>
          <w:p w:rsidR="006175A6" w:rsidRDefault="009B4BA7">
            <w:pPr>
              <w:pStyle w:val="af0"/>
              <w:adjustRightInd w:val="0"/>
              <w:snapToGrid w:val="0"/>
            </w:pPr>
            <w:r>
              <w:t>1.00×10</w:t>
            </w:r>
            <w:r>
              <w:rPr>
                <w:vertAlign w:val="superscript"/>
              </w:rPr>
              <w:t>-4</w:t>
            </w:r>
            <w:r>
              <w:t>/a</w:t>
            </w:r>
          </w:p>
          <w:p w:rsidR="006175A6" w:rsidRDefault="009B4BA7">
            <w:pPr>
              <w:pStyle w:val="af0"/>
              <w:adjustRightInd w:val="0"/>
              <w:snapToGrid w:val="0"/>
            </w:pPr>
            <w:r>
              <w:t>5.00×10</w:t>
            </w:r>
            <w:r>
              <w:rPr>
                <w:vertAlign w:val="superscript"/>
              </w:rPr>
              <w:t>-6</w:t>
            </w:r>
            <w:r>
              <w:t>/a</w:t>
            </w:r>
          </w:p>
          <w:p w:rsidR="006175A6" w:rsidRDefault="009B4BA7">
            <w:pPr>
              <w:pStyle w:val="af0"/>
              <w:adjustRightInd w:val="0"/>
              <w:snapToGrid w:val="0"/>
            </w:pPr>
            <w:r>
              <w:t>5.00×10</w:t>
            </w:r>
            <w:r>
              <w:rPr>
                <w:vertAlign w:val="superscript"/>
              </w:rPr>
              <w:t>-6</w:t>
            </w:r>
            <w:r>
              <w:t>/a</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常压双包容储罐</w:t>
            </w:r>
          </w:p>
        </w:tc>
        <w:tc>
          <w:tcPr>
            <w:tcW w:w="2087" w:type="pct"/>
            <w:vAlign w:val="center"/>
          </w:tcPr>
          <w:p w:rsidR="006175A6" w:rsidRDefault="009B4BA7">
            <w:pPr>
              <w:pStyle w:val="af0"/>
              <w:adjustRightInd w:val="0"/>
              <w:snapToGrid w:val="0"/>
            </w:pPr>
            <w:r>
              <w:rPr>
                <w:rFonts w:hAnsi="宋体"/>
              </w:rPr>
              <w:t>泄露孔径为</w:t>
            </w:r>
            <w:r>
              <w:t>10%</w:t>
            </w:r>
            <w:r>
              <w:rPr>
                <w:rFonts w:hAnsi="宋体"/>
              </w:rPr>
              <w:t>孔径</w:t>
            </w:r>
          </w:p>
          <w:p w:rsidR="006175A6" w:rsidRDefault="009B4BA7">
            <w:pPr>
              <w:pStyle w:val="af0"/>
              <w:adjustRightInd w:val="0"/>
              <w:snapToGrid w:val="0"/>
            </w:pPr>
            <w:r>
              <w:t>10min</w:t>
            </w:r>
            <w:r>
              <w:rPr>
                <w:rFonts w:hAnsi="宋体"/>
              </w:rPr>
              <w:t>内储罐泄露完</w:t>
            </w:r>
          </w:p>
          <w:p w:rsidR="006175A6" w:rsidRDefault="009B4BA7">
            <w:pPr>
              <w:pStyle w:val="af0"/>
              <w:adjustRightInd w:val="0"/>
              <w:snapToGrid w:val="0"/>
            </w:pPr>
            <w:r>
              <w:rPr>
                <w:rFonts w:hAnsi="宋体"/>
              </w:rPr>
              <w:t>储罐完全破裂</w:t>
            </w:r>
          </w:p>
        </w:tc>
        <w:tc>
          <w:tcPr>
            <w:tcW w:w="1155" w:type="pct"/>
            <w:vAlign w:val="center"/>
          </w:tcPr>
          <w:p w:rsidR="006175A6" w:rsidRDefault="009B4BA7">
            <w:pPr>
              <w:pStyle w:val="af0"/>
              <w:adjustRightInd w:val="0"/>
              <w:snapToGrid w:val="0"/>
            </w:pPr>
            <w:r>
              <w:t>1.00×10</w:t>
            </w:r>
            <w:r>
              <w:rPr>
                <w:vertAlign w:val="superscript"/>
              </w:rPr>
              <w:t>-4</w:t>
            </w:r>
            <w:r>
              <w:t>/a</w:t>
            </w:r>
          </w:p>
          <w:p w:rsidR="006175A6" w:rsidRDefault="009B4BA7">
            <w:pPr>
              <w:pStyle w:val="af0"/>
              <w:adjustRightInd w:val="0"/>
              <w:snapToGrid w:val="0"/>
            </w:pPr>
            <w:r>
              <w:t>1.25×10</w:t>
            </w:r>
            <w:r>
              <w:rPr>
                <w:vertAlign w:val="superscript"/>
              </w:rPr>
              <w:t>-8</w:t>
            </w:r>
            <w:r>
              <w:t>/a</w:t>
            </w:r>
          </w:p>
          <w:p w:rsidR="006175A6" w:rsidRDefault="009B4BA7">
            <w:pPr>
              <w:pStyle w:val="af0"/>
              <w:adjustRightInd w:val="0"/>
              <w:snapToGrid w:val="0"/>
            </w:pPr>
            <w:r>
              <w:t>1.25×10</w:t>
            </w:r>
            <w:r>
              <w:rPr>
                <w:vertAlign w:val="superscript"/>
              </w:rPr>
              <w:t>-8</w:t>
            </w:r>
            <w:r>
              <w:t>/a</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常压全包容储罐</w:t>
            </w:r>
          </w:p>
        </w:tc>
        <w:tc>
          <w:tcPr>
            <w:tcW w:w="2087" w:type="pct"/>
            <w:vAlign w:val="center"/>
          </w:tcPr>
          <w:p w:rsidR="006175A6" w:rsidRDefault="009B4BA7">
            <w:pPr>
              <w:pStyle w:val="af0"/>
              <w:adjustRightInd w:val="0"/>
              <w:snapToGrid w:val="0"/>
            </w:pPr>
            <w:r>
              <w:rPr>
                <w:rFonts w:hAnsi="宋体"/>
              </w:rPr>
              <w:t>储罐完全破裂</w:t>
            </w:r>
          </w:p>
        </w:tc>
        <w:tc>
          <w:tcPr>
            <w:tcW w:w="1155" w:type="pct"/>
            <w:vAlign w:val="center"/>
          </w:tcPr>
          <w:p w:rsidR="006175A6" w:rsidRDefault="009B4BA7">
            <w:pPr>
              <w:pStyle w:val="af0"/>
              <w:adjustRightInd w:val="0"/>
              <w:snapToGrid w:val="0"/>
            </w:pPr>
            <w:r>
              <w:t>1.00×10</w:t>
            </w:r>
            <w:r>
              <w:rPr>
                <w:vertAlign w:val="superscript"/>
              </w:rPr>
              <w:t>-8</w:t>
            </w:r>
            <w:r>
              <w:t>/a</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内径</w:t>
            </w:r>
            <w:r>
              <w:t>≤75mm</w:t>
            </w:r>
            <w:r>
              <w:rPr>
                <w:rFonts w:hAnsi="宋体"/>
              </w:rPr>
              <w:t>的管道</w:t>
            </w:r>
          </w:p>
        </w:tc>
        <w:tc>
          <w:tcPr>
            <w:tcW w:w="2087" w:type="pct"/>
            <w:vAlign w:val="center"/>
          </w:tcPr>
          <w:p w:rsidR="006175A6" w:rsidRDefault="009B4BA7">
            <w:pPr>
              <w:pStyle w:val="af0"/>
              <w:adjustRightInd w:val="0"/>
              <w:snapToGrid w:val="0"/>
            </w:pPr>
            <w:r>
              <w:rPr>
                <w:rFonts w:hAnsi="宋体"/>
              </w:rPr>
              <w:t>泄露孔径为</w:t>
            </w:r>
            <w:r>
              <w:t>10mm</w:t>
            </w:r>
            <w:r>
              <w:rPr>
                <w:rFonts w:hAnsi="宋体"/>
              </w:rPr>
              <w:t>孔径</w:t>
            </w:r>
          </w:p>
          <w:p w:rsidR="006175A6" w:rsidRDefault="009B4BA7">
            <w:pPr>
              <w:pStyle w:val="af0"/>
              <w:adjustRightInd w:val="0"/>
              <w:snapToGrid w:val="0"/>
            </w:pPr>
            <w:r>
              <w:rPr>
                <w:rFonts w:hAnsi="宋体"/>
              </w:rPr>
              <w:t>全管径泄露</w:t>
            </w:r>
          </w:p>
        </w:tc>
        <w:tc>
          <w:tcPr>
            <w:tcW w:w="1155" w:type="pct"/>
            <w:vAlign w:val="center"/>
          </w:tcPr>
          <w:p w:rsidR="006175A6" w:rsidRDefault="009B4BA7">
            <w:pPr>
              <w:pStyle w:val="af0"/>
              <w:adjustRightInd w:val="0"/>
              <w:snapToGrid w:val="0"/>
            </w:pPr>
            <w:r>
              <w:t>5.00×10</w:t>
            </w:r>
            <w:r>
              <w:rPr>
                <w:vertAlign w:val="superscript"/>
              </w:rPr>
              <w:t>-6</w:t>
            </w:r>
            <w:r>
              <w:t>/</w:t>
            </w:r>
            <w:r w:rsidR="00E97427">
              <w:t>（</w:t>
            </w:r>
            <w:r>
              <w:t>m∙a</w:t>
            </w:r>
            <w:r w:rsidR="00E97427">
              <w:t>）</w:t>
            </w:r>
          </w:p>
          <w:p w:rsidR="006175A6" w:rsidRDefault="009B4BA7">
            <w:pPr>
              <w:pStyle w:val="af0"/>
              <w:adjustRightInd w:val="0"/>
              <w:snapToGrid w:val="0"/>
            </w:pPr>
            <w:r>
              <w:t>1.00×10</w:t>
            </w:r>
            <w:r>
              <w:rPr>
                <w:vertAlign w:val="superscript"/>
              </w:rPr>
              <w:t>-6</w:t>
            </w:r>
            <w:r>
              <w:t>/</w:t>
            </w:r>
            <w:r w:rsidR="00E97427">
              <w:t>（</w:t>
            </w:r>
            <w:r>
              <w:t>m∙a</w:t>
            </w:r>
            <w:r w:rsidR="00E97427">
              <w:t>）</w:t>
            </w:r>
          </w:p>
        </w:tc>
      </w:tr>
      <w:tr w:rsidR="006175A6">
        <w:trPr>
          <w:trHeight w:val="340"/>
        </w:trPr>
        <w:tc>
          <w:tcPr>
            <w:tcW w:w="1758" w:type="pct"/>
            <w:vAlign w:val="center"/>
          </w:tcPr>
          <w:p w:rsidR="006175A6" w:rsidRDefault="009B4BA7">
            <w:pPr>
              <w:pStyle w:val="af1"/>
              <w:adjustRightInd w:val="0"/>
              <w:snapToGrid w:val="0"/>
              <w:spacing w:before="0" w:beforeAutospacing="0" w:after="0"/>
            </w:pPr>
            <w:r>
              <w:t>75mm</w:t>
            </w:r>
            <w:r>
              <w:rPr>
                <w:rFonts w:hAnsi="宋体"/>
              </w:rPr>
              <w:t>＜内径</w:t>
            </w:r>
            <w:r>
              <w:t>≤150mm</w:t>
            </w:r>
            <w:r>
              <w:rPr>
                <w:rFonts w:hAnsi="宋体"/>
              </w:rPr>
              <w:t>的管道</w:t>
            </w:r>
          </w:p>
        </w:tc>
        <w:tc>
          <w:tcPr>
            <w:tcW w:w="2087" w:type="pct"/>
            <w:vAlign w:val="center"/>
          </w:tcPr>
          <w:p w:rsidR="006175A6" w:rsidRDefault="009B4BA7">
            <w:pPr>
              <w:pStyle w:val="af0"/>
              <w:adjustRightInd w:val="0"/>
              <w:snapToGrid w:val="0"/>
            </w:pPr>
            <w:r>
              <w:rPr>
                <w:rFonts w:hAnsi="宋体"/>
              </w:rPr>
              <w:t>泄露孔径为</w:t>
            </w:r>
            <w:r>
              <w:t>10%</w:t>
            </w:r>
            <w:r>
              <w:rPr>
                <w:rFonts w:hAnsi="宋体"/>
              </w:rPr>
              <w:t>孔径</w:t>
            </w:r>
          </w:p>
          <w:p w:rsidR="006175A6" w:rsidRDefault="009B4BA7">
            <w:pPr>
              <w:pStyle w:val="af0"/>
              <w:adjustRightInd w:val="0"/>
              <w:snapToGrid w:val="0"/>
            </w:pPr>
            <w:r>
              <w:rPr>
                <w:rFonts w:hAnsi="宋体"/>
              </w:rPr>
              <w:t>全管径泄露</w:t>
            </w:r>
          </w:p>
        </w:tc>
        <w:tc>
          <w:tcPr>
            <w:tcW w:w="1155" w:type="pct"/>
            <w:vAlign w:val="center"/>
          </w:tcPr>
          <w:p w:rsidR="006175A6" w:rsidRDefault="009B4BA7">
            <w:pPr>
              <w:pStyle w:val="af0"/>
              <w:adjustRightInd w:val="0"/>
              <w:snapToGrid w:val="0"/>
            </w:pPr>
            <w:r>
              <w:t>2.00×10</w:t>
            </w:r>
            <w:r>
              <w:rPr>
                <w:vertAlign w:val="superscript"/>
              </w:rPr>
              <w:t>-6</w:t>
            </w:r>
            <w:r>
              <w:t>/</w:t>
            </w:r>
            <w:r w:rsidR="00E97427">
              <w:t>（</w:t>
            </w:r>
            <w:r>
              <w:t>m∙a</w:t>
            </w:r>
            <w:r w:rsidR="00E97427">
              <w:t>）</w:t>
            </w:r>
          </w:p>
          <w:p w:rsidR="006175A6" w:rsidRDefault="009B4BA7">
            <w:pPr>
              <w:pStyle w:val="af0"/>
              <w:adjustRightInd w:val="0"/>
              <w:snapToGrid w:val="0"/>
            </w:pPr>
            <w:r>
              <w:t>3.00×10</w:t>
            </w:r>
            <w:r>
              <w:rPr>
                <w:vertAlign w:val="superscript"/>
              </w:rPr>
              <w:t>-7</w:t>
            </w:r>
            <w:r>
              <w:t>/</w:t>
            </w:r>
            <w:r w:rsidR="00E97427">
              <w:t>（</w:t>
            </w:r>
            <w:r>
              <w:t>m∙a</w:t>
            </w:r>
            <w:r w:rsidR="00E97427">
              <w:t>）</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内径＞</w:t>
            </w:r>
            <w:r>
              <w:t>150mm</w:t>
            </w:r>
            <w:r>
              <w:rPr>
                <w:rFonts w:hAnsi="宋体"/>
              </w:rPr>
              <w:t>的管道</w:t>
            </w:r>
          </w:p>
        </w:tc>
        <w:tc>
          <w:tcPr>
            <w:tcW w:w="2087" w:type="pct"/>
            <w:vAlign w:val="center"/>
          </w:tcPr>
          <w:p w:rsidR="006175A6" w:rsidRDefault="009B4BA7">
            <w:pPr>
              <w:pStyle w:val="af0"/>
              <w:adjustRightInd w:val="0"/>
              <w:snapToGrid w:val="0"/>
            </w:pPr>
            <w:r>
              <w:rPr>
                <w:rFonts w:hAnsi="宋体"/>
              </w:rPr>
              <w:t>泄露孔径为</w:t>
            </w:r>
            <w:r>
              <w:t>10%</w:t>
            </w:r>
            <w:r>
              <w:rPr>
                <w:rFonts w:hAnsi="宋体"/>
              </w:rPr>
              <w:t>孔径</w:t>
            </w:r>
            <w:r w:rsidR="00E97427">
              <w:t>（</w:t>
            </w:r>
            <w:r>
              <w:rPr>
                <w:rFonts w:hAnsi="宋体"/>
              </w:rPr>
              <w:t>最大</w:t>
            </w:r>
            <w:r>
              <w:t>50mm</w:t>
            </w:r>
            <w:r w:rsidR="00E97427">
              <w:t>）</w:t>
            </w:r>
          </w:p>
          <w:p w:rsidR="006175A6" w:rsidRDefault="009B4BA7">
            <w:pPr>
              <w:pStyle w:val="af0"/>
              <w:adjustRightInd w:val="0"/>
              <w:snapToGrid w:val="0"/>
            </w:pPr>
            <w:r>
              <w:rPr>
                <w:rFonts w:hAnsi="宋体"/>
              </w:rPr>
              <w:t>全管径泄露</w:t>
            </w:r>
          </w:p>
        </w:tc>
        <w:tc>
          <w:tcPr>
            <w:tcW w:w="1155" w:type="pct"/>
            <w:vAlign w:val="center"/>
          </w:tcPr>
          <w:p w:rsidR="006175A6" w:rsidRDefault="009B4BA7">
            <w:pPr>
              <w:pStyle w:val="af0"/>
              <w:adjustRightInd w:val="0"/>
              <w:snapToGrid w:val="0"/>
            </w:pPr>
            <w:r>
              <w:t>2.40×10</w:t>
            </w:r>
            <w:r>
              <w:rPr>
                <w:vertAlign w:val="superscript"/>
              </w:rPr>
              <w:t>-6</w:t>
            </w:r>
            <w:r>
              <w:t>/</w:t>
            </w:r>
            <w:r w:rsidR="00E97427">
              <w:t>（</w:t>
            </w:r>
            <w:r>
              <w:t>m∙a</w:t>
            </w:r>
            <w:r w:rsidR="00E97427">
              <w:t>）</w:t>
            </w:r>
          </w:p>
          <w:p w:rsidR="006175A6" w:rsidRDefault="009B4BA7">
            <w:pPr>
              <w:pStyle w:val="af0"/>
              <w:adjustRightInd w:val="0"/>
              <w:snapToGrid w:val="0"/>
            </w:pPr>
            <w:r>
              <w:t>1.00×10</w:t>
            </w:r>
            <w:r>
              <w:rPr>
                <w:vertAlign w:val="superscript"/>
              </w:rPr>
              <w:t>-7</w:t>
            </w:r>
            <w:r>
              <w:t>/</w:t>
            </w:r>
            <w:r w:rsidR="00E97427">
              <w:t>（</w:t>
            </w:r>
            <w:r>
              <w:t>m∙a</w:t>
            </w:r>
            <w:r w:rsidR="00E97427">
              <w:t>）</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泵体和压缩机</w:t>
            </w:r>
          </w:p>
        </w:tc>
        <w:tc>
          <w:tcPr>
            <w:tcW w:w="2087" w:type="pct"/>
            <w:vAlign w:val="center"/>
          </w:tcPr>
          <w:p w:rsidR="006175A6" w:rsidRDefault="009B4BA7">
            <w:pPr>
              <w:pStyle w:val="af0"/>
              <w:adjustRightInd w:val="0"/>
              <w:snapToGrid w:val="0"/>
            </w:pPr>
            <w:r>
              <w:rPr>
                <w:rFonts w:hAnsi="宋体"/>
              </w:rPr>
              <w:t>泵体和压缩机最大连接孔径泄露孔径为</w:t>
            </w:r>
            <w:r>
              <w:t>10%</w:t>
            </w:r>
            <w:r>
              <w:rPr>
                <w:rFonts w:hAnsi="宋体"/>
              </w:rPr>
              <w:t>孔径</w:t>
            </w:r>
            <w:r w:rsidR="00E97427">
              <w:t>（</w:t>
            </w:r>
            <w:r>
              <w:rPr>
                <w:rFonts w:hAnsi="宋体"/>
              </w:rPr>
              <w:t>最大</w:t>
            </w:r>
            <w:r>
              <w:t>50mm</w:t>
            </w:r>
            <w:r w:rsidR="00E97427">
              <w:t>）</w:t>
            </w:r>
          </w:p>
          <w:p w:rsidR="006175A6" w:rsidRDefault="009B4BA7">
            <w:pPr>
              <w:pStyle w:val="af0"/>
              <w:adjustRightInd w:val="0"/>
              <w:snapToGrid w:val="0"/>
            </w:pPr>
            <w:r>
              <w:rPr>
                <w:rFonts w:hAnsi="宋体"/>
              </w:rPr>
              <w:t>泵体和压缩机最大连接全管径泄露</w:t>
            </w:r>
          </w:p>
        </w:tc>
        <w:tc>
          <w:tcPr>
            <w:tcW w:w="1155" w:type="pct"/>
            <w:vAlign w:val="center"/>
          </w:tcPr>
          <w:p w:rsidR="006175A6" w:rsidRDefault="009B4BA7">
            <w:pPr>
              <w:pStyle w:val="af0"/>
              <w:adjustRightInd w:val="0"/>
              <w:snapToGrid w:val="0"/>
            </w:pPr>
            <w:r>
              <w:t>5.00×10</w:t>
            </w:r>
            <w:r>
              <w:rPr>
                <w:vertAlign w:val="superscript"/>
              </w:rPr>
              <w:t>-4</w:t>
            </w:r>
            <w:r>
              <w:t>/a</w:t>
            </w:r>
          </w:p>
          <w:p w:rsidR="006175A6" w:rsidRDefault="006175A6">
            <w:pPr>
              <w:pStyle w:val="af0"/>
              <w:adjustRightInd w:val="0"/>
              <w:snapToGrid w:val="0"/>
            </w:pPr>
          </w:p>
          <w:p w:rsidR="006175A6" w:rsidRDefault="009B4BA7">
            <w:pPr>
              <w:pStyle w:val="af0"/>
              <w:adjustRightInd w:val="0"/>
              <w:snapToGrid w:val="0"/>
            </w:pPr>
            <w:r>
              <w:t>1.00×10</w:t>
            </w:r>
            <w:r>
              <w:rPr>
                <w:vertAlign w:val="superscript"/>
              </w:rPr>
              <w:t>-4</w:t>
            </w:r>
            <w:r>
              <w:t>/a</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装卸臂</w:t>
            </w:r>
          </w:p>
        </w:tc>
        <w:tc>
          <w:tcPr>
            <w:tcW w:w="2087" w:type="pct"/>
            <w:vAlign w:val="center"/>
          </w:tcPr>
          <w:p w:rsidR="006175A6" w:rsidRDefault="009B4BA7">
            <w:pPr>
              <w:pStyle w:val="af0"/>
              <w:adjustRightInd w:val="0"/>
              <w:snapToGrid w:val="0"/>
            </w:pPr>
            <w:r>
              <w:rPr>
                <w:rFonts w:hAnsi="宋体"/>
              </w:rPr>
              <w:t>装卸臂连接管径泄露孔径为</w:t>
            </w:r>
            <w:r>
              <w:t>10%</w:t>
            </w:r>
            <w:r>
              <w:rPr>
                <w:rFonts w:hAnsi="宋体"/>
              </w:rPr>
              <w:t>孔径</w:t>
            </w:r>
            <w:r w:rsidR="00E97427">
              <w:t>（</w:t>
            </w:r>
            <w:r>
              <w:rPr>
                <w:rFonts w:hAnsi="宋体"/>
              </w:rPr>
              <w:t>最大</w:t>
            </w:r>
            <w:r>
              <w:t>50mm</w:t>
            </w:r>
            <w:r w:rsidR="00E97427">
              <w:t>）</w:t>
            </w:r>
          </w:p>
          <w:p w:rsidR="006175A6" w:rsidRDefault="009B4BA7">
            <w:pPr>
              <w:pStyle w:val="af0"/>
              <w:adjustRightInd w:val="0"/>
              <w:snapToGrid w:val="0"/>
            </w:pPr>
            <w:r>
              <w:rPr>
                <w:rFonts w:hAnsi="宋体"/>
              </w:rPr>
              <w:t>装卸臂全管径泄露</w:t>
            </w:r>
          </w:p>
        </w:tc>
        <w:tc>
          <w:tcPr>
            <w:tcW w:w="1155" w:type="pct"/>
            <w:vAlign w:val="center"/>
          </w:tcPr>
          <w:p w:rsidR="006175A6" w:rsidRDefault="009B4BA7">
            <w:pPr>
              <w:pStyle w:val="af0"/>
              <w:adjustRightInd w:val="0"/>
              <w:snapToGrid w:val="0"/>
            </w:pPr>
            <w:r>
              <w:t>3.00×10</w:t>
            </w:r>
            <w:r>
              <w:rPr>
                <w:vertAlign w:val="superscript"/>
              </w:rPr>
              <w:t>-7</w:t>
            </w:r>
            <w:r>
              <w:t>/h</w:t>
            </w:r>
          </w:p>
          <w:p w:rsidR="006175A6" w:rsidRDefault="006175A6">
            <w:pPr>
              <w:pStyle w:val="af0"/>
              <w:adjustRightInd w:val="0"/>
              <w:snapToGrid w:val="0"/>
            </w:pPr>
          </w:p>
          <w:p w:rsidR="006175A6" w:rsidRDefault="009B4BA7">
            <w:pPr>
              <w:pStyle w:val="af0"/>
              <w:adjustRightInd w:val="0"/>
              <w:snapToGrid w:val="0"/>
            </w:pPr>
            <w:r>
              <w:t>3.00×10</w:t>
            </w:r>
            <w:r>
              <w:rPr>
                <w:vertAlign w:val="superscript"/>
              </w:rPr>
              <w:t>-8</w:t>
            </w:r>
            <w:r>
              <w:t>/h</w:t>
            </w:r>
          </w:p>
        </w:tc>
      </w:tr>
      <w:tr w:rsidR="006175A6">
        <w:trPr>
          <w:trHeight w:val="340"/>
        </w:trPr>
        <w:tc>
          <w:tcPr>
            <w:tcW w:w="1758" w:type="pct"/>
            <w:vAlign w:val="center"/>
          </w:tcPr>
          <w:p w:rsidR="006175A6" w:rsidRDefault="009B4BA7">
            <w:pPr>
              <w:pStyle w:val="af1"/>
              <w:adjustRightInd w:val="0"/>
              <w:snapToGrid w:val="0"/>
              <w:spacing w:before="0" w:beforeAutospacing="0" w:after="0"/>
            </w:pPr>
            <w:r>
              <w:rPr>
                <w:rFonts w:hAnsi="宋体"/>
              </w:rPr>
              <w:t>装卸软管</w:t>
            </w:r>
          </w:p>
        </w:tc>
        <w:tc>
          <w:tcPr>
            <w:tcW w:w="2087" w:type="pct"/>
            <w:vAlign w:val="center"/>
          </w:tcPr>
          <w:p w:rsidR="006175A6" w:rsidRDefault="009B4BA7">
            <w:pPr>
              <w:pStyle w:val="af0"/>
              <w:adjustRightInd w:val="0"/>
              <w:snapToGrid w:val="0"/>
            </w:pPr>
            <w:r>
              <w:rPr>
                <w:rFonts w:hAnsi="宋体"/>
              </w:rPr>
              <w:t>装卸软管连接管径泄露孔径为</w:t>
            </w:r>
            <w:r>
              <w:t>10%</w:t>
            </w:r>
            <w:r>
              <w:rPr>
                <w:rFonts w:hAnsi="宋体"/>
              </w:rPr>
              <w:t>孔径</w:t>
            </w:r>
            <w:r w:rsidR="00E97427">
              <w:t>（</w:t>
            </w:r>
            <w:r>
              <w:rPr>
                <w:rFonts w:hAnsi="宋体"/>
              </w:rPr>
              <w:t>最大</w:t>
            </w:r>
            <w:r>
              <w:t>50mm</w:t>
            </w:r>
            <w:r w:rsidR="00E97427">
              <w:t>）</w:t>
            </w:r>
          </w:p>
          <w:p w:rsidR="006175A6" w:rsidRDefault="009B4BA7">
            <w:pPr>
              <w:pStyle w:val="af0"/>
              <w:adjustRightInd w:val="0"/>
              <w:snapToGrid w:val="0"/>
            </w:pPr>
            <w:r>
              <w:rPr>
                <w:rFonts w:hAnsi="宋体"/>
              </w:rPr>
              <w:t>装卸软管全管径泄露</w:t>
            </w:r>
          </w:p>
        </w:tc>
        <w:tc>
          <w:tcPr>
            <w:tcW w:w="1155" w:type="pct"/>
            <w:vAlign w:val="center"/>
          </w:tcPr>
          <w:p w:rsidR="006175A6" w:rsidRDefault="009B4BA7">
            <w:pPr>
              <w:pStyle w:val="af0"/>
              <w:adjustRightInd w:val="0"/>
              <w:snapToGrid w:val="0"/>
            </w:pPr>
            <w:r>
              <w:t>4.00×10</w:t>
            </w:r>
            <w:r>
              <w:rPr>
                <w:vertAlign w:val="superscript"/>
              </w:rPr>
              <w:t>-5</w:t>
            </w:r>
            <w:r>
              <w:t>/h</w:t>
            </w:r>
          </w:p>
          <w:p w:rsidR="006175A6" w:rsidRDefault="006175A6">
            <w:pPr>
              <w:pStyle w:val="af0"/>
              <w:adjustRightInd w:val="0"/>
              <w:snapToGrid w:val="0"/>
            </w:pPr>
          </w:p>
          <w:p w:rsidR="006175A6" w:rsidRDefault="009B4BA7">
            <w:pPr>
              <w:pStyle w:val="af0"/>
              <w:adjustRightInd w:val="0"/>
              <w:snapToGrid w:val="0"/>
            </w:pPr>
            <w:r>
              <w:t>4.00×10</w:t>
            </w:r>
            <w:r>
              <w:rPr>
                <w:vertAlign w:val="superscript"/>
              </w:rPr>
              <w:t>-6</w:t>
            </w:r>
            <w:r>
              <w:t>/h</w:t>
            </w:r>
          </w:p>
        </w:tc>
      </w:tr>
    </w:tbl>
    <w:p w:rsidR="006175A6" w:rsidRDefault="009B4BA7">
      <w:pPr>
        <w:ind w:firstLine="480"/>
      </w:pPr>
      <w:r>
        <w:rPr>
          <w:rFonts w:hint="eastAsia"/>
        </w:rPr>
        <w:t>由上表可知，本项目汽油、柴油罐属于普通工业储罐，</w:t>
      </w:r>
      <w:r>
        <w:rPr>
          <w:rFonts w:ascii="宋体" w:hAnsi="宋体"/>
          <w:szCs w:val="24"/>
        </w:rPr>
        <w:t>其泄露孔径为</w:t>
      </w:r>
      <w:r>
        <w:rPr>
          <w:szCs w:val="24"/>
        </w:rPr>
        <w:t>10mm</w:t>
      </w:r>
      <w:r>
        <w:rPr>
          <w:rFonts w:ascii="宋体" w:hAnsi="宋体"/>
          <w:szCs w:val="24"/>
        </w:rPr>
        <w:t>孔径的泄漏频率为</w:t>
      </w:r>
      <w:r>
        <w:rPr>
          <w:szCs w:val="24"/>
        </w:rPr>
        <w:t>1.00×10</w:t>
      </w:r>
      <w:r>
        <w:rPr>
          <w:szCs w:val="24"/>
          <w:vertAlign w:val="superscript"/>
        </w:rPr>
        <w:t>-4</w:t>
      </w:r>
      <w:r>
        <w:rPr>
          <w:szCs w:val="24"/>
        </w:rPr>
        <w:t>/a</w:t>
      </w:r>
      <w:r>
        <w:rPr>
          <w:rFonts w:ascii="宋体" w:hAnsi="宋体"/>
          <w:szCs w:val="24"/>
        </w:rPr>
        <w:t>，</w:t>
      </w:r>
      <w:r>
        <w:rPr>
          <w:szCs w:val="24"/>
        </w:rPr>
        <w:t>10min</w:t>
      </w:r>
      <w:r>
        <w:rPr>
          <w:rFonts w:ascii="宋体" w:hAnsi="宋体"/>
          <w:szCs w:val="24"/>
        </w:rPr>
        <w:t>内钢瓶泄露完泄露频率</w:t>
      </w:r>
      <w:r>
        <w:rPr>
          <w:szCs w:val="24"/>
        </w:rPr>
        <w:t>5.00×10</w:t>
      </w:r>
      <w:r>
        <w:rPr>
          <w:szCs w:val="24"/>
          <w:vertAlign w:val="superscript"/>
        </w:rPr>
        <w:t>-6</w:t>
      </w:r>
      <w:r>
        <w:rPr>
          <w:szCs w:val="24"/>
        </w:rPr>
        <w:t>/a</w:t>
      </w:r>
      <w:r>
        <w:rPr>
          <w:rFonts w:hint="eastAsia"/>
          <w:szCs w:val="24"/>
        </w:rPr>
        <w:t>。</w:t>
      </w:r>
    </w:p>
    <w:p w:rsidR="006175A6" w:rsidRDefault="009B4BA7">
      <w:pPr>
        <w:ind w:firstLine="480"/>
      </w:pPr>
      <w:r>
        <w:rPr>
          <w:rFonts w:hint="eastAsia"/>
        </w:rPr>
        <w:t>（</w:t>
      </w:r>
      <w:r>
        <w:rPr>
          <w:rFonts w:hint="eastAsia"/>
        </w:rPr>
        <w:t>2</w:t>
      </w:r>
      <w:r>
        <w:rPr>
          <w:rFonts w:hint="eastAsia"/>
        </w:rPr>
        <w:t>）源项分析</w:t>
      </w:r>
    </w:p>
    <w:p w:rsidR="006175A6" w:rsidRDefault="009B4BA7">
      <w:pPr>
        <w:ind w:firstLine="480"/>
      </w:pPr>
      <w:r>
        <w:rPr>
          <w:rFonts w:hint="eastAsia"/>
        </w:rPr>
        <w:t>根据事故统计，储罐泄漏事故大多数为储罐阀门损坏或连接的管路损坏，当储罐阀门或连接的管路损坏导致汽油、柴油泄漏时，设定泄漏孔径为</w:t>
      </w:r>
      <w:r>
        <w:rPr>
          <w:rFonts w:hint="eastAsia"/>
        </w:rPr>
        <w:t>10mm</w:t>
      </w:r>
      <w:r>
        <w:rPr>
          <w:rFonts w:hint="eastAsia"/>
        </w:rPr>
        <w:t>，事故发生后安全系统报警，在</w:t>
      </w:r>
      <w:r>
        <w:rPr>
          <w:rFonts w:hint="eastAsia"/>
        </w:rPr>
        <w:t>10min</w:t>
      </w:r>
      <w:r>
        <w:rPr>
          <w:rFonts w:hint="eastAsia"/>
        </w:rPr>
        <w:t>内泄漏得到控制。当发生泄漏时物料以液体形式泄漏到地面形成液池，并且以质量挥发形式进入大气中，</w:t>
      </w:r>
      <w:r>
        <w:rPr>
          <w:rFonts w:hint="eastAsia"/>
        </w:rPr>
        <w:t>30min</w:t>
      </w:r>
      <w:r>
        <w:rPr>
          <w:rFonts w:hint="eastAsia"/>
        </w:rPr>
        <w:t>泄漏液体基本清除，挥发结束。</w:t>
      </w:r>
    </w:p>
    <w:p w:rsidR="006175A6" w:rsidRDefault="009B4BA7">
      <w:pPr>
        <w:snapToGrid w:val="0"/>
        <w:ind w:firstLine="480"/>
        <w:rPr>
          <w:szCs w:val="24"/>
        </w:rPr>
      </w:pPr>
      <w:r>
        <w:rPr>
          <w:rFonts w:hint="eastAsia"/>
        </w:rPr>
        <w:t>汽油、柴油储罐属于常压储罐，泄露</w:t>
      </w:r>
      <w:r>
        <w:rPr>
          <w:rFonts w:ascii="宋体" w:hAnsi="宋体"/>
          <w:szCs w:val="24"/>
        </w:rPr>
        <w:t>速率采用《建设项目环境风险评价技术导则》</w:t>
      </w:r>
      <w:r w:rsidR="00E97427">
        <w:rPr>
          <w:szCs w:val="24"/>
        </w:rPr>
        <w:t>（</w:t>
      </w:r>
      <w:r>
        <w:rPr>
          <w:szCs w:val="24"/>
        </w:rPr>
        <w:t>HJ/T 169-2018</w:t>
      </w:r>
      <w:r w:rsidR="00E97427">
        <w:rPr>
          <w:szCs w:val="24"/>
        </w:rPr>
        <w:t>）</w:t>
      </w:r>
      <w:r>
        <w:rPr>
          <w:rFonts w:ascii="宋体" w:hAnsi="宋体"/>
          <w:szCs w:val="24"/>
        </w:rPr>
        <w:t>附录</w:t>
      </w:r>
      <w:r>
        <w:rPr>
          <w:szCs w:val="24"/>
        </w:rPr>
        <w:t>F</w:t>
      </w:r>
      <w:r>
        <w:rPr>
          <w:rFonts w:ascii="宋体" w:hAnsi="宋体"/>
          <w:szCs w:val="24"/>
        </w:rPr>
        <w:t>推荐的液体泄漏速率计算方法</w:t>
      </w:r>
      <w:r w:rsidR="00E97427">
        <w:rPr>
          <w:szCs w:val="24"/>
        </w:rPr>
        <w:t>（</w:t>
      </w:r>
      <w:r>
        <w:rPr>
          <w:rFonts w:ascii="宋体" w:hAnsi="宋体"/>
          <w:szCs w:val="24"/>
        </w:rPr>
        <w:t>即柏努利方程</w:t>
      </w:r>
      <w:r w:rsidR="00E97427">
        <w:rPr>
          <w:szCs w:val="24"/>
        </w:rPr>
        <w:t>）</w:t>
      </w:r>
      <w:r>
        <w:rPr>
          <w:rFonts w:ascii="宋体" w:hAnsi="宋体"/>
          <w:szCs w:val="24"/>
        </w:rPr>
        <w:t>计算。</w:t>
      </w:r>
    </w:p>
    <w:p w:rsidR="006175A6" w:rsidRDefault="009B4BA7">
      <w:pPr>
        <w:snapToGrid w:val="0"/>
        <w:ind w:firstLine="480"/>
        <w:jc w:val="center"/>
        <w:rPr>
          <w:szCs w:val="24"/>
        </w:rPr>
      </w:pPr>
      <w:r>
        <w:rPr>
          <w:noProof/>
        </w:rPr>
        <w:drawing>
          <wp:inline distT="0" distB="0" distL="0" distR="0" wp14:anchorId="488D74FC" wp14:editId="75CDCE92">
            <wp:extent cx="1845945" cy="466090"/>
            <wp:effectExtent l="0" t="0" r="1905" b="0"/>
            <wp:docPr id="3" name="图片 3" descr="C:\Users\ADMINI~1\AppData\Local\Temp\ksohtml80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8012\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45945" cy="466090"/>
                    </a:xfrm>
                    <a:prstGeom prst="rect">
                      <a:avLst/>
                    </a:prstGeom>
                    <a:noFill/>
                    <a:ln>
                      <a:noFill/>
                    </a:ln>
                  </pic:spPr>
                </pic:pic>
              </a:graphicData>
            </a:graphic>
          </wp:inline>
        </w:drawing>
      </w:r>
    </w:p>
    <w:p w:rsidR="006175A6" w:rsidRDefault="009B4BA7">
      <w:pPr>
        <w:snapToGrid w:val="0"/>
        <w:ind w:firstLine="480"/>
        <w:jc w:val="left"/>
        <w:rPr>
          <w:szCs w:val="24"/>
        </w:rPr>
      </w:pPr>
      <w:r>
        <w:rPr>
          <w:rFonts w:ascii="宋体" w:hAnsi="宋体"/>
          <w:szCs w:val="24"/>
        </w:rPr>
        <w:t>式中：</w:t>
      </w:r>
      <w:r>
        <w:rPr>
          <w:szCs w:val="24"/>
        </w:rPr>
        <w:t>QL—</w:t>
      </w:r>
      <w:r>
        <w:rPr>
          <w:rFonts w:ascii="宋体" w:hAnsi="宋体"/>
          <w:szCs w:val="24"/>
        </w:rPr>
        <w:t>液体泄漏速度，</w:t>
      </w:r>
      <w:r>
        <w:rPr>
          <w:szCs w:val="24"/>
        </w:rPr>
        <w:t>kg/s</w:t>
      </w:r>
      <w:r>
        <w:rPr>
          <w:rFonts w:ascii="宋体" w:hAnsi="宋体"/>
          <w:szCs w:val="24"/>
        </w:rPr>
        <w:t>；</w:t>
      </w:r>
    </w:p>
    <w:p w:rsidR="006175A6" w:rsidRDefault="009B4BA7">
      <w:pPr>
        <w:adjustRightInd w:val="0"/>
        <w:snapToGrid w:val="0"/>
        <w:ind w:left="780" w:firstLine="480"/>
        <w:jc w:val="left"/>
        <w:rPr>
          <w:szCs w:val="24"/>
        </w:rPr>
      </w:pPr>
      <w:r>
        <w:rPr>
          <w:szCs w:val="24"/>
        </w:rPr>
        <w:t>Cd—</w:t>
      </w:r>
      <w:r>
        <w:rPr>
          <w:rFonts w:ascii="宋体" w:hAnsi="宋体"/>
          <w:szCs w:val="24"/>
        </w:rPr>
        <w:t>液体泄漏系数，此值常用</w:t>
      </w:r>
      <w:r>
        <w:rPr>
          <w:szCs w:val="24"/>
        </w:rPr>
        <w:t>0.6~0.65</w:t>
      </w:r>
      <w:r>
        <w:rPr>
          <w:rFonts w:ascii="宋体" w:hAnsi="宋体"/>
          <w:szCs w:val="24"/>
        </w:rPr>
        <w:t>；本次环评取</w:t>
      </w:r>
      <w:r>
        <w:rPr>
          <w:szCs w:val="24"/>
        </w:rPr>
        <w:t>0.65</w:t>
      </w:r>
      <w:r>
        <w:rPr>
          <w:rFonts w:ascii="宋体" w:hAnsi="宋体"/>
          <w:szCs w:val="24"/>
        </w:rPr>
        <w:t>；</w:t>
      </w:r>
    </w:p>
    <w:p w:rsidR="006175A6" w:rsidRDefault="009B4BA7">
      <w:pPr>
        <w:adjustRightInd w:val="0"/>
        <w:snapToGrid w:val="0"/>
        <w:ind w:left="780" w:firstLine="480"/>
        <w:jc w:val="left"/>
        <w:rPr>
          <w:szCs w:val="24"/>
        </w:rPr>
      </w:pPr>
      <w:r>
        <w:rPr>
          <w:szCs w:val="24"/>
        </w:rPr>
        <w:t>A—</w:t>
      </w:r>
      <w:r>
        <w:rPr>
          <w:rFonts w:ascii="宋体" w:hAnsi="宋体"/>
          <w:szCs w:val="24"/>
        </w:rPr>
        <w:t>裂口面积，</w:t>
      </w:r>
      <w:r>
        <w:rPr>
          <w:szCs w:val="24"/>
        </w:rPr>
        <w:t>m</w:t>
      </w:r>
      <w:r>
        <w:rPr>
          <w:szCs w:val="24"/>
          <w:vertAlign w:val="superscript"/>
        </w:rPr>
        <w:t>2</w:t>
      </w:r>
      <w:r>
        <w:rPr>
          <w:rFonts w:ascii="宋体" w:hAnsi="宋体"/>
          <w:szCs w:val="24"/>
        </w:rPr>
        <w:t>；取</w:t>
      </w:r>
      <w:r>
        <w:rPr>
          <w:szCs w:val="24"/>
        </w:rPr>
        <w:t>φ10mm</w:t>
      </w:r>
      <w:r>
        <w:rPr>
          <w:rFonts w:ascii="宋体" w:hAnsi="宋体"/>
          <w:szCs w:val="24"/>
        </w:rPr>
        <w:t>孔，即</w:t>
      </w:r>
      <w:r>
        <w:rPr>
          <w:szCs w:val="24"/>
        </w:rPr>
        <w:t>7.85×10</w:t>
      </w:r>
      <w:r>
        <w:rPr>
          <w:szCs w:val="24"/>
          <w:vertAlign w:val="superscript"/>
        </w:rPr>
        <w:t>-5</w:t>
      </w:r>
      <w:r>
        <w:rPr>
          <w:szCs w:val="24"/>
        </w:rPr>
        <w:t>m</w:t>
      </w:r>
      <w:r>
        <w:rPr>
          <w:szCs w:val="24"/>
          <w:vertAlign w:val="superscript"/>
        </w:rPr>
        <w:t>2</w:t>
      </w:r>
      <w:r>
        <w:rPr>
          <w:rFonts w:ascii="宋体" w:hAnsi="宋体"/>
          <w:szCs w:val="24"/>
        </w:rPr>
        <w:t>；</w:t>
      </w:r>
    </w:p>
    <w:p w:rsidR="006175A6" w:rsidRDefault="009B4BA7">
      <w:pPr>
        <w:adjustRightInd w:val="0"/>
        <w:snapToGrid w:val="0"/>
        <w:ind w:left="780" w:firstLine="480"/>
        <w:jc w:val="left"/>
        <w:rPr>
          <w:szCs w:val="24"/>
        </w:rPr>
      </w:pPr>
      <w:r>
        <w:rPr>
          <w:szCs w:val="24"/>
        </w:rPr>
        <w:lastRenderedPageBreak/>
        <w:t>P—</w:t>
      </w:r>
      <w:r>
        <w:rPr>
          <w:rFonts w:ascii="宋体" w:hAnsi="宋体"/>
          <w:szCs w:val="24"/>
        </w:rPr>
        <w:t>容器内介质压力，</w:t>
      </w:r>
      <w:r>
        <w:rPr>
          <w:szCs w:val="24"/>
        </w:rPr>
        <w:t>Pa</w:t>
      </w:r>
      <w:r>
        <w:rPr>
          <w:rFonts w:ascii="宋体" w:hAnsi="宋体"/>
          <w:szCs w:val="24"/>
        </w:rPr>
        <w:t>；取</w:t>
      </w:r>
      <w:r>
        <w:rPr>
          <w:szCs w:val="24"/>
        </w:rPr>
        <w:t>1.01×10</w:t>
      </w:r>
      <w:r>
        <w:rPr>
          <w:szCs w:val="24"/>
          <w:vertAlign w:val="superscript"/>
        </w:rPr>
        <w:t>5</w:t>
      </w:r>
      <w:r>
        <w:rPr>
          <w:szCs w:val="24"/>
        </w:rPr>
        <w:t>Pa</w:t>
      </w:r>
      <w:r>
        <w:rPr>
          <w:rFonts w:ascii="宋体" w:hAnsi="宋体"/>
          <w:szCs w:val="24"/>
        </w:rPr>
        <w:t>；</w:t>
      </w:r>
    </w:p>
    <w:p w:rsidR="006175A6" w:rsidRDefault="009B4BA7">
      <w:pPr>
        <w:adjustRightInd w:val="0"/>
        <w:snapToGrid w:val="0"/>
        <w:ind w:left="780" w:firstLine="480"/>
        <w:jc w:val="left"/>
        <w:rPr>
          <w:szCs w:val="24"/>
        </w:rPr>
      </w:pPr>
      <w:r>
        <w:rPr>
          <w:szCs w:val="24"/>
        </w:rPr>
        <w:t>P</w:t>
      </w:r>
      <w:r>
        <w:rPr>
          <w:szCs w:val="24"/>
          <w:vertAlign w:val="subscript"/>
        </w:rPr>
        <w:t>0</w:t>
      </w:r>
      <w:r>
        <w:rPr>
          <w:szCs w:val="24"/>
        </w:rPr>
        <w:t>—</w:t>
      </w:r>
      <w:r>
        <w:rPr>
          <w:rFonts w:ascii="宋体" w:hAnsi="宋体"/>
          <w:szCs w:val="24"/>
        </w:rPr>
        <w:t>环境压力，</w:t>
      </w:r>
      <w:r>
        <w:rPr>
          <w:szCs w:val="24"/>
        </w:rPr>
        <w:t>Pa</w:t>
      </w:r>
      <w:r>
        <w:rPr>
          <w:rFonts w:ascii="宋体" w:hAnsi="宋体"/>
          <w:szCs w:val="24"/>
        </w:rPr>
        <w:t>；取</w:t>
      </w:r>
      <w:r>
        <w:rPr>
          <w:szCs w:val="24"/>
        </w:rPr>
        <w:t>1.01×10</w:t>
      </w:r>
      <w:r>
        <w:rPr>
          <w:szCs w:val="24"/>
          <w:vertAlign w:val="superscript"/>
        </w:rPr>
        <w:t>5</w:t>
      </w:r>
      <w:r>
        <w:rPr>
          <w:szCs w:val="24"/>
        </w:rPr>
        <w:t>Pa</w:t>
      </w:r>
      <w:r>
        <w:rPr>
          <w:rFonts w:ascii="宋体" w:hAnsi="宋体"/>
          <w:szCs w:val="24"/>
        </w:rPr>
        <w:t>；</w:t>
      </w:r>
    </w:p>
    <w:p w:rsidR="006175A6" w:rsidRDefault="009B4BA7">
      <w:pPr>
        <w:adjustRightInd w:val="0"/>
        <w:snapToGrid w:val="0"/>
        <w:ind w:left="780" w:firstLine="480"/>
        <w:jc w:val="left"/>
        <w:rPr>
          <w:szCs w:val="24"/>
        </w:rPr>
      </w:pPr>
      <w:r>
        <w:rPr>
          <w:szCs w:val="24"/>
        </w:rPr>
        <w:t>g—</w:t>
      </w:r>
      <w:r>
        <w:rPr>
          <w:rFonts w:ascii="宋体" w:hAnsi="宋体"/>
          <w:szCs w:val="24"/>
        </w:rPr>
        <w:t>重力加速度，</w:t>
      </w:r>
      <w:r>
        <w:rPr>
          <w:szCs w:val="24"/>
        </w:rPr>
        <w:t>m/s</w:t>
      </w:r>
      <w:r>
        <w:rPr>
          <w:szCs w:val="24"/>
          <w:vertAlign w:val="superscript"/>
        </w:rPr>
        <w:t>2</w:t>
      </w:r>
      <w:r>
        <w:rPr>
          <w:rFonts w:ascii="宋体" w:hAnsi="宋体"/>
          <w:szCs w:val="24"/>
        </w:rPr>
        <w:t>；取</w:t>
      </w:r>
      <w:r>
        <w:rPr>
          <w:szCs w:val="24"/>
        </w:rPr>
        <w:t>9.8×10</w:t>
      </w:r>
      <w:r>
        <w:rPr>
          <w:szCs w:val="24"/>
          <w:vertAlign w:val="superscript"/>
        </w:rPr>
        <w:t>5</w:t>
      </w:r>
      <w:r>
        <w:rPr>
          <w:szCs w:val="24"/>
        </w:rPr>
        <w:t>Pa</w:t>
      </w:r>
      <w:r>
        <w:rPr>
          <w:rFonts w:ascii="宋体" w:hAnsi="宋体"/>
          <w:szCs w:val="24"/>
        </w:rPr>
        <w:t>；</w:t>
      </w:r>
    </w:p>
    <w:p w:rsidR="006175A6" w:rsidRDefault="009B4BA7">
      <w:pPr>
        <w:adjustRightInd w:val="0"/>
        <w:snapToGrid w:val="0"/>
        <w:ind w:left="780" w:firstLine="480"/>
        <w:jc w:val="left"/>
        <w:rPr>
          <w:szCs w:val="24"/>
        </w:rPr>
      </w:pPr>
      <w:r>
        <w:rPr>
          <w:szCs w:val="24"/>
        </w:rPr>
        <w:t>h—</w:t>
      </w:r>
      <w:r>
        <w:rPr>
          <w:rFonts w:ascii="宋体" w:hAnsi="宋体"/>
          <w:szCs w:val="24"/>
        </w:rPr>
        <w:t>裂口之上液位高度，</w:t>
      </w:r>
      <w:r>
        <w:rPr>
          <w:szCs w:val="24"/>
        </w:rPr>
        <w:t>m</w:t>
      </w:r>
      <w:r>
        <w:rPr>
          <w:rFonts w:ascii="宋体" w:hAnsi="宋体"/>
          <w:szCs w:val="24"/>
        </w:rPr>
        <w:t>；取</w:t>
      </w:r>
      <w:r>
        <w:rPr>
          <w:rFonts w:hint="eastAsia"/>
          <w:szCs w:val="24"/>
        </w:rPr>
        <w:t>3</w:t>
      </w:r>
      <w:r>
        <w:rPr>
          <w:szCs w:val="24"/>
        </w:rPr>
        <w:t>m</w:t>
      </w:r>
      <w:r>
        <w:rPr>
          <w:rFonts w:ascii="宋体" w:hAnsi="宋体"/>
          <w:szCs w:val="24"/>
        </w:rPr>
        <w:t>；</w:t>
      </w:r>
    </w:p>
    <w:p w:rsidR="006175A6" w:rsidRDefault="009B4BA7">
      <w:pPr>
        <w:adjustRightInd w:val="0"/>
        <w:snapToGrid w:val="0"/>
        <w:ind w:left="780" w:firstLine="480"/>
        <w:jc w:val="left"/>
        <w:rPr>
          <w:szCs w:val="24"/>
        </w:rPr>
      </w:pPr>
      <w:r>
        <w:rPr>
          <w:szCs w:val="24"/>
        </w:rPr>
        <w:t>ρ—</w:t>
      </w:r>
      <w:r>
        <w:rPr>
          <w:rFonts w:ascii="宋体" w:hAnsi="宋体"/>
          <w:szCs w:val="24"/>
        </w:rPr>
        <w:t>密度，</w:t>
      </w:r>
      <w:r>
        <w:rPr>
          <w:szCs w:val="24"/>
        </w:rPr>
        <w:t>kg/m</w:t>
      </w:r>
      <w:r>
        <w:rPr>
          <w:szCs w:val="24"/>
          <w:vertAlign w:val="superscript"/>
        </w:rPr>
        <w:t>3</w:t>
      </w:r>
    </w:p>
    <w:p w:rsidR="006175A6" w:rsidRDefault="009B4BA7">
      <w:pPr>
        <w:ind w:firstLine="480"/>
        <w:rPr>
          <w:rFonts w:ascii="宋体" w:hAnsi="宋体"/>
          <w:szCs w:val="24"/>
        </w:rPr>
      </w:pPr>
      <w:r>
        <w:rPr>
          <w:rFonts w:ascii="宋体" w:hAnsi="宋体"/>
          <w:szCs w:val="24"/>
        </w:rPr>
        <w:t>本评价假定物料发生泄漏后，操作人员在</w:t>
      </w:r>
      <w:r>
        <w:rPr>
          <w:szCs w:val="24"/>
        </w:rPr>
        <w:t>10min</w:t>
      </w:r>
      <w:r>
        <w:rPr>
          <w:rFonts w:ascii="宋体" w:hAnsi="宋体"/>
          <w:szCs w:val="24"/>
        </w:rPr>
        <w:t>内使贮罐泄漏得以制止，破损孔径以</w:t>
      </w:r>
      <w:r>
        <w:rPr>
          <w:szCs w:val="24"/>
        </w:rPr>
        <w:t>10mm</w:t>
      </w:r>
      <w:r>
        <w:rPr>
          <w:rFonts w:ascii="宋体" w:hAnsi="宋体"/>
          <w:szCs w:val="24"/>
        </w:rPr>
        <w:t>计，则裂口面积为</w:t>
      </w:r>
      <w:r>
        <w:rPr>
          <w:szCs w:val="24"/>
        </w:rPr>
        <w:t>7.85×10</w:t>
      </w:r>
      <w:r>
        <w:rPr>
          <w:szCs w:val="24"/>
          <w:vertAlign w:val="superscript"/>
        </w:rPr>
        <w:t>-5</w:t>
      </w:r>
      <w:r>
        <w:rPr>
          <w:szCs w:val="24"/>
        </w:rPr>
        <w:t>m</w:t>
      </w:r>
      <w:r>
        <w:rPr>
          <w:szCs w:val="24"/>
          <w:vertAlign w:val="superscript"/>
        </w:rPr>
        <w:t>2</w:t>
      </w:r>
      <w:r>
        <w:rPr>
          <w:rFonts w:ascii="宋体" w:hAnsi="宋体"/>
          <w:szCs w:val="24"/>
        </w:rPr>
        <w:t>。项目物质泄露速度计算表如</w:t>
      </w:r>
      <w:r>
        <w:rPr>
          <w:rFonts w:ascii="宋体" w:hAnsi="宋体" w:hint="eastAsia"/>
          <w:szCs w:val="24"/>
        </w:rPr>
        <w:t>下表：</w:t>
      </w:r>
    </w:p>
    <w:p w:rsidR="006175A6" w:rsidRDefault="009B4BA7">
      <w:pPr>
        <w:pStyle w:val="a3"/>
        <w:rPr>
          <w:szCs w:val="21"/>
        </w:rPr>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物质泄漏速率计算表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139"/>
        <w:gridCol w:w="1138"/>
        <w:gridCol w:w="1003"/>
        <w:gridCol w:w="800"/>
        <w:gridCol w:w="987"/>
        <w:gridCol w:w="1487"/>
        <w:gridCol w:w="1150"/>
      </w:tblGrid>
      <w:tr w:rsidR="006175A6">
        <w:trPr>
          <w:trHeight w:val="340"/>
          <w:jc w:val="center"/>
        </w:trPr>
        <w:tc>
          <w:tcPr>
            <w:tcW w:w="513" w:type="pct"/>
            <w:vAlign w:val="center"/>
          </w:tcPr>
          <w:p w:rsidR="006175A6" w:rsidRDefault="009B4BA7">
            <w:pPr>
              <w:pStyle w:val="af1"/>
              <w:spacing w:after="0"/>
            </w:pPr>
            <w:r>
              <w:t>名称</w:t>
            </w:r>
          </w:p>
        </w:tc>
        <w:tc>
          <w:tcPr>
            <w:tcW w:w="701" w:type="pct"/>
            <w:vAlign w:val="center"/>
          </w:tcPr>
          <w:p w:rsidR="006175A6" w:rsidRDefault="009B4BA7">
            <w:pPr>
              <w:pStyle w:val="af1"/>
              <w:spacing w:after="0"/>
            </w:pPr>
            <w:r>
              <w:t>A</w:t>
            </w:r>
            <w:r w:rsidR="00E97427">
              <w:t>（</w:t>
            </w:r>
            <w:r>
              <w:t>m</w:t>
            </w:r>
            <w:r>
              <w:rPr>
                <w:vertAlign w:val="superscript"/>
              </w:rPr>
              <w:t>2</w:t>
            </w:r>
            <w:r w:rsidR="00E97427">
              <w:t>）</w:t>
            </w:r>
          </w:p>
        </w:tc>
        <w:tc>
          <w:tcPr>
            <w:tcW w:w="631" w:type="pct"/>
            <w:vAlign w:val="center"/>
          </w:tcPr>
          <w:p w:rsidR="006175A6" w:rsidRDefault="009B4BA7">
            <w:pPr>
              <w:pStyle w:val="af1"/>
              <w:spacing w:after="0"/>
            </w:pPr>
            <w:r>
              <w:t>ρ</w:t>
            </w:r>
            <w:r w:rsidR="00E97427">
              <w:t>（</w:t>
            </w:r>
            <w:r>
              <w:t>kg/m</w:t>
            </w:r>
            <w:r>
              <w:rPr>
                <w:vertAlign w:val="superscript"/>
              </w:rPr>
              <w:t>3</w:t>
            </w:r>
            <w:r w:rsidR="00E97427">
              <w:t>）</w:t>
            </w:r>
          </w:p>
        </w:tc>
        <w:tc>
          <w:tcPr>
            <w:tcW w:w="523" w:type="pct"/>
            <w:vAlign w:val="center"/>
          </w:tcPr>
          <w:p w:rsidR="006175A6" w:rsidRDefault="009B4BA7">
            <w:pPr>
              <w:pStyle w:val="af1"/>
              <w:spacing w:after="0"/>
            </w:pPr>
            <w:r>
              <w:t>g</w:t>
            </w:r>
            <w:r w:rsidR="00E97427">
              <w:t>（</w:t>
            </w:r>
            <w:r>
              <w:t>m/s²</w:t>
            </w:r>
            <w:r w:rsidR="00E97427">
              <w:t>）</w:t>
            </w:r>
          </w:p>
        </w:tc>
        <w:tc>
          <w:tcPr>
            <w:tcW w:w="407" w:type="pct"/>
            <w:vAlign w:val="center"/>
          </w:tcPr>
          <w:p w:rsidR="006175A6" w:rsidRDefault="009B4BA7">
            <w:pPr>
              <w:pStyle w:val="af1"/>
              <w:spacing w:after="0"/>
            </w:pPr>
            <w:r>
              <w:t>h</w:t>
            </w:r>
            <w:r w:rsidR="00E97427">
              <w:t>（</w:t>
            </w:r>
            <w:r>
              <w:t>m</w:t>
            </w:r>
            <w:r w:rsidR="00E97427">
              <w:t>）</w:t>
            </w:r>
          </w:p>
        </w:tc>
        <w:tc>
          <w:tcPr>
            <w:tcW w:w="582" w:type="pct"/>
            <w:vAlign w:val="center"/>
          </w:tcPr>
          <w:p w:rsidR="006175A6" w:rsidRDefault="009B4BA7">
            <w:pPr>
              <w:pStyle w:val="af1"/>
              <w:spacing w:after="0"/>
            </w:pPr>
            <w:r>
              <w:t>QL</w:t>
            </w:r>
            <w:r w:rsidR="00E97427">
              <w:t>（</w:t>
            </w:r>
            <w:r>
              <w:t>kg/s</w:t>
            </w:r>
            <w:r w:rsidR="00E97427">
              <w:t>）</w:t>
            </w:r>
          </w:p>
        </w:tc>
        <w:tc>
          <w:tcPr>
            <w:tcW w:w="935" w:type="pct"/>
            <w:vAlign w:val="center"/>
          </w:tcPr>
          <w:p w:rsidR="006175A6" w:rsidRDefault="009B4BA7">
            <w:pPr>
              <w:pStyle w:val="af1"/>
              <w:spacing w:after="0"/>
            </w:pPr>
            <w:r>
              <w:t>持续时间</w:t>
            </w:r>
            <w:r w:rsidR="00E97427">
              <w:t>（</w:t>
            </w:r>
            <w:r>
              <w:t>min</w:t>
            </w:r>
            <w:r w:rsidR="00E97427">
              <w:t>）</w:t>
            </w:r>
          </w:p>
        </w:tc>
        <w:tc>
          <w:tcPr>
            <w:tcW w:w="707" w:type="pct"/>
            <w:vAlign w:val="center"/>
          </w:tcPr>
          <w:p w:rsidR="006175A6" w:rsidRDefault="009B4BA7">
            <w:pPr>
              <w:pStyle w:val="af1"/>
              <w:spacing w:after="0"/>
            </w:pPr>
            <w:r>
              <w:t>泄漏量</w:t>
            </w:r>
            <w:r w:rsidR="00E97427">
              <w:t>（</w:t>
            </w:r>
            <w:r>
              <w:t>kg</w:t>
            </w:r>
            <w:r w:rsidR="00E97427">
              <w:t>）</w:t>
            </w:r>
          </w:p>
        </w:tc>
      </w:tr>
      <w:tr w:rsidR="006175A6">
        <w:trPr>
          <w:trHeight w:val="340"/>
          <w:jc w:val="center"/>
        </w:trPr>
        <w:tc>
          <w:tcPr>
            <w:tcW w:w="513" w:type="pct"/>
            <w:vAlign w:val="center"/>
          </w:tcPr>
          <w:p w:rsidR="006175A6" w:rsidRDefault="009B4BA7">
            <w:pPr>
              <w:pStyle w:val="af1"/>
              <w:spacing w:after="0"/>
            </w:pPr>
            <w:r>
              <w:rPr>
                <w:rFonts w:hint="eastAsia"/>
              </w:rPr>
              <w:t>汽油</w:t>
            </w:r>
          </w:p>
        </w:tc>
        <w:tc>
          <w:tcPr>
            <w:tcW w:w="701" w:type="pct"/>
            <w:vAlign w:val="center"/>
          </w:tcPr>
          <w:p w:rsidR="006175A6" w:rsidRDefault="009B4BA7">
            <w:pPr>
              <w:pStyle w:val="af1"/>
              <w:spacing w:after="0"/>
            </w:pPr>
            <w:r>
              <w:t>7.85×10</w:t>
            </w:r>
            <w:r>
              <w:rPr>
                <w:vertAlign w:val="superscript"/>
              </w:rPr>
              <w:t>-5</w:t>
            </w:r>
          </w:p>
        </w:tc>
        <w:tc>
          <w:tcPr>
            <w:tcW w:w="631" w:type="pct"/>
            <w:vAlign w:val="center"/>
          </w:tcPr>
          <w:p w:rsidR="006175A6" w:rsidRDefault="009B4BA7">
            <w:pPr>
              <w:pStyle w:val="af1"/>
              <w:spacing w:after="0"/>
            </w:pPr>
            <w:r>
              <w:rPr>
                <w:rFonts w:hint="eastAsia"/>
              </w:rPr>
              <w:t>780</w:t>
            </w:r>
          </w:p>
        </w:tc>
        <w:tc>
          <w:tcPr>
            <w:tcW w:w="523" w:type="pct"/>
            <w:vAlign w:val="center"/>
          </w:tcPr>
          <w:p w:rsidR="006175A6" w:rsidRDefault="009B4BA7">
            <w:pPr>
              <w:pStyle w:val="af1"/>
              <w:spacing w:after="0"/>
            </w:pPr>
            <w:r>
              <w:t>9.8</w:t>
            </w:r>
          </w:p>
        </w:tc>
        <w:tc>
          <w:tcPr>
            <w:tcW w:w="407" w:type="pct"/>
            <w:vAlign w:val="center"/>
          </w:tcPr>
          <w:p w:rsidR="006175A6" w:rsidRDefault="009B4BA7">
            <w:pPr>
              <w:pStyle w:val="af1"/>
              <w:spacing w:after="0"/>
            </w:pPr>
            <w:r>
              <w:rPr>
                <w:rFonts w:hint="eastAsia"/>
              </w:rPr>
              <w:t>3</w:t>
            </w:r>
          </w:p>
        </w:tc>
        <w:tc>
          <w:tcPr>
            <w:tcW w:w="582" w:type="pct"/>
            <w:vAlign w:val="center"/>
          </w:tcPr>
          <w:p w:rsidR="006175A6" w:rsidRDefault="009B4BA7">
            <w:pPr>
              <w:pStyle w:val="af1"/>
              <w:spacing w:after="0"/>
            </w:pPr>
            <w:r>
              <w:rPr>
                <w:rFonts w:hint="eastAsia"/>
              </w:rPr>
              <w:t>0.291</w:t>
            </w:r>
          </w:p>
        </w:tc>
        <w:tc>
          <w:tcPr>
            <w:tcW w:w="935" w:type="pct"/>
            <w:vAlign w:val="center"/>
          </w:tcPr>
          <w:p w:rsidR="006175A6" w:rsidRDefault="009B4BA7">
            <w:pPr>
              <w:pStyle w:val="af1"/>
              <w:spacing w:after="0"/>
            </w:pPr>
            <w:r>
              <w:rPr>
                <w:rFonts w:hint="eastAsia"/>
              </w:rPr>
              <w:t>10</w:t>
            </w:r>
          </w:p>
        </w:tc>
        <w:tc>
          <w:tcPr>
            <w:tcW w:w="707" w:type="pct"/>
            <w:vAlign w:val="center"/>
          </w:tcPr>
          <w:p w:rsidR="006175A6" w:rsidRDefault="009B4BA7">
            <w:pPr>
              <w:pStyle w:val="af1"/>
              <w:spacing w:after="0"/>
            </w:pPr>
            <w:r>
              <w:rPr>
                <w:rFonts w:hint="eastAsia"/>
              </w:rPr>
              <w:t>174.6</w:t>
            </w:r>
          </w:p>
        </w:tc>
      </w:tr>
      <w:tr w:rsidR="006175A6">
        <w:trPr>
          <w:trHeight w:val="340"/>
          <w:jc w:val="center"/>
        </w:trPr>
        <w:tc>
          <w:tcPr>
            <w:tcW w:w="513" w:type="pct"/>
            <w:vAlign w:val="center"/>
          </w:tcPr>
          <w:p w:rsidR="006175A6" w:rsidRDefault="009B4BA7">
            <w:pPr>
              <w:pStyle w:val="af1"/>
              <w:spacing w:after="0"/>
            </w:pPr>
            <w:r>
              <w:rPr>
                <w:rFonts w:hint="eastAsia"/>
              </w:rPr>
              <w:t>柴油</w:t>
            </w:r>
          </w:p>
        </w:tc>
        <w:tc>
          <w:tcPr>
            <w:tcW w:w="701" w:type="pct"/>
            <w:vAlign w:val="center"/>
          </w:tcPr>
          <w:p w:rsidR="006175A6" w:rsidRDefault="009B4BA7">
            <w:pPr>
              <w:pStyle w:val="af1"/>
              <w:spacing w:after="0"/>
            </w:pPr>
            <w:r>
              <w:t>7.85×10</w:t>
            </w:r>
            <w:r>
              <w:rPr>
                <w:vertAlign w:val="superscript"/>
              </w:rPr>
              <w:t>-5</w:t>
            </w:r>
          </w:p>
        </w:tc>
        <w:tc>
          <w:tcPr>
            <w:tcW w:w="631" w:type="pct"/>
            <w:vAlign w:val="center"/>
          </w:tcPr>
          <w:p w:rsidR="006175A6" w:rsidRDefault="009B4BA7">
            <w:pPr>
              <w:pStyle w:val="af1"/>
              <w:spacing w:after="0"/>
            </w:pPr>
            <w:r>
              <w:rPr>
                <w:rFonts w:hint="eastAsia"/>
              </w:rPr>
              <w:t>840</w:t>
            </w:r>
          </w:p>
        </w:tc>
        <w:tc>
          <w:tcPr>
            <w:tcW w:w="523" w:type="pct"/>
            <w:vAlign w:val="center"/>
          </w:tcPr>
          <w:p w:rsidR="006175A6" w:rsidRDefault="009B4BA7">
            <w:pPr>
              <w:pStyle w:val="af1"/>
              <w:spacing w:after="0"/>
            </w:pPr>
            <w:r>
              <w:t>9.8</w:t>
            </w:r>
          </w:p>
        </w:tc>
        <w:tc>
          <w:tcPr>
            <w:tcW w:w="407" w:type="pct"/>
            <w:vAlign w:val="center"/>
          </w:tcPr>
          <w:p w:rsidR="006175A6" w:rsidRDefault="009B4BA7">
            <w:pPr>
              <w:pStyle w:val="af1"/>
              <w:spacing w:after="0"/>
            </w:pPr>
            <w:r>
              <w:rPr>
                <w:rFonts w:hint="eastAsia"/>
              </w:rPr>
              <w:t>3</w:t>
            </w:r>
          </w:p>
        </w:tc>
        <w:tc>
          <w:tcPr>
            <w:tcW w:w="582" w:type="pct"/>
            <w:vAlign w:val="center"/>
          </w:tcPr>
          <w:p w:rsidR="006175A6" w:rsidRDefault="009B4BA7">
            <w:pPr>
              <w:pStyle w:val="af1"/>
              <w:spacing w:after="0"/>
            </w:pPr>
            <w:r>
              <w:rPr>
                <w:rFonts w:hint="eastAsia"/>
              </w:rPr>
              <w:t>0.313</w:t>
            </w:r>
          </w:p>
        </w:tc>
        <w:tc>
          <w:tcPr>
            <w:tcW w:w="935" w:type="pct"/>
            <w:vAlign w:val="center"/>
          </w:tcPr>
          <w:p w:rsidR="006175A6" w:rsidRDefault="009B4BA7">
            <w:pPr>
              <w:pStyle w:val="af1"/>
              <w:spacing w:after="0"/>
            </w:pPr>
            <w:r>
              <w:t>10</w:t>
            </w:r>
          </w:p>
        </w:tc>
        <w:tc>
          <w:tcPr>
            <w:tcW w:w="707" w:type="pct"/>
            <w:vAlign w:val="center"/>
          </w:tcPr>
          <w:p w:rsidR="006175A6" w:rsidRDefault="009B4BA7">
            <w:pPr>
              <w:pStyle w:val="af1"/>
              <w:spacing w:after="0"/>
            </w:pPr>
            <w:r>
              <w:rPr>
                <w:rFonts w:hint="eastAsia"/>
              </w:rPr>
              <w:t>187.8</w:t>
            </w:r>
          </w:p>
        </w:tc>
      </w:tr>
    </w:tbl>
    <w:p w:rsidR="006175A6" w:rsidRDefault="009B4BA7">
      <w:pPr>
        <w:ind w:firstLine="480"/>
      </w:pPr>
      <w:r>
        <w:rPr>
          <w:rFonts w:hint="eastAsia"/>
        </w:rPr>
        <w:t>（</w:t>
      </w:r>
      <w:r>
        <w:rPr>
          <w:rFonts w:hint="eastAsia"/>
        </w:rPr>
        <w:t>3</w:t>
      </w:r>
      <w:r>
        <w:rPr>
          <w:rFonts w:hint="eastAsia"/>
        </w:rPr>
        <w:t>）次生环境风险分析</w:t>
      </w:r>
    </w:p>
    <w:p w:rsidR="006175A6" w:rsidRDefault="009B4BA7">
      <w:pPr>
        <w:ind w:firstLine="480"/>
      </w:pPr>
      <w:r>
        <w:rPr>
          <w:rFonts w:hint="eastAsia"/>
        </w:rPr>
        <w:t>本项目柴油发生火灾时会有伴生或次生事故的产生，主要为其不完全燃烧后，会产生二氧化硫、</w:t>
      </w:r>
      <w:r>
        <w:rPr>
          <w:rFonts w:hint="eastAsia"/>
        </w:rPr>
        <w:t>CO</w:t>
      </w:r>
      <w:r>
        <w:rPr>
          <w:rFonts w:hint="eastAsia"/>
        </w:rPr>
        <w:t>等污染物，对周围环境产生影响。本项目柴油、汽油达到国</w:t>
      </w:r>
      <w:r>
        <w:rPr>
          <w:rFonts w:hint="eastAsia"/>
        </w:rPr>
        <w:t>V</w:t>
      </w:r>
      <w:r>
        <w:rPr>
          <w:rFonts w:hint="eastAsia"/>
        </w:rPr>
        <w:t>标准，含硫量较低，因此本评价主要对不完全燃烧过程中伴生的</w:t>
      </w:r>
      <w:r>
        <w:rPr>
          <w:rFonts w:hint="eastAsia"/>
        </w:rPr>
        <w:t xml:space="preserve"> CO </w:t>
      </w:r>
      <w:r>
        <w:rPr>
          <w:rFonts w:hint="eastAsia"/>
        </w:rPr>
        <w:t>气体污染物进行风险预测。</w:t>
      </w:r>
    </w:p>
    <w:p w:rsidR="006175A6" w:rsidRDefault="009B4BA7">
      <w:pPr>
        <w:ind w:firstLine="480"/>
      </w:pPr>
      <w:r>
        <w:rPr>
          <w:rFonts w:hint="eastAsia"/>
        </w:rPr>
        <w:t>油品火灾伴生</w:t>
      </w:r>
      <w:r>
        <w:rPr>
          <w:rFonts w:hint="eastAsia"/>
        </w:rPr>
        <w:t>/</w:t>
      </w:r>
      <w:r>
        <w:rPr>
          <w:rFonts w:hint="eastAsia"/>
        </w:rPr>
        <w:t>次生一氧化碳产生量按下公式计算：</w:t>
      </w:r>
    </w:p>
    <w:p w:rsidR="006175A6" w:rsidRDefault="009B4BA7">
      <w:pPr>
        <w:ind w:firstLine="480"/>
        <w:jc w:val="center"/>
      </w:pPr>
      <w:r>
        <w:rPr>
          <w:rFonts w:hint="eastAsia"/>
        </w:rPr>
        <w:t>G</w:t>
      </w:r>
      <w:r>
        <w:rPr>
          <w:rFonts w:hint="eastAsia"/>
          <w:vertAlign w:val="subscript"/>
        </w:rPr>
        <w:t>一氧化碳</w:t>
      </w:r>
      <w:r>
        <w:rPr>
          <w:rFonts w:hint="eastAsia"/>
        </w:rPr>
        <w:t>=2330qCQ</w:t>
      </w:r>
    </w:p>
    <w:p w:rsidR="006175A6" w:rsidRDefault="009B4BA7">
      <w:pPr>
        <w:ind w:firstLine="480"/>
      </w:pPr>
      <w:r>
        <w:rPr>
          <w:rFonts w:hint="eastAsia"/>
        </w:rPr>
        <w:t>式中：</w:t>
      </w:r>
    </w:p>
    <w:p w:rsidR="006175A6" w:rsidRDefault="009B4BA7">
      <w:pPr>
        <w:ind w:firstLine="480"/>
      </w:pPr>
      <w:r>
        <w:rPr>
          <w:rFonts w:hint="eastAsia"/>
        </w:rPr>
        <w:t>G</w:t>
      </w:r>
      <w:r>
        <w:rPr>
          <w:rFonts w:hint="eastAsia"/>
          <w:vertAlign w:val="subscript"/>
        </w:rPr>
        <w:t>一氧化碳</w:t>
      </w:r>
      <w:r>
        <w:rPr>
          <w:rFonts w:hint="eastAsia"/>
        </w:rPr>
        <w:t>—一氧化碳产生量，</w:t>
      </w:r>
      <w:r>
        <w:rPr>
          <w:rFonts w:hint="eastAsia"/>
        </w:rPr>
        <w:t>kg/s</w:t>
      </w:r>
      <w:r>
        <w:rPr>
          <w:rFonts w:hint="eastAsia"/>
        </w:rPr>
        <w:t>；</w:t>
      </w:r>
    </w:p>
    <w:p w:rsidR="006175A6" w:rsidRDefault="009B4BA7">
      <w:pPr>
        <w:ind w:firstLine="480"/>
      </w:pPr>
      <w:r>
        <w:rPr>
          <w:rFonts w:hint="eastAsia"/>
        </w:rPr>
        <w:t>C</w:t>
      </w:r>
      <w:r>
        <w:rPr>
          <w:rFonts w:hint="eastAsia"/>
        </w:rPr>
        <w:t>—物质中碳的含量，取</w:t>
      </w:r>
      <w:r>
        <w:rPr>
          <w:rFonts w:hint="eastAsia"/>
        </w:rPr>
        <w:t>85%</w:t>
      </w:r>
      <w:r>
        <w:rPr>
          <w:rFonts w:hint="eastAsia"/>
        </w:rPr>
        <w:t>；</w:t>
      </w:r>
    </w:p>
    <w:p w:rsidR="006175A6" w:rsidRDefault="009B4BA7">
      <w:pPr>
        <w:ind w:firstLine="480"/>
      </w:pPr>
      <w:r>
        <w:rPr>
          <w:rFonts w:hint="eastAsia"/>
        </w:rPr>
        <w:t>q</w:t>
      </w:r>
      <w:r>
        <w:rPr>
          <w:rFonts w:hint="eastAsia"/>
        </w:rPr>
        <w:t>—化学不完全燃烧值，取</w:t>
      </w:r>
      <w:r>
        <w:rPr>
          <w:rFonts w:hint="eastAsia"/>
        </w:rPr>
        <w:t xml:space="preserve"> 1.5%-6.0%</w:t>
      </w:r>
      <w:r>
        <w:rPr>
          <w:rFonts w:hint="eastAsia"/>
        </w:rPr>
        <w:t>，本次取</w:t>
      </w:r>
      <w:r>
        <w:rPr>
          <w:rFonts w:hint="eastAsia"/>
        </w:rPr>
        <w:t xml:space="preserve"> 3.0%</w:t>
      </w:r>
      <w:r>
        <w:rPr>
          <w:rFonts w:hint="eastAsia"/>
        </w:rPr>
        <w:t>；</w:t>
      </w:r>
    </w:p>
    <w:p w:rsidR="006175A6" w:rsidRDefault="009B4BA7">
      <w:pPr>
        <w:ind w:firstLine="480"/>
      </w:pPr>
      <w:r>
        <w:rPr>
          <w:rFonts w:hint="eastAsia"/>
        </w:rPr>
        <w:t>Q</w:t>
      </w:r>
      <w:r>
        <w:rPr>
          <w:rFonts w:hint="eastAsia"/>
        </w:rPr>
        <w:t>—参与燃烧的物质量，</w:t>
      </w:r>
      <w:r>
        <w:rPr>
          <w:rFonts w:hint="eastAsia"/>
        </w:rPr>
        <w:t>t/s</w:t>
      </w:r>
      <w:r>
        <w:rPr>
          <w:rFonts w:hint="eastAsia"/>
        </w:rPr>
        <w:t>。</w:t>
      </w:r>
    </w:p>
    <w:p w:rsidR="006175A6" w:rsidRDefault="009B4BA7">
      <w:pPr>
        <w:ind w:firstLine="480"/>
      </w:pPr>
      <w:r>
        <w:rPr>
          <w:rFonts w:hint="eastAsia"/>
        </w:rPr>
        <w:t>由此可以估算泄露柴油、汽油全部发生燃烧，假设燃烧时间均为</w:t>
      </w:r>
      <w:r>
        <w:rPr>
          <w:rFonts w:hint="eastAsia"/>
        </w:rPr>
        <w:t>10min</w:t>
      </w:r>
      <w:r>
        <w:rPr>
          <w:rFonts w:hint="eastAsia"/>
        </w:rPr>
        <w:t>，设燃烧量约为泄漏量计，其不完全燃烧过程中伴生的</w:t>
      </w:r>
      <w:r>
        <w:rPr>
          <w:rFonts w:hint="eastAsia"/>
        </w:rPr>
        <w:t>CO</w:t>
      </w:r>
      <w:r>
        <w:rPr>
          <w:rFonts w:hint="eastAsia"/>
        </w:rPr>
        <w:t>污染物排放源强，经过计算得项目燃油泄露引发火灾后，</w:t>
      </w:r>
      <w:r>
        <w:rPr>
          <w:rFonts w:hint="eastAsia"/>
        </w:rPr>
        <w:t>CO</w:t>
      </w:r>
      <w:r>
        <w:rPr>
          <w:rFonts w:hint="eastAsia"/>
        </w:rPr>
        <w:t>扩散源强一览表见下表：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7.5</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项目</w:t>
      </w:r>
      <w:r>
        <w:rPr>
          <w:rFonts w:hint="eastAsia"/>
        </w:rPr>
        <w:t xml:space="preserve"> CO </w:t>
      </w:r>
      <w:r>
        <w:rPr>
          <w:rFonts w:hint="eastAsia"/>
        </w:rPr>
        <w:t>扩散源强一览表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290"/>
        <w:gridCol w:w="1049"/>
        <w:gridCol w:w="1202"/>
        <w:gridCol w:w="1148"/>
        <w:gridCol w:w="1963"/>
      </w:tblGrid>
      <w:tr w:rsidR="006175A6">
        <w:trPr>
          <w:trHeight w:val="340"/>
        </w:trPr>
        <w:tc>
          <w:tcPr>
            <w:tcW w:w="399" w:type="pct"/>
            <w:vAlign w:val="center"/>
          </w:tcPr>
          <w:p w:rsidR="006175A6" w:rsidRDefault="009B4BA7">
            <w:pPr>
              <w:pStyle w:val="TableParagraph"/>
              <w:rPr>
                <w:rFonts w:cs="Times New Roman"/>
                <w:sz w:val="21"/>
                <w:szCs w:val="21"/>
              </w:rPr>
            </w:pPr>
            <w:r>
              <w:rPr>
                <w:rFonts w:cs="Times New Roman" w:hint="eastAsia"/>
                <w:sz w:val="21"/>
                <w:szCs w:val="21"/>
              </w:rPr>
              <w:t>序号</w:t>
            </w:r>
          </w:p>
        </w:tc>
        <w:tc>
          <w:tcPr>
            <w:tcW w:w="1377" w:type="pct"/>
            <w:vAlign w:val="center"/>
          </w:tcPr>
          <w:p w:rsidR="006175A6" w:rsidRDefault="009B4BA7">
            <w:pPr>
              <w:pStyle w:val="TableParagraph"/>
              <w:rPr>
                <w:rFonts w:cs="Times New Roman"/>
                <w:sz w:val="21"/>
                <w:szCs w:val="21"/>
              </w:rPr>
            </w:pPr>
            <w:r>
              <w:rPr>
                <w:rFonts w:cs="Times New Roman" w:hint="eastAsia"/>
                <w:sz w:val="21"/>
                <w:szCs w:val="21"/>
              </w:rPr>
              <w:t>风险事故情形描述</w:t>
            </w:r>
          </w:p>
        </w:tc>
        <w:tc>
          <w:tcPr>
            <w:tcW w:w="631" w:type="pct"/>
            <w:vAlign w:val="center"/>
          </w:tcPr>
          <w:p w:rsidR="006175A6" w:rsidRDefault="009B4BA7">
            <w:pPr>
              <w:pStyle w:val="TableParagraph"/>
              <w:rPr>
                <w:rFonts w:cs="Times New Roman"/>
                <w:sz w:val="21"/>
                <w:szCs w:val="21"/>
              </w:rPr>
            </w:pPr>
            <w:r>
              <w:rPr>
                <w:rFonts w:cs="Times New Roman" w:hint="eastAsia"/>
                <w:sz w:val="21"/>
                <w:szCs w:val="21"/>
              </w:rPr>
              <w:t>危险单元</w:t>
            </w:r>
          </w:p>
        </w:tc>
        <w:tc>
          <w:tcPr>
            <w:tcW w:w="723" w:type="pct"/>
            <w:vAlign w:val="center"/>
          </w:tcPr>
          <w:p w:rsidR="006175A6" w:rsidRDefault="009B4BA7">
            <w:pPr>
              <w:pStyle w:val="TableParagraph"/>
              <w:rPr>
                <w:rFonts w:cs="Times New Roman"/>
                <w:sz w:val="21"/>
                <w:szCs w:val="21"/>
              </w:rPr>
            </w:pPr>
            <w:r>
              <w:rPr>
                <w:rFonts w:cs="Times New Roman" w:hint="eastAsia"/>
                <w:sz w:val="21"/>
                <w:szCs w:val="21"/>
              </w:rPr>
              <w:t>危险物质</w:t>
            </w:r>
          </w:p>
        </w:tc>
        <w:tc>
          <w:tcPr>
            <w:tcW w:w="690" w:type="pct"/>
            <w:vAlign w:val="center"/>
          </w:tcPr>
          <w:p w:rsidR="006175A6" w:rsidRDefault="009B4BA7">
            <w:pPr>
              <w:pStyle w:val="TableParagraph"/>
              <w:rPr>
                <w:rFonts w:cs="Times New Roman"/>
                <w:sz w:val="21"/>
                <w:szCs w:val="21"/>
              </w:rPr>
            </w:pPr>
            <w:r>
              <w:rPr>
                <w:rFonts w:cs="Times New Roman" w:hint="eastAsia"/>
                <w:sz w:val="21"/>
                <w:szCs w:val="21"/>
              </w:rPr>
              <w:t>影响途径</w:t>
            </w:r>
          </w:p>
        </w:tc>
        <w:tc>
          <w:tcPr>
            <w:tcW w:w="1181" w:type="pct"/>
            <w:vAlign w:val="center"/>
          </w:tcPr>
          <w:p w:rsidR="006175A6" w:rsidRDefault="009B4BA7">
            <w:pPr>
              <w:pStyle w:val="TableParagraph"/>
              <w:rPr>
                <w:rFonts w:ascii="Times New Roman"/>
                <w:sz w:val="21"/>
                <w:szCs w:val="21"/>
              </w:rPr>
            </w:pPr>
            <w:r>
              <w:rPr>
                <w:rFonts w:cs="Times New Roman" w:hint="eastAsia"/>
                <w:sz w:val="21"/>
                <w:szCs w:val="21"/>
              </w:rPr>
              <w:t>一氧化碳产生量</w:t>
            </w:r>
            <w:r>
              <w:rPr>
                <w:rFonts w:ascii="Times New Roman"/>
                <w:sz w:val="21"/>
                <w:szCs w:val="21"/>
              </w:rPr>
              <w:t>kg/s</w:t>
            </w:r>
          </w:p>
        </w:tc>
      </w:tr>
      <w:tr w:rsidR="006175A6">
        <w:trPr>
          <w:trHeight w:val="340"/>
        </w:trPr>
        <w:tc>
          <w:tcPr>
            <w:tcW w:w="399" w:type="pct"/>
            <w:vAlign w:val="center"/>
          </w:tcPr>
          <w:p w:rsidR="006175A6" w:rsidRDefault="009B4BA7">
            <w:pPr>
              <w:pStyle w:val="TableParagraph"/>
              <w:rPr>
                <w:rFonts w:ascii="Times New Roman"/>
                <w:sz w:val="21"/>
                <w:szCs w:val="21"/>
              </w:rPr>
            </w:pPr>
            <w:r>
              <w:rPr>
                <w:rFonts w:ascii="Times New Roman"/>
                <w:sz w:val="21"/>
                <w:szCs w:val="21"/>
              </w:rPr>
              <w:t>1</w:t>
            </w:r>
          </w:p>
        </w:tc>
        <w:tc>
          <w:tcPr>
            <w:tcW w:w="1377" w:type="pct"/>
            <w:vAlign w:val="center"/>
          </w:tcPr>
          <w:p w:rsidR="006175A6" w:rsidRDefault="009B4BA7">
            <w:pPr>
              <w:pStyle w:val="TableParagraph"/>
              <w:rPr>
                <w:rFonts w:cs="Times New Roman"/>
                <w:sz w:val="21"/>
                <w:szCs w:val="21"/>
                <w:lang w:eastAsia="zh-CN"/>
              </w:rPr>
            </w:pPr>
            <w:r>
              <w:rPr>
                <w:rFonts w:cs="Times New Roman" w:hint="eastAsia"/>
                <w:sz w:val="21"/>
                <w:szCs w:val="21"/>
                <w:lang w:eastAsia="zh-CN"/>
              </w:rPr>
              <w:t>汽油泄露引发火灾</w:t>
            </w:r>
          </w:p>
        </w:tc>
        <w:tc>
          <w:tcPr>
            <w:tcW w:w="631" w:type="pct"/>
            <w:vAlign w:val="center"/>
          </w:tcPr>
          <w:p w:rsidR="006175A6" w:rsidRDefault="009B4BA7">
            <w:pPr>
              <w:pStyle w:val="TableParagraph"/>
              <w:rPr>
                <w:rFonts w:cs="Times New Roman"/>
                <w:sz w:val="21"/>
                <w:szCs w:val="21"/>
              </w:rPr>
            </w:pPr>
            <w:r>
              <w:rPr>
                <w:rFonts w:cs="Times New Roman" w:hint="eastAsia"/>
                <w:sz w:val="21"/>
                <w:szCs w:val="21"/>
              </w:rPr>
              <w:t>储罐</w:t>
            </w:r>
          </w:p>
        </w:tc>
        <w:tc>
          <w:tcPr>
            <w:tcW w:w="723" w:type="pct"/>
            <w:vAlign w:val="center"/>
          </w:tcPr>
          <w:p w:rsidR="006175A6" w:rsidRDefault="009B4BA7">
            <w:pPr>
              <w:pStyle w:val="TableParagraph"/>
              <w:rPr>
                <w:rFonts w:cs="Times New Roman"/>
                <w:sz w:val="21"/>
                <w:szCs w:val="21"/>
              </w:rPr>
            </w:pPr>
            <w:r>
              <w:rPr>
                <w:rFonts w:cs="Times New Roman" w:hint="eastAsia"/>
                <w:sz w:val="21"/>
                <w:szCs w:val="21"/>
              </w:rPr>
              <w:t>汽油</w:t>
            </w:r>
          </w:p>
        </w:tc>
        <w:tc>
          <w:tcPr>
            <w:tcW w:w="690" w:type="pct"/>
            <w:vAlign w:val="center"/>
          </w:tcPr>
          <w:p w:rsidR="006175A6" w:rsidRDefault="009B4BA7">
            <w:pPr>
              <w:pStyle w:val="TableParagraph"/>
              <w:rPr>
                <w:rFonts w:cs="Times New Roman"/>
                <w:sz w:val="21"/>
                <w:szCs w:val="21"/>
              </w:rPr>
            </w:pPr>
            <w:r>
              <w:rPr>
                <w:rFonts w:cs="Times New Roman" w:hint="eastAsia"/>
                <w:sz w:val="21"/>
                <w:szCs w:val="21"/>
              </w:rPr>
              <w:t>大气</w:t>
            </w:r>
          </w:p>
        </w:tc>
        <w:tc>
          <w:tcPr>
            <w:tcW w:w="1181" w:type="pct"/>
            <w:vAlign w:val="center"/>
          </w:tcPr>
          <w:p w:rsidR="006175A6" w:rsidRDefault="009B4BA7">
            <w:pPr>
              <w:pStyle w:val="TableParagraph"/>
              <w:rPr>
                <w:rFonts w:ascii="Times New Roman"/>
                <w:sz w:val="21"/>
                <w:szCs w:val="21"/>
                <w:lang w:eastAsia="zh-CN"/>
              </w:rPr>
            </w:pPr>
            <w:r>
              <w:rPr>
                <w:rFonts w:ascii="Times New Roman" w:hint="eastAsia"/>
                <w:sz w:val="21"/>
                <w:szCs w:val="21"/>
                <w:lang w:eastAsia="zh-CN"/>
              </w:rPr>
              <w:t>0.017</w:t>
            </w:r>
          </w:p>
        </w:tc>
      </w:tr>
      <w:tr w:rsidR="006175A6">
        <w:trPr>
          <w:trHeight w:val="340"/>
        </w:trPr>
        <w:tc>
          <w:tcPr>
            <w:tcW w:w="399" w:type="pct"/>
            <w:vAlign w:val="center"/>
          </w:tcPr>
          <w:p w:rsidR="006175A6" w:rsidRDefault="009B4BA7">
            <w:pPr>
              <w:pStyle w:val="TableParagraph"/>
              <w:rPr>
                <w:rFonts w:ascii="Times New Roman"/>
                <w:sz w:val="21"/>
                <w:szCs w:val="21"/>
                <w:lang w:eastAsia="zh-CN"/>
              </w:rPr>
            </w:pPr>
            <w:r>
              <w:rPr>
                <w:rFonts w:ascii="Times New Roman" w:hint="eastAsia"/>
                <w:sz w:val="21"/>
                <w:szCs w:val="21"/>
                <w:lang w:eastAsia="zh-CN"/>
              </w:rPr>
              <w:lastRenderedPageBreak/>
              <w:t>2</w:t>
            </w:r>
          </w:p>
        </w:tc>
        <w:tc>
          <w:tcPr>
            <w:tcW w:w="1377" w:type="pct"/>
            <w:vAlign w:val="center"/>
          </w:tcPr>
          <w:p w:rsidR="006175A6" w:rsidRDefault="009B4BA7">
            <w:pPr>
              <w:pStyle w:val="TableParagraph"/>
              <w:rPr>
                <w:rFonts w:cs="Times New Roman"/>
                <w:sz w:val="21"/>
                <w:szCs w:val="21"/>
              </w:rPr>
            </w:pPr>
            <w:r>
              <w:rPr>
                <w:rFonts w:cs="Times New Roman" w:hint="eastAsia"/>
                <w:sz w:val="21"/>
                <w:szCs w:val="21"/>
                <w:lang w:eastAsia="zh-CN"/>
              </w:rPr>
              <w:t>柴油泄露引发火灾</w:t>
            </w:r>
          </w:p>
        </w:tc>
        <w:tc>
          <w:tcPr>
            <w:tcW w:w="631" w:type="pct"/>
            <w:vAlign w:val="center"/>
          </w:tcPr>
          <w:p w:rsidR="006175A6" w:rsidRDefault="009B4BA7">
            <w:pPr>
              <w:pStyle w:val="TableParagraph"/>
              <w:rPr>
                <w:rFonts w:cs="Times New Roman"/>
                <w:sz w:val="21"/>
                <w:szCs w:val="21"/>
              </w:rPr>
            </w:pPr>
            <w:r>
              <w:rPr>
                <w:rFonts w:cs="Times New Roman" w:hint="eastAsia"/>
                <w:sz w:val="21"/>
                <w:szCs w:val="21"/>
              </w:rPr>
              <w:t>储罐</w:t>
            </w:r>
          </w:p>
        </w:tc>
        <w:tc>
          <w:tcPr>
            <w:tcW w:w="723" w:type="pct"/>
            <w:vAlign w:val="center"/>
          </w:tcPr>
          <w:p w:rsidR="006175A6" w:rsidRDefault="009B4BA7">
            <w:pPr>
              <w:pStyle w:val="TableParagraph"/>
              <w:rPr>
                <w:rFonts w:cs="Times New Roman"/>
                <w:sz w:val="21"/>
                <w:szCs w:val="21"/>
              </w:rPr>
            </w:pPr>
            <w:r>
              <w:rPr>
                <w:rFonts w:cs="Times New Roman" w:hint="eastAsia"/>
                <w:sz w:val="21"/>
                <w:szCs w:val="21"/>
              </w:rPr>
              <w:t>柴油</w:t>
            </w:r>
          </w:p>
        </w:tc>
        <w:tc>
          <w:tcPr>
            <w:tcW w:w="690" w:type="pct"/>
            <w:vAlign w:val="center"/>
          </w:tcPr>
          <w:p w:rsidR="006175A6" w:rsidRDefault="009B4BA7">
            <w:pPr>
              <w:pStyle w:val="TableParagraph"/>
              <w:rPr>
                <w:rFonts w:cs="Times New Roman"/>
                <w:sz w:val="21"/>
                <w:szCs w:val="21"/>
              </w:rPr>
            </w:pPr>
            <w:r>
              <w:rPr>
                <w:rFonts w:cs="Times New Roman" w:hint="eastAsia"/>
                <w:sz w:val="21"/>
                <w:szCs w:val="21"/>
              </w:rPr>
              <w:t>大气</w:t>
            </w:r>
          </w:p>
        </w:tc>
        <w:tc>
          <w:tcPr>
            <w:tcW w:w="1181" w:type="pct"/>
            <w:vAlign w:val="center"/>
          </w:tcPr>
          <w:p w:rsidR="006175A6" w:rsidRDefault="009B4BA7">
            <w:pPr>
              <w:pStyle w:val="TableParagraph"/>
              <w:rPr>
                <w:rFonts w:ascii="Times New Roman"/>
                <w:sz w:val="21"/>
                <w:szCs w:val="21"/>
                <w:lang w:eastAsia="zh-CN"/>
              </w:rPr>
            </w:pPr>
            <w:r>
              <w:rPr>
                <w:rFonts w:ascii="Times New Roman" w:hint="eastAsia"/>
                <w:sz w:val="21"/>
                <w:szCs w:val="21"/>
                <w:lang w:eastAsia="zh-CN"/>
              </w:rPr>
              <w:t>0.019</w:t>
            </w:r>
          </w:p>
        </w:tc>
      </w:tr>
    </w:tbl>
    <w:p w:rsidR="006175A6" w:rsidRDefault="009B4BA7">
      <w:pPr>
        <w:ind w:firstLine="480"/>
      </w:pPr>
      <w:r>
        <w:rPr>
          <w:rFonts w:hint="eastAsia"/>
        </w:rPr>
        <w:t>（</w:t>
      </w:r>
      <w:r>
        <w:rPr>
          <w:rFonts w:hint="eastAsia"/>
        </w:rPr>
        <w:t>4</w:t>
      </w:r>
      <w:r>
        <w:rPr>
          <w:rFonts w:hint="eastAsia"/>
        </w:rPr>
        <w:t>）事故发生对大气环境的影响分析</w:t>
      </w:r>
    </w:p>
    <w:p w:rsidR="006175A6" w:rsidRDefault="009B4BA7">
      <w:pPr>
        <w:ind w:firstLine="480"/>
      </w:pPr>
      <w:r>
        <w:rPr>
          <w:rFonts w:hint="eastAsia"/>
        </w:rPr>
        <w:t>汽油、柴油一旦发生风险事故，其中的挥发性有毒有害气体在不利风向时，周围的员工、周边敏感点等均会受到不同程度的影响。发生泄漏、火灾等事故后产生的大气污染物主要是</w:t>
      </w:r>
      <w:r>
        <w:rPr>
          <w:rFonts w:hint="eastAsia"/>
        </w:rPr>
        <w:t xml:space="preserve"> CO</w:t>
      </w:r>
      <w:r>
        <w:rPr>
          <w:rFonts w:hint="eastAsia"/>
        </w:rPr>
        <w:t>。</w:t>
      </w:r>
    </w:p>
    <w:p w:rsidR="006175A6" w:rsidRDefault="009B4BA7">
      <w:pPr>
        <w:ind w:firstLine="480"/>
      </w:pPr>
      <w:r>
        <w:rPr>
          <w:rFonts w:hint="eastAsia"/>
        </w:rPr>
        <w:t>有毒有害物质会对接触到的人群的身体健康有直接的影响。有毒有害物质在短期内大量进入人体可引起急性中毒和死亡，同时引起一些后遗症和并发症，并会遗传到后代。通过预测，本项目发生风险事故的年发生概率极低，因此，如果防范措施得当，对事故的预先判断准确及时，并采取正确的方法应对，则风险事故对周围大气环境的影响将大大降低。</w:t>
      </w:r>
    </w:p>
    <w:p w:rsidR="006175A6" w:rsidRDefault="009B4BA7">
      <w:pPr>
        <w:ind w:firstLine="480"/>
      </w:pPr>
      <w:r>
        <w:rPr>
          <w:rFonts w:hint="eastAsia"/>
        </w:rPr>
        <w:t>（</w:t>
      </w:r>
      <w:r>
        <w:rPr>
          <w:rFonts w:hint="eastAsia"/>
        </w:rPr>
        <w:t>5</w:t>
      </w:r>
      <w:r>
        <w:rPr>
          <w:rFonts w:hint="eastAsia"/>
        </w:rPr>
        <w:t>）事故发生对地表水环境的影响分析</w:t>
      </w:r>
    </w:p>
    <w:p w:rsidR="006175A6" w:rsidRDefault="009B4BA7">
      <w:pPr>
        <w:ind w:firstLine="480"/>
      </w:pPr>
      <w:r>
        <w:rPr>
          <w:rFonts w:hint="eastAsia"/>
        </w:rPr>
        <w:t>油品进入水体后，由于石油类难溶于水，且密度比水小，溢出油会浮于水面上形成油膜，首先造成对河流的景观破坏，产生严重的刺鼻气味；其次油膜使空气与水隔离，造成水中溶解氧浓度降低，逐渐形成死水，致使水中生物死亡；再次，燃料油的主要成分是</w:t>
      </w:r>
      <w:r>
        <w:rPr>
          <w:rFonts w:hint="eastAsia"/>
        </w:rPr>
        <w:t xml:space="preserve">C4~C9 </w:t>
      </w:r>
      <w:r>
        <w:rPr>
          <w:rFonts w:hint="eastAsia"/>
        </w:rPr>
        <w:t>的烃类、芳烃类、醇酮类以及卤代烃类有机物，一旦进入水环境，由于可生化性差，可能造成被污染水体长时间得不到净化，造成水体污染。</w:t>
      </w:r>
    </w:p>
    <w:p w:rsidR="006175A6" w:rsidRDefault="009B4BA7">
      <w:pPr>
        <w:ind w:firstLine="480"/>
      </w:pPr>
      <w:r>
        <w:rPr>
          <w:rFonts w:hint="eastAsia"/>
        </w:rPr>
        <w:t>本项目各施工区内柴油储存量较小，油桶均设置在施工场地距离河道较远处，储存区地面进行硬化，四周修建围堰、收油沟及集油池。在采取上述措施后，油料泄露进入水体的可能性较小，油料泄露对地表水环境影响极小。</w:t>
      </w:r>
    </w:p>
    <w:p w:rsidR="006175A6" w:rsidRDefault="009B4BA7">
      <w:pPr>
        <w:ind w:firstLine="480"/>
      </w:pPr>
      <w:r>
        <w:rPr>
          <w:rFonts w:hint="eastAsia"/>
        </w:rPr>
        <w:t>（</w:t>
      </w:r>
      <w:r>
        <w:rPr>
          <w:rFonts w:hint="eastAsia"/>
        </w:rPr>
        <w:t>5</w:t>
      </w:r>
      <w:r>
        <w:rPr>
          <w:rFonts w:hint="eastAsia"/>
        </w:rPr>
        <w:t>）事故发生对地下水环境的影响分析</w:t>
      </w:r>
    </w:p>
    <w:p w:rsidR="006175A6" w:rsidRDefault="009B4BA7">
      <w:pPr>
        <w:ind w:firstLine="480"/>
      </w:pPr>
      <w:r>
        <w:rPr>
          <w:rFonts w:hint="eastAsia"/>
        </w:rPr>
        <w:t>本项目联系较为密切的为潜层地下水，评价区无潜水层开发利用，无规划的地下水水源分布。项目所在地水力梯度小，水流速度慢，污染物不容易随水流迁移。</w:t>
      </w:r>
    </w:p>
    <w:p w:rsidR="006175A6" w:rsidRDefault="009B4BA7">
      <w:pPr>
        <w:ind w:firstLine="480"/>
      </w:pPr>
      <w:r>
        <w:rPr>
          <w:rFonts w:hint="eastAsia"/>
        </w:rPr>
        <w:t>在建设项目施工指标保证较好、运营过程中各项措施充分落实，污染防渗措施有效情况下（正常工况），建设项目对区域地下水质影响可忽略。在非正常工况下，会对项目所在地及区域小范围内地下水造成污染。总体来说污染物在地下水中迁移缓慢，超标范围较小，且主要集中在厂界内。企业应加强项目建设期及运营期的管理，确保各项污染防治措施落实到位。运营期间应加强厂区防渗措施，有效控制污染物渗入地下水，本项目地下水环境影响可接受。</w:t>
      </w:r>
    </w:p>
    <w:p w:rsidR="006175A6" w:rsidRDefault="009B4BA7">
      <w:pPr>
        <w:ind w:firstLine="480"/>
      </w:pPr>
      <w:r>
        <w:rPr>
          <w:rFonts w:hint="eastAsia"/>
        </w:rPr>
        <w:lastRenderedPageBreak/>
        <w:t>⑦对土壤环境的影响</w:t>
      </w:r>
    </w:p>
    <w:p w:rsidR="006175A6" w:rsidRDefault="009B4BA7">
      <w:pPr>
        <w:ind w:firstLine="480"/>
      </w:pPr>
      <w:r>
        <w:rPr>
          <w:rFonts w:hint="eastAsia"/>
        </w:rPr>
        <w:t>拟建工程施工场地周围多为林地，油品渗漏进入土壤层后，使土壤层中吸附大量的燃料油，在土壤团粒中形成膜网结构，环境中的空气难以进入土壤颗粒中，从而造成植物生物的死亡。为防止油品泄漏对土壤造成污染，油桶周边场地进行硬化处理，四周修建围堰、收油沟及集油池。预计油料泄漏对土壤造成污染风险的可能性较小，影响有限。</w:t>
      </w:r>
    </w:p>
    <w:p w:rsidR="006175A6" w:rsidRDefault="009B4BA7">
      <w:pPr>
        <w:pStyle w:val="3"/>
      </w:pPr>
      <w:r>
        <w:rPr>
          <w:rFonts w:hint="eastAsia"/>
        </w:rPr>
        <w:t>水库水质污染风险</w:t>
      </w:r>
    </w:p>
    <w:p w:rsidR="006175A6" w:rsidRDefault="009B4BA7">
      <w:pPr>
        <w:ind w:firstLine="480"/>
      </w:pPr>
      <w:r>
        <w:rPr>
          <w:rFonts w:hint="eastAsia"/>
        </w:rPr>
        <w:t>工程施工期间大量工程运输车辆过往，增加了危险化学品在运输过程中，因交通事故倾泄进入河道，造成水体污染的环境风险概率。水库淹没部分耕地，库区上游分布耕地，且所在区域农村生活污水未实现集中处置达标排放，水库运行期间农村面源可能会随地表径流或降雨进入库存区，导致水库水质被污染。</w:t>
      </w:r>
    </w:p>
    <w:p w:rsidR="006175A6" w:rsidRDefault="009B4BA7">
      <w:pPr>
        <w:ind w:firstLine="480"/>
      </w:pPr>
      <w:r>
        <w:rPr>
          <w:rFonts w:hint="eastAsia"/>
        </w:rPr>
        <w:t>水库汇水区无工业污染源，发生水污染事故的可能性不大，发生突发性水污染事故的风险几率较低。</w:t>
      </w:r>
    </w:p>
    <w:p w:rsidR="006175A6" w:rsidRDefault="009B4BA7">
      <w:pPr>
        <w:pStyle w:val="3"/>
      </w:pPr>
      <w:r>
        <w:rPr>
          <w:rFonts w:hint="eastAsia"/>
        </w:rPr>
        <w:t>森林火灾风险分析</w:t>
      </w:r>
    </w:p>
    <w:p w:rsidR="006175A6" w:rsidRDefault="009B4BA7">
      <w:pPr>
        <w:ind w:firstLine="480"/>
      </w:pPr>
      <w:r>
        <w:rPr>
          <w:rFonts w:hint="eastAsia"/>
        </w:rPr>
        <w:t>工程周围森林植被较好，在非雨季的季节很容易发生火灾，因此火灾的主要危害因素是雷电、静电、电气火花、自燃、人为因素等。</w:t>
      </w:r>
    </w:p>
    <w:p w:rsidR="006175A6" w:rsidRDefault="009B4BA7">
      <w:pPr>
        <w:ind w:firstLine="480"/>
      </w:pPr>
      <w:r>
        <w:rPr>
          <w:rFonts w:hint="eastAsia"/>
        </w:rPr>
        <w:t>引起森林火灾的最主要危害因素为雷电和人为因素，其中雷电为自然不可抗力，人为因素主要是在林区吸烟、野外生活等。另外，工程施工期爆破作业的不规范，也可能引起森林火灾。</w:t>
      </w:r>
    </w:p>
    <w:p w:rsidR="006175A6" w:rsidRDefault="009B4BA7">
      <w:pPr>
        <w:ind w:firstLine="480"/>
      </w:pPr>
      <w:r>
        <w:rPr>
          <w:rFonts w:hint="eastAsia"/>
        </w:rPr>
        <w:t>工程施工期间，不允许施工人员进入施工区占地范围外的林区，施工炸药库、油库等为整个施工区的安全、消防管理重点，管理严格，事故防范措施严密，易燃易爆器材使用时也规定了一定的安全防火范围。因此，工程施工的人为行为引起森林火灾的概率也较小。</w:t>
      </w:r>
    </w:p>
    <w:p w:rsidR="006175A6" w:rsidRDefault="009B4BA7">
      <w:pPr>
        <w:pStyle w:val="2"/>
      </w:pPr>
      <w:bookmarkStart w:id="86" w:name="_Toc80170128"/>
      <w:r>
        <w:rPr>
          <w:rFonts w:hint="eastAsia"/>
        </w:rPr>
        <w:t>运行期风险分析</w:t>
      </w:r>
      <w:bookmarkEnd w:id="86"/>
    </w:p>
    <w:p w:rsidR="006175A6" w:rsidRDefault="009B4BA7">
      <w:pPr>
        <w:pStyle w:val="3"/>
      </w:pPr>
      <w:r>
        <w:rPr>
          <w:rFonts w:hint="eastAsia"/>
        </w:rPr>
        <w:t>水库水质污染风险</w:t>
      </w:r>
    </w:p>
    <w:p w:rsidR="006175A6" w:rsidRDefault="009B4BA7">
      <w:pPr>
        <w:ind w:firstLine="480"/>
      </w:pPr>
      <w:r>
        <w:rPr>
          <w:rFonts w:hint="eastAsia"/>
        </w:rPr>
        <w:t>两河口水库上游无工业污染企业，其水库水质污染风险主要来自：淹没区垃圾废物污染风险；库四周人为排污风险等；汇水区域污染风险。</w:t>
      </w:r>
    </w:p>
    <w:p w:rsidR="006175A6" w:rsidRDefault="009B4BA7">
      <w:pPr>
        <w:ind w:firstLine="480"/>
      </w:pPr>
      <w:r>
        <w:rPr>
          <w:rFonts w:hint="eastAsia"/>
        </w:rPr>
        <w:lastRenderedPageBreak/>
        <w:t>（</w:t>
      </w:r>
      <w:r>
        <w:rPr>
          <w:rFonts w:hint="eastAsia"/>
        </w:rPr>
        <w:t>1</w:t>
      </w:r>
      <w:r>
        <w:rPr>
          <w:rFonts w:hint="eastAsia"/>
        </w:rPr>
        <w:t>）水库淹没区垃圾废物污染风险分析</w:t>
      </w:r>
    </w:p>
    <w:p w:rsidR="006175A6" w:rsidRDefault="009B4BA7">
      <w:pPr>
        <w:ind w:firstLine="480"/>
      </w:pPr>
      <w:r>
        <w:rPr>
          <w:rFonts w:hint="eastAsia"/>
        </w:rPr>
        <w:t>根据调查情况，两河口水库淹没范围</w:t>
      </w:r>
      <w:r>
        <w:rPr>
          <w:rFonts w:hint="eastAsia"/>
        </w:rPr>
        <w:t xml:space="preserve">494.5 </w:t>
      </w:r>
      <w:r>
        <w:rPr>
          <w:rFonts w:hint="eastAsia"/>
        </w:rPr>
        <w:t>亩，涉及村级公路</w:t>
      </w:r>
      <w:r>
        <w:rPr>
          <w:rFonts w:hint="eastAsia"/>
        </w:rPr>
        <w:t xml:space="preserve"> 2.0km</w:t>
      </w:r>
      <w:r>
        <w:rPr>
          <w:rFonts w:hint="eastAsia"/>
        </w:rPr>
        <w:t>；</w:t>
      </w:r>
      <w:r>
        <w:rPr>
          <w:rFonts w:hint="eastAsia"/>
        </w:rPr>
        <w:t xml:space="preserve">10kv </w:t>
      </w:r>
      <w:r>
        <w:rPr>
          <w:rFonts w:hint="eastAsia"/>
        </w:rPr>
        <w:t>输电线路</w:t>
      </w:r>
      <w:r>
        <w:rPr>
          <w:rFonts w:hint="eastAsia"/>
        </w:rPr>
        <w:t>2.0</w:t>
      </w:r>
      <w:r>
        <w:rPr>
          <w:rFonts w:hint="eastAsia"/>
        </w:rPr>
        <w:t>公里；青龙口电站（</w:t>
      </w:r>
      <w:r>
        <w:rPr>
          <w:rFonts w:hint="eastAsia"/>
        </w:rPr>
        <w:t>225kw</w:t>
      </w:r>
      <w:r>
        <w:rPr>
          <w:rFonts w:hint="eastAsia"/>
        </w:rPr>
        <w:t>）一座，压覆胡家扁磷矿，无文物古迹。涉及有人口、耕地及相关基础设施，如果在水库蓄水前，对房屋、电力设施、通信设施、粪池、漂浮物等未进行有效清理和处理，则水库蓄水后，受水体浸泡，大量污染物会溶出，影响蓄水水质。</w:t>
      </w:r>
    </w:p>
    <w:p w:rsidR="006175A6" w:rsidRDefault="009B4BA7">
      <w:pPr>
        <w:ind w:firstLine="480"/>
      </w:pPr>
      <w:r>
        <w:rPr>
          <w:rFonts w:hint="eastAsia"/>
        </w:rPr>
        <w:t>（</w:t>
      </w:r>
      <w:r>
        <w:rPr>
          <w:rFonts w:hint="eastAsia"/>
        </w:rPr>
        <w:t>2</w:t>
      </w:r>
      <w:r>
        <w:rPr>
          <w:rFonts w:hint="eastAsia"/>
        </w:rPr>
        <w:t>）库区人为排污风险分析</w:t>
      </w:r>
    </w:p>
    <w:p w:rsidR="006175A6" w:rsidRDefault="009B4BA7">
      <w:pPr>
        <w:ind w:firstLine="480"/>
      </w:pPr>
      <w:r>
        <w:rPr>
          <w:rFonts w:hint="eastAsia"/>
        </w:rPr>
        <w:t>人为排污主要为库周人为向水体倾倒垃圾、废水、投毒等现象。由于水库位于偏远山区，周边居民点较少，发生人为排污风险可能性较小。但是，一旦突发事件发生后，如果不及时采取措施，污染物随水体扩散流动，将影响饮水水质，使供水区人群健康收到很大威胁。</w:t>
      </w:r>
    </w:p>
    <w:p w:rsidR="006175A6" w:rsidRDefault="009B4BA7">
      <w:pPr>
        <w:ind w:firstLine="480"/>
      </w:pPr>
      <w:r>
        <w:rPr>
          <w:rFonts w:hint="eastAsia"/>
        </w:rPr>
        <w:t>（</w:t>
      </w:r>
      <w:r>
        <w:rPr>
          <w:rFonts w:hint="eastAsia"/>
        </w:rPr>
        <w:t>3</w:t>
      </w:r>
      <w:r>
        <w:rPr>
          <w:rFonts w:hint="eastAsia"/>
        </w:rPr>
        <w:t>）汇水区域污染风险分析</w:t>
      </w:r>
    </w:p>
    <w:p w:rsidR="006175A6" w:rsidRDefault="009B4BA7">
      <w:pPr>
        <w:ind w:firstLine="480"/>
      </w:pPr>
      <w:r>
        <w:rPr>
          <w:rFonts w:hint="eastAsia"/>
        </w:rPr>
        <w:t>水库运行后，水库周边还有少量未搬迁的居民，居民生活将产生一定量的生活污水，这部分污水如果任意排放，将会随着河流、雨水汇水水库，对水库造成一定的水环境污染。同时，库周汇水区域内的农用林地、农田的化肥农药使用也会产生农业面源，这部分污染源也会随着雨水、河流汇入库区，造成水环境污染。</w:t>
      </w:r>
    </w:p>
    <w:p w:rsidR="006175A6" w:rsidRDefault="009B4BA7">
      <w:pPr>
        <w:pStyle w:val="3"/>
      </w:pPr>
      <w:r>
        <w:rPr>
          <w:rFonts w:hint="eastAsia"/>
        </w:rPr>
        <w:t>水库溃坝风险</w:t>
      </w:r>
    </w:p>
    <w:p w:rsidR="006175A6" w:rsidRDefault="009B4BA7">
      <w:pPr>
        <w:ind w:firstLine="480"/>
      </w:pPr>
      <w:r>
        <w:rPr>
          <w:rFonts w:hint="eastAsia"/>
        </w:rPr>
        <w:t>两河口水库在运行过程中，水库如果发生溃坝，洪水会冲毁其下游的散居居民，造成其下游两岸乡村道路、房屋、农田、林地、畜舍等的严重破坏和下游居民的严重伤亡，将给当地交通运输、农业生产、工业生产、社会经济、人民生命、国民财产和生态环境带来严重的灾害。因此，水库大坝安全不可忽视。根据国内和国际上对大坝安全的研究成果，引起大坝坡坏和溃决的原因很多，也很复杂：</w:t>
      </w:r>
    </w:p>
    <w:p w:rsidR="006175A6" w:rsidRDefault="009B4BA7">
      <w:pPr>
        <w:ind w:firstLine="480"/>
      </w:pPr>
      <w:r>
        <w:rPr>
          <w:rFonts w:hint="eastAsia"/>
        </w:rPr>
        <w:t>①漫顶洪水</w:t>
      </w:r>
    </w:p>
    <w:p w:rsidR="006175A6" w:rsidRDefault="009B4BA7">
      <w:pPr>
        <w:ind w:firstLine="480"/>
      </w:pPr>
      <w:r>
        <w:rPr>
          <w:rFonts w:hint="eastAsia"/>
        </w:rPr>
        <w:t>大坝是最主要的水工建筑物。它的安全与否直接影响到下游人民的生命财产安全。大坝一旦失事，将产生无法弥补的生命、财产损失。导致洪水漫坝的主要因素，概括起来有两类：</w:t>
      </w:r>
    </w:p>
    <w:p w:rsidR="006175A6" w:rsidRDefault="009B4BA7">
      <w:pPr>
        <w:ind w:firstLine="480"/>
      </w:pPr>
      <w:r>
        <w:rPr>
          <w:rFonts w:hint="eastAsia"/>
        </w:rPr>
        <w:t>a.</w:t>
      </w:r>
      <w:r>
        <w:rPr>
          <w:rFonts w:hint="eastAsia"/>
        </w:rPr>
        <w:t>自然因素</w:t>
      </w:r>
    </w:p>
    <w:p w:rsidR="006175A6" w:rsidRDefault="009B4BA7">
      <w:pPr>
        <w:ind w:firstLine="480"/>
      </w:pPr>
      <w:r>
        <w:rPr>
          <w:rFonts w:hint="eastAsia"/>
        </w:rPr>
        <w:t>自然因素指大坝受到各种不可预见的自然力量的破坏作用，如遭遇非常洪水、特大暴雨、滑坡等不可预见的风险引起的漫坝。本工程区内未发现有大范围的崩</w:t>
      </w:r>
      <w:r>
        <w:rPr>
          <w:rFonts w:hint="eastAsia"/>
        </w:rPr>
        <w:lastRenderedPageBreak/>
        <w:t>塌、滑坡等地质现象；</w:t>
      </w:r>
    </w:p>
    <w:p w:rsidR="006175A6" w:rsidRDefault="009B4BA7">
      <w:pPr>
        <w:ind w:firstLine="480"/>
      </w:pPr>
      <w:r>
        <w:rPr>
          <w:rFonts w:hint="eastAsia"/>
        </w:rPr>
        <w:t>b.</w:t>
      </w:r>
      <w:r>
        <w:rPr>
          <w:rFonts w:hint="eastAsia"/>
        </w:rPr>
        <w:t>运行因素</w:t>
      </w:r>
    </w:p>
    <w:p w:rsidR="006175A6" w:rsidRDefault="009B4BA7">
      <w:pPr>
        <w:ind w:firstLine="480"/>
      </w:pPr>
      <w:r>
        <w:rPr>
          <w:rFonts w:hint="eastAsia"/>
        </w:rPr>
        <w:t>运行管理因素是指对大坝工作状态缺乏准确及时的监测、检查、鉴定；对大坝的实际工况和可能存在的危害因素不了解或缺乏认识；对大坝可能存在的危险点没有进行及时的维护和检修，使得小缺陷发展扩大；以及管理人员的误操作或维护检修措施不当，采用不适当的运行方式等对大坝的影响。本工程水库挡水、泄水建筑物防洪标准按采用</w:t>
      </w:r>
      <w:r>
        <w:rPr>
          <w:rFonts w:hint="eastAsia"/>
        </w:rPr>
        <w:t>50</w:t>
      </w:r>
      <w:r>
        <w:rPr>
          <w:rFonts w:hint="eastAsia"/>
        </w:rPr>
        <w:t>年一遇洪水设计，</w:t>
      </w:r>
      <w:r>
        <w:rPr>
          <w:rFonts w:hint="eastAsia"/>
        </w:rPr>
        <w:t>500</w:t>
      </w:r>
      <w:r>
        <w:rPr>
          <w:rFonts w:hint="eastAsia"/>
        </w:rPr>
        <w:t>年一遇洪水校核。结合本水库的特点，考虑到溢洪道具有足够的泄流能力，在正常及发生洪水情况下，水库不会发生漫坝的可能。</w:t>
      </w:r>
    </w:p>
    <w:p w:rsidR="006175A6" w:rsidRDefault="009B4BA7">
      <w:pPr>
        <w:ind w:firstLine="480"/>
      </w:pPr>
      <w:r>
        <w:rPr>
          <w:rFonts w:hint="eastAsia"/>
        </w:rPr>
        <w:t>②地震</w:t>
      </w:r>
    </w:p>
    <w:p w:rsidR="006175A6" w:rsidRDefault="009B4BA7">
      <w:pPr>
        <w:ind w:firstLine="480"/>
      </w:pPr>
      <w:r>
        <w:rPr>
          <w:rFonts w:hint="eastAsia"/>
        </w:rPr>
        <w:t>库坝区所在区域构造相对稳定，地震活动微弱，地震基本烈度为Ⅵ度，岩性主要为白云岩，透水性微弱，不利库水下渗，加之水库抬高水头不大，水库蓄水后对深部地应力影响小，诱发水库地震的可能性小。</w:t>
      </w:r>
    </w:p>
    <w:p w:rsidR="006175A6" w:rsidRDefault="009B4BA7">
      <w:pPr>
        <w:ind w:firstLine="480"/>
      </w:pPr>
      <w:r>
        <w:rPr>
          <w:rFonts w:hint="eastAsia"/>
        </w:rPr>
        <w:t>③坝基破坏</w:t>
      </w:r>
    </w:p>
    <w:p w:rsidR="006175A6" w:rsidRDefault="009B4BA7">
      <w:pPr>
        <w:ind w:firstLine="480"/>
      </w:pPr>
      <w:r>
        <w:rPr>
          <w:rFonts w:hint="eastAsia"/>
        </w:rPr>
        <w:t>坝基的变形性、渗透性、稳定性与大坝的安全有很大的关系。良好的坝基应具有足够的抗变形和承载能力，透水性小和岩体完整稳定，以免变形过大引起地基破坏，渗透水压过大导致压力超限和坝体或坝座岩体滑动失稳。工程水库坝基处地质整体性较好，未见软弱岩</w:t>
      </w:r>
      <w:r w:rsidR="00E97427">
        <w:rPr>
          <w:rFonts w:hint="eastAsia"/>
        </w:rPr>
        <w:t>（</w:t>
      </w:r>
      <w:r>
        <w:rPr>
          <w:rFonts w:hint="eastAsia"/>
        </w:rPr>
        <w:t>夹</w:t>
      </w:r>
      <w:r w:rsidR="00E97427">
        <w:rPr>
          <w:rFonts w:hint="eastAsia"/>
        </w:rPr>
        <w:t>）</w:t>
      </w:r>
      <w:r>
        <w:rPr>
          <w:rFonts w:hint="eastAsia"/>
        </w:rPr>
        <w:t>层及泥化带等软弱缓倾结构面，断层等大的结构面亦不发育，坝基稳定性好。</w:t>
      </w:r>
    </w:p>
    <w:p w:rsidR="006175A6" w:rsidRDefault="009B4BA7">
      <w:pPr>
        <w:ind w:firstLine="480"/>
      </w:pPr>
      <w:r>
        <w:rPr>
          <w:rFonts w:hint="eastAsia"/>
        </w:rPr>
        <w:t>④施工不当</w:t>
      </w:r>
    </w:p>
    <w:p w:rsidR="006175A6" w:rsidRDefault="009B4BA7">
      <w:pPr>
        <w:ind w:firstLine="480"/>
      </w:pPr>
      <w:r>
        <w:rPr>
          <w:rFonts w:hint="eastAsia"/>
        </w:rPr>
        <w:t>施工工艺不规范，施工质量检查检验较松，施工用材不当都可能引起大坝局部破坏，威胁大坝安全。但这些人为因素，只要严格按照规范进行施工作业是可以避免的。</w:t>
      </w:r>
    </w:p>
    <w:p w:rsidR="006175A6" w:rsidRDefault="009B4BA7">
      <w:pPr>
        <w:pStyle w:val="2"/>
      </w:pPr>
      <w:bookmarkStart w:id="87" w:name="_Toc80170129"/>
      <w:r>
        <w:rPr>
          <w:rFonts w:hint="eastAsia"/>
        </w:rPr>
        <w:t>风险防范措施</w:t>
      </w:r>
      <w:bookmarkEnd w:id="87"/>
    </w:p>
    <w:p w:rsidR="006175A6" w:rsidRDefault="009B4BA7">
      <w:pPr>
        <w:pStyle w:val="3"/>
      </w:pPr>
      <w:r>
        <w:rPr>
          <w:rFonts w:hint="eastAsia"/>
        </w:rPr>
        <w:t>油料泄漏风险防范措施</w:t>
      </w:r>
    </w:p>
    <w:p w:rsidR="006175A6" w:rsidRDefault="009B4BA7">
      <w:pPr>
        <w:ind w:firstLine="480"/>
      </w:pPr>
      <w:r>
        <w:rPr>
          <w:rFonts w:hint="eastAsia"/>
        </w:rPr>
        <w:t>①油料运输司机必须危险品行业从业资格证；严禁违章驾驶、严禁酒后驾车、严禁疲劳驾车，树立良好的安全意识，养成良好的驾驶习惯。出车前必须做好安全检查，检查接地线、灭火器、机械部件等是否正常。车辆配置的各种消防设施</w:t>
      </w:r>
      <w:r>
        <w:rPr>
          <w:rFonts w:hint="eastAsia"/>
        </w:rPr>
        <w:lastRenderedPageBreak/>
        <w:t>及器材。严禁将车辆交他人驾驶，未经批准，严禁车辆在外过夜，严禁无关人员搭车，不得在驾驶中吸烟。运输过程中，遇有天气、道路路面状况发生变化，应及时采取安全防护措施。遇有雷雨时，不得在树下、电线杆、高压线、铁塔、高层建筑及容易遇到雷击和产生火花的地点停车。若要避雨时，应选择安全地点停放。遇有泥泞、冰冻、颠簸、狭窄及山崖等路段时，应低速缓慢行驶，防止车辆侧滑、打滑及危险品剧烈震荡等，确保运输安全。</w:t>
      </w:r>
    </w:p>
    <w:p w:rsidR="006175A6" w:rsidRDefault="009B4BA7">
      <w:pPr>
        <w:ind w:firstLine="480"/>
      </w:pPr>
      <w:r>
        <w:rPr>
          <w:rFonts w:hint="eastAsia"/>
        </w:rPr>
        <w:t>②施工期油料储存区地面进行硬化处置，四周修建围堰、收油沟及集油池，确保事故泄漏的油料全部收集在施工区内，不进入周边外环境。</w:t>
      </w:r>
    </w:p>
    <w:p w:rsidR="006175A6" w:rsidRDefault="009B4BA7">
      <w:pPr>
        <w:pStyle w:val="3"/>
      </w:pPr>
      <w:r>
        <w:rPr>
          <w:rFonts w:hint="eastAsia"/>
        </w:rPr>
        <w:t>水库水质污染事故防范措施</w:t>
      </w:r>
    </w:p>
    <w:p w:rsidR="006175A6" w:rsidRDefault="009B4BA7">
      <w:pPr>
        <w:ind w:firstLine="480"/>
      </w:pPr>
      <w:r>
        <w:rPr>
          <w:rFonts w:hint="eastAsia"/>
        </w:rPr>
        <w:t>（</w:t>
      </w:r>
      <w:r>
        <w:rPr>
          <w:rFonts w:hint="eastAsia"/>
        </w:rPr>
        <w:t>1</w:t>
      </w:r>
      <w:r>
        <w:rPr>
          <w:rFonts w:hint="eastAsia"/>
        </w:rPr>
        <w:t>）水库水质污染事故防范措施</w:t>
      </w:r>
    </w:p>
    <w:p w:rsidR="006175A6" w:rsidRDefault="009B4BA7">
      <w:pPr>
        <w:ind w:firstLine="480"/>
      </w:pPr>
      <w:r>
        <w:rPr>
          <w:rFonts w:hint="eastAsia"/>
        </w:rPr>
        <w:t>①对水库建构筑物进行清理，清理的建筑垃圾应分类堆放，能回收利用的尽量回收利用，加强饮用水源保护宣传，开展饮用水源保护宣传工作，在全社会营造整治饮用水源污染的舆论氛围，使“保护水源，人人有责，从我做起”的观念深入人心。</w:t>
      </w:r>
    </w:p>
    <w:p w:rsidR="006175A6" w:rsidRDefault="009B4BA7">
      <w:pPr>
        <w:ind w:firstLine="480"/>
      </w:pPr>
      <w:r>
        <w:rPr>
          <w:rFonts w:hint="eastAsia"/>
        </w:rPr>
        <w:t>②控制面源污染。正确引导当地农民少量、合理的施用化肥，减少生活污水排放，是减少农业面源污染的主要途径，建设单位应连同农业部门按照《农村生活污染防治技术政策》（环发</w:t>
      </w:r>
      <w:r>
        <w:rPr>
          <w:rFonts w:hint="eastAsia"/>
        </w:rPr>
        <w:t xml:space="preserve">[2010]20 </w:t>
      </w:r>
      <w:r>
        <w:rPr>
          <w:rFonts w:hint="eastAsia"/>
        </w:rPr>
        <w:t>号）、《农药使用环境安全技术导则》（</w:t>
      </w:r>
      <w:r>
        <w:rPr>
          <w:rFonts w:hint="eastAsia"/>
        </w:rPr>
        <w:t>HJ556-2010</w:t>
      </w:r>
      <w:r>
        <w:rPr>
          <w:rFonts w:hint="eastAsia"/>
        </w:rPr>
        <w:t>）、《化肥使用环境安全技术导则》（</w:t>
      </w:r>
      <w:r>
        <w:rPr>
          <w:rFonts w:hint="eastAsia"/>
        </w:rPr>
        <w:t>HJ 555-2010</w:t>
      </w:r>
      <w:r>
        <w:rPr>
          <w:rFonts w:hint="eastAsia"/>
        </w:rPr>
        <w:t>）的要求引导当地居民，控制面源污染。</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7.7</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化肥使用环境安全技术导则</w:t>
      </w:r>
    </w:p>
    <w:tbl>
      <w:tblPr>
        <w:tblStyle w:val="ab"/>
        <w:tblW w:w="5000" w:type="pct"/>
        <w:tblLook w:val="04A0" w:firstRow="1" w:lastRow="0" w:firstColumn="1" w:lastColumn="0" w:noHBand="0" w:noVBand="1"/>
      </w:tblPr>
      <w:tblGrid>
        <w:gridCol w:w="817"/>
        <w:gridCol w:w="1135"/>
        <w:gridCol w:w="6570"/>
      </w:tblGrid>
      <w:tr w:rsidR="006175A6">
        <w:trPr>
          <w:trHeight w:val="340"/>
        </w:trPr>
        <w:tc>
          <w:tcPr>
            <w:tcW w:w="479" w:type="pct"/>
            <w:vAlign w:val="center"/>
          </w:tcPr>
          <w:p w:rsidR="006175A6" w:rsidRDefault="009B4BA7">
            <w:pPr>
              <w:pStyle w:val="50"/>
              <w:jc w:val="center"/>
            </w:pPr>
            <w:r>
              <w:rPr>
                <w:rFonts w:ascii="宋体" w:hAnsi="宋体"/>
              </w:rPr>
              <w:t>序号</w:t>
            </w:r>
          </w:p>
        </w:tc>
        <w:tc>
          <w:tcPr>
            <w:tcW w:w="666" w:type="pct"/>
            <w:vAlign w:val="center"/>
          </w:tcPr>
          <w:p w:rsidR="006175A6" w:rsidRDefault="009B4BA7">
            <w:pPr>
              <w:pStyle w:val="50"/>
              <w:jc w:val="center"/>
            </w:pPr>
            <w:r>
              <w:rPr>
                <w:rFonts w:ascii="宋体" w:hAnsi="宋体"/>
              </w:rPr>
              <w:t>文件</w:t>
            </w:r>
          </w:p>
        </w:tc>
        <w:tc>
          <w:tcPr>
            <w:tcW w:w="3855" w:type="pct"/>
            <w:vAlign w:val="center"/>
          </w:tcPr>
          <w:p w:rsidR="006175A6" w:rsidRDefault="009B4BA7">
            <w:pPr>
              <w:pStyle w:val="50"/>
              <w:jc w:val="center"/>
            </w:pPr>
            <w:r>
              <w:rPr>
                <w:rFonts w:ascii="宋体" w:hAnsi="宋体"/>
              </w:rPr>
              <w:t>内容</w:t>
            </w:r>
          </w:p>
        </w:tc>
      </w:tr>
      <w:tr w:rsidR="006175A6">
        <w:trPr>
          <w:trHeight w:val="340"/>
        </w:trPr>
        <w:tc>
          <w:tcPr>
            <w:tcW w:w="479" w:type="pct"/>
            <w:vAlign w:val="center"/>
          </w:tcPr>
          <w:p w:rsidR="006175A6" w:rsidRDefault="009B4BA7">
            <w:pPr>
              <w:spacing w:line="240" w:lineRule="auto"/>
              <w:ind w:firstLineChars="0" w:firstLine="0"/>
              <w:jc w:val="center"/>
              <w:rPr>
                <w:sz w:val="21"/>
              </w:rPr>
            </w:pPr>
            <w:r>
              <w:rPr>
                <w:rFonts w:hint="eastAsia"/>
                <w:sz w:val="21"/>
              </w:rPr>
              <w:t>1</w:t>
            </w:r>
          </w:p>
        </w:tc>
        <w:tc>
          <w:tcPr>
            <w:tcW w:w="666" w:type="pct"/>
            <w:vAlign w:val="center"/>
          </w:tcPr>
          <w:p w:rsidR="006175A6" w:rsidRDefault="009B4BA7">
            <w:pPr>
              <w:spacing w:line="240" w:lineRule="auto"/>
              <w:ind w:firstLineChars="0" w:firstLine="0"/>
              <w:jc w:val="center"/>
              <w:rPr>
                <w:sz w:val="21"/>
              </w:rPr>
            </w:pPr>
            <w:r>
              <w:rPr>
                <w:rFonts w:hint="eastAsia"/>
                <w:sz w:val="21"/>
              </w:rPr>
              <w:t>农村生活污染防治技术政策</w:t>
            </w:r>
          </w:p>
        </w:tc>
        <w:tc>
          <w:tcPr>
            <w:tcW w:w="3855" w:type="pct"/>
            <w:vAlign w:val="center"/>
          </w:tcPr>
          <w:p w:rsidR="006175A6" w:rsidRDefault="009B4BA7">
            <w:pPr>
              <w:spacing w:line="240" w:lineRule="auto"/>
              <w:ind w:firstLineChars="0" w:firstLine="0"/>
              <w:rPr>
                <w:sz w:val="21"/>
              </w:rPr>
            </w:pPr>
            <w:r>
              <w:rPr>
                <w:rFonts w:hint="eastAsia"/>
                <w:sz w:val="21"/>
              </w:rPr>
              <w:t>①农村雨水宜利用边沟和自然沟渠等进行收集和排放，通过坑塘、洼地等自然入渗进入当地水循环系统。鼓励将处理后的雨水回用于农田灌溉等。</w:t>
            </w:r>
          </w:p>
          <w:p w:rsidR="006175A6" w:rsidRDefault="009B4BA7">
            <w:pPr>
              <w:spacing w:line="240" w:lineRule="auto"/>
              <w:ind w:firstLineChars="0" w:firstLine="0"/>
              <w:rPr>
                <w:sz w:val="21"/>
              </w:rPr>
            </w:pPr>
            <w:r>
              <w:rPr>
                <w:rFonts w:hint="eastAsia"/>
                <w:sz w:val="21"/>
              </w:rPr>
              <w:t>②由于没有建设集中污水处理设施，不宜推广使用水冲厕所，避免造成污水直接集中排放，在上述地区鼓励推广非水冲式卫生厕所。</w:t>
            </w:r>
          </w:p>
          <w:p w:rsidR="006175A6" w:rsidRDefault="009B4BA7">
            <w:pPr>
              <w:spacing w:line="240" w:lineRule="auto"/>
              <w:ind w:firstLineChars="0" w:firstLine="0"/>
              <w:rPr>
                <w:sz w:val="21"/>
              </w:rPr>
            </w:pPr>
            <w:r>
              <w:rPr>
                <w:rFonts w:hint="eastAsia"/>
                <w:sz w:val="21"/>
              </w:rPr>
              <w:t>③对于以户为单元就地排放的生活污水，宜根据不同情况采用庭院式小型湿地、沼气净化池和小型净化槽等处理技术和设施。</w:t>
            </w:r>
          </w:p>
          <w:p w:rsidR="006175A6" w:rsidRDefault="009B4BA7">
            <w:pPr>
              <w:spacing w:line="240" w:lineRule="auto"/>
              <w:ind w:firstLineChars="0" w:firstLine="0"/>
              <w:rPr>
                <w:sz w:val="21"/>
              </w:rPr>
            </w:pPr>
            <w:r>
              <w:rPr>
                <w:rFonts w:hint="eastAsia"/>
                <w:sz w:val="21"/>
              </w:rPr>
              <w:t>④鼓励采用粪便与生活杂排水分离的新型生态排水处理系统。宜采用沼气池处理粪便，采用氧化塘、湿地、快速渗滤及一体化装置等技术处理杂排水。</w:t>
            </w:r>
          </w:p>
          <w:p w:rsidR="006175A6" w:rsidRDefault="009B4BA7">
            <w:pPr>
              <w:spacing w:line="240" w:lineRule="auto"/>
              <w:ind w:firstLineChars="0" w:firstLine="0"/>
              <w:rPr>
                <w:sz w:val="21"/>
              </w:rPr>
            </w:pPr>
            <w:r>
              <w:rPr>
                <w:rFonts w:hint="eastAsia"/>
                <w:sz w:val="21"/>
              </w:rPr>
              <w:t>⑤鼓励采用沼气池厕所、堆肥式、粪尿分集式等生态卫生厕所。在水冲厕所后，鼓励采用沼气净化池和户用沼气池等方式处理粪便污水，</w:t>
            </w:r>
            <w:r>
              <w:rPr>
                <w:rFonts w:hint="eastAsia"/>
                <w:sz w:val="21"/>
              </w:rPr>
              <w:lastRenderedPageBreak/>
              <w:t>产生的沼气应加以利用。</w:t>
            </w:r>
          </w:p>
          <w:p w:rsidR="006175A6" w:rsidRDefault="009B4BA7">
            <w:pPr>
              <w:spacing w:line="240" w:lineRule="auto"/>
              <w:ind w:firstLineChars="0" w:firstLine="0"/>
              <w:rPr>
                <w:sz w:val="21"/>
              </w:rPr>
            </w:pPr>
            <w:r>
              <w:rPr>
                <w:rFonts w:hint="eastAsia"/>
                <w:sz w:val="21"/>
              </w:rPr>
              <w:t>⑥污水处理设施产生的污泥、沼液及沼渣等可作为农肥施用，在当地环境容量范围内，鼓励以就地消纳为主，实现资源化利用，禁止随意丢弃堆放，避免二次污染。</w:t>
            </w:r>
          </w:p>
          <w:p w:rsidR="006175A6" w:rsidRDefault="009B4BA7">
            <w:pPr>
              <w:spacing w:line="240" w:lineRule="auto"/>
              <w:ind w:firstLineChars="0" w:firstLine="0"/>
              <w:rPr>
                <w:sz w:val="21"/>
              </w:rPr>
            </w:pPr>
            <w:r>
              <w:rPr>
                <w:rFonts w:hint="eastAsia"/>
                <w:sz w:val="21"/>
              </w:rPr>
              <w:t>⑦鼓励采用沼气池处理人畜粪便，并实施“一池三改”，推广“四位一体”等农业生态模式。</w:t>
            </w:r>
          </w:p>
        </w:tc>
      </w:tr>
      <w:tr w:rsidR="006175A6">
        <w:trPr>
          <w:trHeight w:val="340"/>
        </w:trPr>
        <w:tc>
          <w:tcPr>
            <w:tcW w:w="479" w:type="pct"/>
            <w:vAlign w:val="center"/>
          </w:tcPr>
          <w:p w:rsidR="006175A6" w:rsidRDefault="009B4BA7">
            <w:pPr>
              <w:spacing w:line="240" w:lineRule="auto"/>
              <w:ind w:firstLineChars="0" w:firstLine="0"/>
              <w:jc w:val="center"/>
              <w:rPr>
                <w:sz w:val="21"/>
              </w:rPr>
            </w:pPr>
            <w:r>
              <w:rPr>
                <w:rFonts w:hint="eastAsia"/>
                <w:sz w:val="21"/>
              </w:rPr>
              <w:lastRenderedPageBreak/>
              <w:t>2</w:t>
            </w:r>
          </w:p>
        </w:tc>
        <w:tc>
          <w:tcPr>
            <w:tcW w:w="666" w:type="pct"/>
            <w:vAlign w:val="center"/>
          </w:tcPr>
          <w:p w:rsidR="006175A6" w:rsidRDefault="009B4BA7">
            <w:pPr>
              <w:spacing w:line="240" w:lineRule="auto"/>
              <w:ind w:firstLineChars="0" w:firstLine="0"/>
              <w:jc w:val="center"/>
              <w:rPr>
                <w:sz w:val="21"/>
              </w:rPr>
            </w:pPr>
            <w:r>
              <w:rPr>
                <w:rFonts w:hint="eastAsia"/>
                <w:sz w:val="21"/>
              </w:rPr>
              <w:t>农药使用环境安全技术导则</w:t>
            </w:r>
          </w:p>
        </w:tc>
        <w:tc>
          <w:tcPr>
            <w:tcW w:w="3855" w:type="pct"/>
            <w:vAlign w:val="center"/>
          </w:tcPr>
          <w:p w:rsidR="006175A6" w:rsidRDefault="009B4BA7">
            <w:pPr>
              <w:spacing w:line="240" w:lineRule="auto"/>
              <w:ind w:firstLineChars="0" w:firstLine="0"/>
              <w:rPr>
                <w:sz w:val="21"/>
              </w:rPr>
            </w:pPr>
            <w:r>
              <w:rPr>
                <w:rFonts w:hint="eastAsia"/>
                <w:sz w:val="21"/>
              </w:rPr>
              <w:t>①根据土壤类型、作物生长特性、生态环境及气候特征，合理选择农药品种，减少农药在土壤中的残留。</w:t>
            </w:r>
          </w:p>
          <w:p w:rsidR="006175A6" w:rsidRDefault="009B4BA7">
            <w:pPr>
              <w:spacing w:line="240" w:lineRule="auto"/>
              <w:ind w:firstLineChars="0" w:firstLine="0"/>
              <w:rPr>
                <w:sz w:val="21"/>
              </w:rPr>
            </w:pPr>
            <w:r>
              <w:rPr>
                <w:rFonts w:hint="eastAsia"/>
                <w:sz w:val="21"/>
              </w:rPr>
              <w:t>②不宜使用水溶性大、难降解、易淋溶、水中持留性很稳定的农药品种。</w:t>
            </w:r>
          </w:p>
          <w:p w:rsidR="006175A6" w:rsidRDefault="009B4BA7">
            <w:pPr>
              <w:spacing w:line="240" w:lineRule="auto"/>
              <w:ind w:firstLineChars="0" w:firstLine="0"/>
              <w:rPr>
                <w:sz w:val="21"/>
              </w:rPr>
            </w:pPr>
            <w:r>
              <w:rPr>
                <w:rFonts w:hint="eastAsia"/>
                <w:sz w:val="21"/>
              </w:rPr>
              <w:t>③不宜使用易移动、难吸附、水中持留性很稳定的农药品种。</w:t>
            </w:r>
          </w:p>
          <w:p w:rsidR="006175A6" w:rsidRDefault="009B4BA7">
            <w:pPr>
              <w:spacing w:line="240" w:lineRule="auto"/>
              <w:ind w:firstLineChars="0" w:firstLine="0"/>
              <w:rPr>
                <w:sz w:val="21"/>
              </w:rPr>
            </w:pPr>
            <w:r>
              <w:rPr>
                <w:rFonts w:hint="eastAsia"/>
                <w:sz w:val="21"/>
              </w:rPr>
              <w:t>④避免在小溪、河流或池塘等水源中清洗施药器械；清洗过施药器械的水禁止倾倒入饮用水水源。</w:t>
            </w:r>
          </w:p>
        </w:tc>
      </w:tr>
      <w:tr w:rsidR="006175A6">
        <w:trPr>
          <w:trHeight w:val="340"/>
        </w:trPr>
        <w:tc>
          <w:tcPr>
            <w:tcW w:w="479" w:type="pct"/>
            <w:vAlign w:val="center"/>
          </w:tcPr>
          <w:p w:rsidR="006175A6" w:rsidRDefault="009B4BA7">
            <w:pPr>
              <w:spacing w:line="240" w:lineRule="auto"/>
              <w:ind w:firstLineChars="0" w:firstLine="0"/>
              <w:jc w:val="center"/>
              <w:rPr>
                <w:sz w:val="21"/>
              </w:rPr>
            </w:pPr>
            <w:r>
              <w:rPr>
                <w:rFonts w:hint="eastAsia"/>
                <w:sz w:val="21"/>
              </w:rPr>
              <w:t>3</w:t>
            </w:r>
          </w:p>
        </w:tc>
        <w:tc>
          <w:tcPr>
            <w:tcW w:w="666" w:type="pct"/>
            <w:vAlign w:val="center"/>
          </w:tcPr>
          <w:p w:rsidR="006175A6" w:rsidRDefault="009B4BA7">
            <w:pPr>
              <w:spacing w:line="240" w:lineRule="auto"/>
              <w:ind w:firstLineChars="0" w:firstLine="0"/>
              <w:jc w:val="center"/>
              <w:rPr>
                <w:sz w:val="21"/>
              </w:rPr>
            </w:pPr>
            <w:r>
              <w:rPr>
                <w:rFonts w:hint="eastAsia"/>
                <w:sz w:val="21"/>
              </w:rPr>
              <w:t>化肥使用环境安全技术导则</w:t>
            </w:r>
          </w:p>
        </w:tc>
        <w:tc>
          <w:tcPr>
            <w:tcW w:w="3855" w:type="pct"/>
            <w:vAlign w:val="center"/>
          </w:tcPr>
          <w:p w:rsidR="006175A6" w:rsidRDefault="009B4BA7">
            <w:pPr>
              <w:spacing w:line="240" w:lineRule="auto"/>
              <w:ind w:firstLineChars="0" w:firstLine="0"/>
              <w:rPr>
                <w:sz w:val="21"/>
              </w:rPr>
            </w:pPr>
            <w:r>
              <w:rPr>
                <w:rFonts w:hint="eastAsia"/>
                <w:sz w:val="21"/>
              </w:rPr>
              <w:t>①源头控制技术措施</w:t>
            </w:r>
          </w:p>
          <w:p w:rsidR="006175A6" w:rsidRDefault="009B4BA7">
            <w:pPr>
              <w:spacing w:line="240" w:lineRule="auto"/>
              <w:ind w:firstLineChars="0" w:firstLine="0"/>
              <w:rPr>
                <w:sz w:val="21"/>
              </w:rPr>
            </w:pPr>
            <w:r>
              <w:rPr>
                <w:rFonts w:hint="eastAsia"/>
                <w:sz w:val="21"/>
              </w:rPr>
              <w:t>A</w:t>
            </w:r>
            <w:r>
              <w:rPr>
                <w:rFonts w:hint="eastAsia"/>
                <w:sz w:val="21"/>
              </w:rPr>
              <w:t>、化肥品种选择。根据土壤供肥性能、作物营养特性、肥料特性及生态环境特点，合理选择化肥品种。适当增加有机肥料使用比例，提倡配方施肥，施用复合（混）肥料、缓效肥料。</w:t>
            </w:r>
          </w:p>
          <w:p w:rsidR="006175A6" w:rsidRDefault="009B4BA7">
            <w:pPr>
              <w:spacing w:line="240" w:lineRule="auto"/>
              <w:ind w:firstLineChars="0" w:firstLine="0"/>
              <w:rPr>
                <w:sz w:val="21"/>
              </w:rPr>
            </w:pPr>
            <w:r>
              <w:rPr>
                <w:rFonts w:hint="eastAsia"/>
                <w:sz w:val="21"/>
              </w:rPr>
              <w:t>B</w:t>
            </w:r>
            <w:r>
              <w:rPr>
                <w:rFonts w:hint="eastAsia"/>
                <w:sz w:val="21"/>
              </w:rPr>
              <w:t>、化肥用量控制。综合考虑作物种类、产量目标、土壤养分状况、其他养分输入方式、环境敏感程度，确定施肥量。靠近饮用水水源保护区土地要尽量少施或不施化肥。</w:t>
            </w:r>
          </w:p>
          <w:p w:rsidR="006175A6" w:rsidRDefault="009B4BA7">
            <w:pPr>
              <w:spacing w:line="240" w:lineRule="auto"/>
              <w:ind w:firstLineChars="0" w:firstLine="0"/>
              <w:rPr>
                <w:sz w:val="21"/>
              </w:rPr>
            </w:pPr>
            <w:r>
              <w:rPr>
                <w:rFonts w:hint="eastAsia"/>
                <w:sz w:val="21"/>
              </w:rPr>
              <w:t>C</w:t>
            </w:r>
            <w:r>
              <w:rPr>
                <w:rFonts w:hint="eastAsia"/>
                <w:sz w:val="21"/>
              </w:rPr>
              <w:t>、化肥施用方法。化肥尽量施在作物根系吸收区，以提高化肥利用率，减少流失。</w:t>
            </w:r>
          </w:p>
          <w:p w:rsidR="006175A6" w:rsidRDefault="009B4BA7">
            <w:pPr>
              <w:spacing w:line="240" w:lineRule="auto"/>
              <w:ind w:firstLineChars="0" w:firstLine="0"/>
              <w:rPr>
                <w:sz w:val="21"/>
              </w:rPr>
            </w:pPr>
            <w:r>
              <w:rPr>
                <w:rFonts w:hint="eastAsia"/>
                <w:sz w:val="21"/>
              </w:rPr>
              <w:t>②减少化肥流失的措施</w:t>
            </w:r>
          </w:p>
          <w:p w:rsidR="006175A6" w:rsidRDefault="009B4BA7">
            <w:pPr>
              <w:spacing w:line="240" w:lineRule="auto"/>
              <w:ind w:firstLineChars="0" w:firstLine="0"/>
              <w:rPr>
                <w:sz w:val="21"/>
              </w:rPr>
            </w:pPr>
            <w:r>
              <w:rPr>
                <w:rFonts w:hint="eastAsia"/>
                <w:sz w:val="21"/>
              </w:rPr>
              <w:t>A</w:t>
            </w:r>
            <w:r>
              <w:rPr>
                <w:rFonts w:hint="eastAsia"/>
                <w:sz w:val="21"/>
              </w:rPr>
              <w:t>、采用合理的耕作方式。在坡度较大地区，易发生化肥径流流失，应采取保</w:t>
            </w:r>
            <w:r>
              <w:rPr>
                <w:rFonts w:hint="eastAsia"/>
                <w:sz w:val="21"/>
              </w:rPr>
              <w:t xml:space="preserve">  </w:t>
            </w:r>
            <w:r>
              <w:rPr>
                <w:rFonts w:hint="eastAsia"/>
                <w:sz w:val="21"/>
              </w:rPr>
              <w:t>护耕作（免耕或少耕）以减少对土壤的扰动，还可利用秸秆还田减少径流流失。</w:t>
            </w:r>
          </w:p>
          <w:p w:rsidR="006175A6" w:rsidRDefault="009B4BA7">
            <w:pPr>
              <w:spacing w:line="240" w:lineRule="auto"/>
              <w:ind w:firstLineChars="0" w:firstLine="0"/>
              <w:rPr>
                <w:sz w:val="21"/>
              </w:rPr>
            </w:pPr>
            <w:r>
              <w:rPr>
                <w:rFonts w:hint="eastAsia"/>
                <w:sz w:val="21"/>
              </w:rPr>
              <w:t>B</w:t>
            </w:r>
            <w:r>
              <w:rPr>
                <w:rFonts w:hint="eastAsia"/>
                <w:sz w:val="21"/>
              </w:rPr>
              <w:t>、采用合理的灌溉方式。对旱作提倡采用滴灌、喷灌等先进灌溉方式，尽减少大水漫灌；对水田要加强田间水管理，尽量减少农田水的排放。</w:t>
            </w:r>
          </w:p>
          <w:p w:rsidR="006175A6" w:rsidRDefault="009B4BA7">
            <w:pPr>
              <w:spacing w:line="240" w:lineRule="auto"/>
              <w:ind w:firstLineChars="0" w:firstLine="0"/>
              <w:rPr>
                <w:sz w:val="21"/>
              </w:rPr>
            </w:pPr>
            <w:r>
              <w:rPr>
                <w:rFonts w:hint="eastAsia"/>
                <w:sz w:val="21"/>
              </w:rPr>
              <w:t>C</w:t>
            </w:r>
            <w:r>
              <w:rPr>
                <w:rFonts w:hint="eastAsia"/>
                <w:sz w:val="21"/>
              </w:rPr>
              <w:t>、采用适宜的轮作制度。适宜的轮作制度可提高化肥的利用率，减少流失。</w:t>
            </w:r>
          </w:p>
          <w:p w:rsidR="006175A6" w:rsidRDefault="009B4BA7">
            <w:pPr>
              <w:spacing w:line="240" w:lineRule="auto"/>
              <w:ind w:firstLineChars="0" w:firstLine="0"/>
              <w:rPr>
                <w:sz w:val="21"/>
              </w:rPr>
            </w:pPr>
            <w:r>
              <w:rPr>
                <w:rFonts w:hint="eastAsia"/>
                <w:sz w:val="21"/>
              </w:rPr>
              <w:t>D</w:t>
            </w:r>
            <w:r>
              <w:rPr>
                <w:rFonts w:hint="eastAsia"/>
                <w:sz w:val="21"/>
              </w:rPr>
              <w:t>、可利用田间渠道、靠近农田的水塘和沟渠等暂时接纳富营养的农田排水，灌溉时再使用，实现循环利用。</w:t>
            </w:r>
          </w:p>
          <w:p w:rsidR="006175A6" w:rsidRDefault="009B4BA7">
            <w:pPr>
              <w:spacing w:line="240" w:lineRule="auto"/>
              <w:ind w:firstLineChars="0" w:firstLine="0"/>
              <w:rPr>
                <w:sz w:val="21"/>
              </w:rPr>
            </w:pPr>
            <w:r>
              <w:rPr>
                <w:rFonts w:hint="eastAsia"/>
                <w:sz w:val="21"/>
              </w:rPr>
              <w:t>E</w:t>
            </w:r>
            <w:r>
              <w:rPr>
                <w:rFonts w:hint="eastAsia"/>
                <w:sz w:val="21"/>
              </w:rPr>
              <w:t>、在农田和受保护的水体之间，应利用自然生态系统建立缓冲带，或在河滨、湖滨人工设置保护带以拦截过滤从农田流出的养分，提高营养物质的净化能力，防止养分流入周围河流、湖泊和水库等水体。</w:t>
            </w:r>
          </w:p>
          <w:p w:rsidR="006175A6" w:rsidRDefault="009B4BA7">
            <w:pPr>
              <w:spacing w:line="240" w:lineRule="auto"/>
              <w:ind w:firstLineChars="0" w:firstLine="0"/>
              <w:rPr>
                <w:sz w:val="21"/>
              </w:rPr>
            </w:pPr>
            <w:r>
              <w:rPr>
                <w:rFonts w:hint="eastAsia"/>
                <w:sz w:val="21"/>
              </w:rPr>
              <w:t>③化肥环境安全使用管理措施</w:t>
            </w:r>
          </w:p>
          <w:p w:rsidR="006175A6" w:rsidRDefault="009B4BA7">
            <w:pPr>
              <w:spacing w:line="240" w:lineRule="auto"/>
              <w:ind w:firstLineChars="0" w:firstLine="0"/>
              <w:rPr>
                <w:sz w:val="21"/>
              </w:rPr>
            </w:pPr>
            <w:r>
              <w:rPr>
                <w:rFonts w:hint="eastAsia"/>
                <w:sz w:val="21"/>
              </w:rPr>
              <w:t>A</w:t>
            </w:r>
            <w:r>
              <w:rPr>
                <w:rFonts w:hint="eastAsia"/>
                <w:sz w:val="21"/>
              </w:rPr>
              <w:t>、按照清洁生产的原则和循环经济的理念，鼓励农民从事生态农业生产方式，积极促进有机农业的发展，推广农业废弃物无害化、资源化综合利用。</w:t>
            </w:r>
          </w:p>
          <w:p w:rsidR="006175A6" w:rsidRDefault="009B4BA7">
            <w:pPr>
              <w:spacing w:line="240" w:lineRule="auto"/>
              <w:ind w:firstLineChars="0" w:firstLine="0"/>
              <w:rPr>
                <w:sz w:val="21"/>
              </w:rPr>
            </w:pPr>
            <w:r>
              <w:rPr>
                <w:rFonts w:hint="eastAsia"/>
                <w:sz w:val="21"/>
              </w:rPr>
              <w:t>B</w:t>
            </w:r>
            <w:r>
              <w:rPr>
                <w:rFonts w:hint="eastAsia"/>
                <w:sz w:val="21"/>
              </w:rPr>
              <w:t>、基于风险管理的思路，鼓励将高化肥投入的产业（如蔬菜生产）转移到面源污染风险较低的地区。</w:t>
            </w:r>
          </w:p>
          <w:p w:rsidR="006175A6" w:rsidRDefault="009B4BA7">
            <w:pPr>
              <w:spacing w:line="240" w:lineRule="auto"/>
              <w:ind w:firstLineChars="0" w:firstLine="0"/>
              <w:rPr>
                <w:sz w:val="21"/>
              </w:rPr>
            </w:pPr>
            <w:r>
              <w:rPr>
                <w:rFonts w:hint="eastAsia"/>
                <w:sz w:val="21"/>
              </w:rPr>
              <w:t>C</w:t>
            </w:r>
            <w:r>
              <w:rPr>
                <w:rFonts w:hint="eastAsia"/>
                <w:sz w:val="21"/>
              </w:rPr>
              <w:t>、探索建立环境经济补偿制度，对因不施或少施化肥造成经济收入损失的种</w:t>
            </w:r>
            <w:r>
              <w:rPr>
                <w:rFonts w:hint="eastAsia"/>
                <w:sz w:val="21"/>
              </w:rPr>
              <w:t xml:space="preserve">  </w:t>
            </w:r>
            <w:r>
              <w:rPr>
                <w:rFonts w:hint="eastAsia"/>
                <w:sz w:val="21"/>
              </w:rPr>
              <w:t>植业主实行经济补偿。</w:t>
            </w:r>
          </w:p>
          <w:p w:rsidR="006175A6" w:rsidRDefault="009B4BA7">
            <w:pPr>
              <w:spacing w:line="240" w:lineRule="auto"/>
              <w:ind w:firstLineChars="0" w:firstLine="0"/>
              <w:rPr>
                <w:sz w:val="21"/>
              </w:rPr>
            </w:pPr>
            <w:r>
              <w:rPr>
                <w:rFonts w:hint="eastAsia"/>
                <w:sz w:val="21"/>
              </w:rPr>
              <w:t>D</w:t>
            </w:r>
            <w:r>
              <w:rPr>
                <w:rFonts w:hint="eastAsia"/>
                <w:sz w:val="21"/>
              </w:rPr>
              <w:t>、鼓励化肥减量化使用技术、农田流失养分的生态拦截技术的研发与</w:t>
            </w:r>
            <w:r>
              <w:rPr>
                <w:rFonts w:hint="eastAsia"/>
                <w:sz w:val="21"/>
              </w:rPr>
              <w:lastRenderedPageBreak/>
              <w:t>工程应用。加强农业生产区域的环境监测，及时掌握农田化肥流失后的环境影响。</w:t>
            </w:r>
          </w:p>
          <w:p w:rsidR="006175A6" w:rsidRDefault="009B4BA7">
            <w:pPr>
              <w:spacing w:line="240" w:lineRule="auto"/>
              <w:ind w:firstLineChars="0" w:firstLine="0"/>
              <w:rPr>
                <w:sz w:val="21"/>
              </w:rPr>
            </w:pPr>
            <w:r>
              <w:rPr>
                <w:rFonts w:hint="eastAsia"/>
                <w:sz w:val="21"/>
              </w:rPr>
              <w:t>E</w:t>
            </w:r>
            <w:r>
              <w:rPr>
                <w:rFonts w:hint="eastAsia"/>
                <w:sz w:val="21"/>
              </w:rPr>
              <w:t>、结合生态县的建设，探索实行区域化肥使用总量控制。</w:t>
            </w:r>
          </w:p>
          <w:p w:rsidR="006175A6" w:rsidRDefault="009B4BA7">
            <w:pPr>
              <w:spacing w:line="240" w:lineRule="auto"/>
              <w:ind w:firstLineChars="0" w:firstLine="0"/>
              <w:rPr>
                <w:sz w:val="21"/>
              </w:rPr>
            </w:pPr>
            <w:r>
              <w:rPr>
                <w:rFonts w:hint="eastAsia"/>
                <w:sz w:val="21"/>
              </w:rPr>
              <w:t>F</w:t>
            </w:r>
            <w:r>
              <w:rPr>
                <w:rFonts w:hint="eastAsia"/>
                <w:sz w:val="21"/>
              </w:rPr>
              <w:t>、加强宣传教育和科普推广，充分发挥农业技术推广服务机构的职能，提高公众对不合理使用化肥所产生危害的认识。</w:t>
            </w:r>
          </w:p>
        </w:tc>
      </w:tr>
    </w:tbl>
    <w:p w:rsidR="006175A6" w:rsidRDefault="009B4BA7">
      <w:pPr>
        <w:pStyle w:val="3"/>
      </w:pPr>
      <w:r>
        <w:rPr>
          <w:rFonts w:hint="eastAsia"/>
        </w:rPr>
        <w:lastRenderedPageBreak/>
        <w:t>溃坝风险防范措施</w:t>
      </w:r>
    </w:p>
    <w:p w:rsidR="006175A6" w:rsidRDefault="009B4BA7">
      <w:pPr>
        <w:ind w:firstLine="480"/>
      </w:pPr>
      <w:r>
        <w:rPr>
          <w:rFonts w:hint="eastAsia"/>
        </w:rPr>
        <w:t>为了确保该项目水库大坝安全，除害兴利，延长库坝寿命，充分发挥效益，努力避免垮坝灾害风险，该项目建设从勘测、设计、施工、运行全过程中应采取各种有效的防范和应急措施，做到防患未然，防微杜渐。</w:t>
      </w:r>
    </w:p>
    <w:p w:rsidR="006175A6" w:rsidRDefault="009B4BA7">
      <w:pPr>
        <w:ind w:firstLine="480"/>
      </w:pPr>
      <w:r>
        <w:rPr>
          <w:rFonts w:hint="eastAsia"/>
        </w:rPr>
        <w:t>根据该项目库坝环境风险原因分析结果，参照国内外库坝安全工作研究成果，针对可能引起库坝破坏和溃决的主要原因，提出如下防范和应急措施：</w:t>
      </w:r>
    </w:p>
    <w:p w:rsidR="006175A6" w:rsidRDefault="009B4BA7">
      <w:pPr>
        <w:ind w:firstLine="480"/>
      </w:pPr>
      <w:r>
        <w:rPr>
          <w:rFonts w:hint="eastAsia"/>
        </w:rPr>
        <w:t>①认真贯彻执行《水库大坝安全管理条例》。</w:t>
      </w:r>
    </w:p>
    <w:p w:rsidR="006175A6" w:rsidRDefault="009B4BA7">
      <w:pPr>
        <w:ind w:firstLine="480"/>
      </w:pPr>
      <w:r>
        <w:rPr>
          <w:rFonts w:hint="eastAsia"/>
        </w:rPr>
        <w:t>②严格按照水电项目管理程序办事。为防止发生水库大坝破坏和溃决，应依次做好勘测、设计、施工、验收、运行、鉴定、加固工作。</w:t>
      </w:r>
    </w:p>
    <w:p w:rsidR="006175A6" w:rsidRDefault="009B4BA7">
      <w:pPr>
        <w:ind w:firstLine="480"/>
      </w:pPr>
      <w:r>
        <w:rPr>
          <w:rFonts w:hint="eastAsia"/>
        </w:rPr>
        <w:t>③加强工程地质勘测工作。该项目库区、坝址、厂址工程地质条件较为复杂，应进行详细的工程地质和地下水文调查，继续查明情况。</w:t>
      </w:r>
    </w:p>
    <w:p w:rsidR="006175A6" w:rsidRDefault="009B4BA7">
      <w:pPr>
        <w:ind w:firstLine="480"/>
      </w:pPr>
      <w:r>
        <w:rPr>
          <w:rFonts w:hint="eastAsia"/>
        </w:rPr>
        <w:t>④严格按照规范精心设计。建议全面考虑整体工程布置，合理规划布局，认真勘测设计，优化工程设计和施工方案。</w:t>
      </w:r>
    </w:p>
    <w:p w:rsidR="006175A6" w:rsidRDefault="009B4BA7">
      <w:pPr>
        <w:ind w:firstLine="480"/>
      </w:pPr>
      <w:r>
        <w:rPr>
          <w:rFonts w:hint="eastAsia"/>
        </w:rPr>
        <w:t>⑤加强工程施工质量管理。为确保水库安全运行，库坝建设施工期必须树立“百年大计，质评量第一”的观念，加强工程施工监理，组织工程质量监督、检查、评估和验收，做到施工工艺规范、施工用材合理和施工作业严格，并做好遗留尾工处理，保证工程质量，杜绝“豆腐渣”工程。</w:t>
      </w:r>
    </w:p>
    <w:p w:rsidR="006175A6" w:rsidRDefault="009B4BA7">
      <w:pPr>
        <w:ind w:firstLine="480"/>
      </w:pPr>
      <w:r>
        <w:rPr>
          <w:rFonts w:hint="eastAsia"/>
        </w:rPr>
        <w:t>⑥加强水库运行技术管理。为确保水库安全运行，库坝投产运行期必须建立健全水库运行调度和安全操作技术体系，提高技术管理水平，合理编制水库防洪预案和调度运用计划，遵守水库安全操作规定；重视大坝安全监测、鉴定工作，加强库岸坝体防护加固和闸门吊车维修养护，设置满足大坝安全观测设施，经常检查和定期观测大坝安全情况，并对洪水数据进行复核，做到及时发现问题及时采取措施，杜绝水库带病冒险运行；重视建设可靠的预报、预警系统和改善交通、通讯设施，制定应急度汛计划，做到洪水来前有准备，洪水来时有对策，并设置满足闸门启闭备用电源和设备，</w:t>
      </w:r>
      <w:r>
        <w:rPr>
          <w:rFonts w:hint="eastAsia"/>
        </w:rPr>
        <w:t xml:space="preserve"> </w:t>
      </w:r>
      <w:r>
        <w:rPr>
          <w:rFonts w:hint="eastAsia"/>
        </w:rPr>
        <w:t>保证及时宣泄洪水。对超标的特大暴雨洪水，应事先作好非常泄洪措施的准备，并应事先通知下游作好防汛抢险准备。</w:t>
      </w:r>
    </w:p>
    <w:p w:rsidR="006175A6" w:rsidRDefault="009B4BA7">
      <w:pPr>
        <w:ind w:firstLine="480"/>
      </w:pPr>
      <w:r>
        <w:rPr>
          <w:rFonts w:hint="eastAsia"/>
        </w:rPr>
        <w:lastRenderedPageBreak/>
        <w:t>⑦禁止库区引发滑塌作业。库坝投产运行期还应禁止在库区内外附近周围炸石和炸鱼等爆破活动以及在库区和坝下附近河段两岸边坡随意堆放大量物料和建筑，以免引起滑塌。同时根据《中华人民共和国防洪法》、《中华人民共和国防汛条例》、《水库大坝安全管理条例》等法律、法规规定，结合实际情况应当制定溃坝风险事故应急救援预案，配备应急救援人员和必要的应急救援器材、设备，并定期组织演练。</w:t>
      </w:r>
    </w:p>
    <w:p w:rsidR="006175A6" w:rsidRDefault="009B4BA7">
      <w:pPr>
        <w:pStyle w:val="2"/>
      </w:pPr>
      <w:bookmarkStart w:id="88" w:name="_Toc80170130"/>
      <w:r>
        <w:rPr>
          <w:rFonts w:hint="eastAsia"/>
        </w:rPr>
        <w:t>应急预案</w:t>
      </w:r>
      <w:bookmarkEnd w:id="88"/>
    </w:p>
    <w:p w:rsidR="006175A6" w:rsidRDefault="009B4BA7">
      <w:pPr>
        <w:ind w:firstLine="480"/>
      </w:pPr>
      <w:r>
        <w:rPr>
          <w:rFonts w:hint="eastAsia"/>
        </w:rPr>
        <w:t>为预防风险事件对供水安全的影响，按照《突发环境事件应急管理办法》（环境保护部令</w:t>
      </w:r>
      <w:r>
        <w:rPr>
          <w:rFonts w:hint="eastAsia"/>
        </w:rPr>
        <w:t xml:space="preserve"> 2015 </w:t>
      </w:r>
      <w:r>
        <w:rPr>
          <w:rFonts w:hint="eastAsia"/>
        </w:rPr>
        <w:t>年第</w:t>
      </w:r>
      <w:r>
        <w:rPr>
          <w:rFonts w:hint="eastAsia"/>
        </w:rPr>
        <w:t xml:space="preserve">34 </w:t>
      </w:r>
      <w:r>
        <w:rPr>
          <w:rFonts w:hint="eastAsia"/>
        </w:rPr>
        <w:t>号）、《关于切实加强风险防范严格环境影响评价管理的通知》（环发</w:t>
      </w:r>
      <w:r>
        <w:rPr>
          <w:rFonts w:hint="eastAsia"/>
        </w:rPr>
        <w:t>[2012]98</w:t>
      </w:r>
      <w:r>
        <w:rPr>
          <w:rFonts w:hint="eastAsia"/>
        </w:rPr>
        <w:t>号）要求，企业事业单位应当按照相关法律法规和标准规范的要求，履行下列义务：（一）开展突发环境事件风险评估；（二）完善突发环境事件风险防范措施；（三）排查治理环境安全隐患；（四）制定突发环境事件应急预案并备案、演练；（五）加强环境应急能力保障建设。</w:t>
      </w:r>
    </w:p>
    <w:p w:rsidR="006175A6" w:rsidRDefault="009B4BA7">
      <w:pPr>
        <w:ind w:firstLine="480"/>
      </w:pPr>
      <w:r>
        <w:rPr>
          <w:rFonts w:hint="eastAsia"/>
        </w:rPr>
        <w:t>根据《《集中式地表水饮用水水源地突发环境事件应急预案编制指南（试行）》（</w:t>
      </w:r>
      <w:r>
        <w:rPr>
          <w:rFonts w:hint="eastAsia"/>
        </w:rPr>
        <w:t>2018.3.23</w:t>
      </w:r>
      <w:r>
        <w:rPr>
          <w:rFonts w:hint="eastAsia"/>
        </w:rPr>
        <w:t>），项目应设置水源水质保护应急预案，应急响应工作程序如下：</w:t>
      </w:r>
    </w:p>
    <w:p w:rsidR="006175A6" w:rsidRDefault="009B4BA7">
      <w:pPr>
        <w:ind w:firstLineChars="0" w:firstLine="0"/>
        <w:jc w:val="center"/>
      </w:pPr>
      <w:r>
        <w:rPr>
          <w:noProof/>
        </w:rPr>
        <w:lastRenderedPageBreak/>
        <w:drawing>
          <wp:inline distT="0" distB="0" distL="0" distR="0" wp14:anchorId="303AA6CE" wp14:editId="551DF0F2">
            <wp:extent cx="4528820" cy="64262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4526914" cy="6423606"/>
                    </a:xfrm>
                    <a:prstGeom prst="rect">
                      <a:avLst/>
                    </a:prstGeom>
                  </pic:spPr>
                </pic:pic>
              </a:graphicData>
            </a:graphic>
          </wp:inline>
        </w:drawing>
      </w:r>
    </w:p>
    <w:p w:rsidR="006175A6" w:rsidRDefault="009B4BA7">
      <w:pPr>
        <w:pStyle w:val="a3"/>
      </w:pPr>
      <w:r>
        <w:rPr>
          <w:rFonts w:hint="eastAsia"/>
        </w:rPr>
        <w:t>图</w:t>
      </w:r>
      <w:r>
        <w:rPr>
          <w:rFonts w:hint="eastAsia"/>
        </w:rPr>
        <w:t xml:space="preserve"> </w:t>
      </w:r>
      <w:r w:rsidR="00AC2588">
        <w:fldChar w:fldCharType="begin"/>
      </w:r>
      <w:r w:rsidR="00AC2588">
        <w:instrText xml:space="preserve"> </w:instrText>
      </w:r>
      <w:r w:rsidR="00AC2588">
        <w:rPr>
          <w:rFonts w:hint="eastAsia"/>
        </w:rPr>
        <w:instrText>STYLEREF 2 \s</w:instrText>
      </w:r>
      <w:r w:rsidR="00AC2588">
        <w:instrText xml:space="preserve"> </w:instrText>
      </w:r>
      <w:r w:rsidR="00AC2588">
        <w:fldChar w:fldCharType="separate"/>
      </w:r>
      <w:r w:rsidR="00E97427">
        <w:rPr>
          <w:noProof/>
        </w:rPr>
        <w:t>7.8</w:t>
      </w:r>
      <w:r w:rsidR="00AC2588">
        <w:fldChar w:fldCharType="end"/>
      </w:r>
      <w:r w:rsidR="00AC2588">
        <w:noBreakHyphen/>
      </w:r>
      <w:r w:rsidR="00AC2588">
        <w:fldChar w:fldCharType="begin"/>
      </w:r>
      <w:r w:rsidR="00AC2588">
        <w:instrText xml:space="preserve"> </w:instrText>
      </w:r>
      <w:r w:rsidR="00AC2588">
        <w:rPr>
          <w:rFonts w:hint="eastAsia"/>
        </w:rPr>
        <w:instrText xml:space="preserve">SEQ </w:instrText>
      </w:r>
      <w:r w:rsidR="00AC2588">
        <w:rPr>
          <w:rFonts w:hint="eastAsia"/>
        </w:rPr>
        <w:instrText>图</w:instrText>
      </w:r>
      <w:r w:rsidR="00AC2588">
        <w:rPr>
          <w:rFonts w:hint="eastAsia"/>
        </w:rPr>
        <w:instrText xml:space="preserve"> \* ARABIC \s 2</w:instrText>
      </w:r>
      <w:r w:rsidR="00AC2588">
        <w:instrText xml:space="preserve"> </w:instrText>
      </w:r>
      <w:r w:rsidR="00AC2588">
        <w:fldChar w:fldCharType="separate"/>
      </w:r>
      <w:r w:rsidR="00E97427">
        <w:rPr>
          <w:noProof/>
        </w:rPr>
        <w:t>1</w:t>
      </w:r>
      <w:r w:rsidR="00AC2588">
        <w:fldChar w:fldCharType="end"/>
      </w:r>
      <w:r>
        <w:rPr>
          <w:rFonts w:hint="eastAsia"/>
        </w:rPr>
        <w:t xml:space="preserve">  </w:t>
      </w:r>
      <w:r>
        <w:rPr>
          <w:rFonts w:hint="eastAsia"/>
        </w:rPr>
        <w:t>突发环境风险事故应急响应</w:t>
      </w:r>
    </w:p>
    <w:p w:rsidR="006175A6" w:rsidRDefault="009B4BA7">
      <w:pPr>
        <w:ind w:firstLine="480"/>
      </w:pPr>
      <w:r>
        <w:rPr>
          <w:rFonts w:hint="eastAsia"/>
        </w:rPr>
        <w:t>根据同类型的水库制定的应急预案，采取的监控和应急措施包括：</w:t>
      </w:r>
    </w:p>
    <w:p w:rsidR="006175A6" w:rsidRDefault="009B4BA7">
      <w:pPr>
        <w:ind w:firstLine="480"/>
      </w:pPr>
      <w:r>
        <w:rPr>
          <w:rFonts w:hint="eastAsia"/>
        </w:rPr>
        <w:t>①设立水源水质自动监测点，对突发污染事件或累积性污染事件进行长期监测与预警。同时，水源水质自动监测的数据，即可为水厂制水提供季节性和时段性的参考，又可为深度处理的实施提供有力的依据。</w:t>
      </w:r>
    </w:p>
    <w:p w:rsidR="006175A6" w:rsidRDefault="009B4BA7">
      <w:pPr>
        <w:ind w:firstLine="480"/>
      </w:pPr>
      <w:r>
        <w:rPr>
          <w:rFonts w:hint="eastAsia"/>
        </w:rPr>
        <w:t>②在水源地边界应设置明显的水源保护标识。</w:t>
      </w:r>
    </w:p>
    <w:p w:rsidR="006175A6" w:rsidRDefault="009B4BA7">
      <w:pPr>
        <w:ind w:firstLine="480"/>
      </w:pPr>
      <w:r>
        <w:rPr>
          <w:rFonts w:hint="eastAsia"/>
        </w:rPr>
        <w:t>③发生一般污染风险事故时，立即督促供水企业采取停水、减压供水、改路</w:t>
      </w:r>
      <w:r>
        <w:rPr>
          <w:rFonts w:hint="eastAsia"/>
        </w:rPr>
        <w:lastRenderedPageBreak/>
        <w:t>供水，启用备用水源；迅速采取有效措施，降低污染物浓度和影响程度，关闭相应的闸口，将受污染水体疏导排放至安全区域，并通知沿途居民停止取水、用水；必要时对水厂停止供水或采取保护措施。</w:t>
      </w:r>
    </w:p>
    <w:p w:rsidR="006175A6" w:rsidRDefault="009B4BA7">
      <w:pPr>
        <w:ind w:firstLine="480"/>
      </w:pPr>
      <w:r>
        <w:rPr>
          <w:rFonts w:hint="eastAsia"/>
        </w:rPr>
        <w:t>④如是危险品事故，在第③条的基础上，公安部门实施交通管制、疏散人群、保护高危人群等措施，保护公众生命安全与身体健康。公安交警部门迅速处置事故车辆，向有关部门报告事故情况，并协助做好危险化学品的收储工作，防止污染进一步蔓延；公安消防部门迅速处置因危险化学品污染事故引发的火灾，参加有关危险化学品的处置工作。环保部门按照其预先制定的应急预案，迅速采取有效措施，消除污染源，开展应急现场监测工作，跟踪水质变化情况。</w:t>
      </w:r>
    </w:p>
    <w:p w:rsidR="006175A6" w:rsidRDefault="009B4BA7">
      <w:pPr>
        <w:pStyle w:val="2"/>
      </w:pPr>
      <w:bookmarkStart w:id="89" w:name="_Toc80170131"/>
      <w:r>
        <w:rPr>
          <w:rFonts w:hint="eastAsia"/>
        </w:rPr>
        <w:t>环境风险评价结论</w:t>
      </w:r>
      <w:bookmarkEnd w:id="89"/>
    </w:p>
    <w:p w:rsidR="006175A6" w:rsidRDefault="009B4BA7">
      <w:pPr>
        <w:ind w:firstLine="480"/>
        <w:sectPr w:rsidR="006175A6">
          <w:pgSz w:w="11906" w:h="16838"/>
          <w:pgMar w:top="1440" w:right="1800" w:bottom="1440" w:left="1800" w:header="851" w:footer="992" w:gutter="0"/>
          <w:cols w:space="425"/>
          <w:docGrid w:type="lines" w:linePitch="312"/>
        </w:sectPr>
      </w:pPr>
      <w:r>
        <w:rPr>
          <w:rFonts w:hint="eastAsia"/>
        </w:rPr>
        <w:t>根据上述分析，项目运行过程中主要存在风险类别包括汽油、柴油储罐泄漏、燃爆等。在采取有效大气风险防范措施、事故废水环境风险防范措施、地下水环境风险防范措施后，可将风险减小到最低，控制在可接受水平。同时，通过制定应急预案，增强企业应对环境风险的能力，一旦发生事故迅速反应，采取合理的应对方式，并立即向政府有关部门汇报，寻求社会支援，可将环境风险危害控制在可接受的范围，不对周围环境造成较大影响。</w:t>
      </w:r>
    </w:p>
    <w:p w:rsidR="006175A6" w:rsidRDefault="009B4BA7">
      <w:pPr>
        <w:pStyle w:val="1"/>
      </w:pPr>
      <w:bookmarkStart w:id="90" w:name="_Toc80170132"/>
      <w:r>
        <w:rPr>
          <w:rFonts w:hint="eastAsia"/>
        </w:rPr>
        <w:lastRenderedPageBreak/>
        <w:t>环境保护措施</w:t>
      </w:r>
      <w:bookmarkEnd w:id="90"/>
    </w:p>
    <w:p w:rsidR="006175A6" w:rsidRDefault="009B4BA7">
      <w:pPr>
        <w:pStyle w:val="2"/>
      </w:pPr>
      <w:bookmarkStart w:id="91" w:name="_Toc80170133"/>
      <w:r>
        <w:rPr>
          <w:rFonts w:hint="eastAsia"/>
        </w:rPr>
        <w:t>生态保护与恢复措施</w:t>
      </w:r>
      <w:bookmarkEnd w:id="91"/>
    </w:p>
    <w:p w:rsidR="006175A6" w:rsidRDefault="009B4BA7">
      <w:pPr>
        <w:pStyle w:val="3"/>
      </w:pPr>
      <w:r>
        <w:rPr>
          <w:rFonts w:hint="eastAsia"/>
        </w:rPr>
        <w:t>对植物资源的防护和恢复措施</w:t>
      </w:r>
    </w:p>
    <w:p w:rsidR="006175A6" w:rsidRDefault="009B4BA7">
      <w:pPr>
        <w:pStyle w:val="4"/>
      </w:pPr>
      <w:r>
        <w:rPr>
          <w:rFonts w:hint="eastAsia"/>
        </w:rPr>
        <w:t>施工期植物保护措施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避让措施</w:t>
      </w:r>
    </w:p>
    <w:p w:rsidR="006175A6" w:rsidRDefault="009B4BA7">
      <w:pPr>
        <w:ind w:firstLine="480"/>
      </w:pPr>
      <w:r>
        <w:rPr>
          <w:rFonts w:hint="eastAsia"/>
        </w:rPr>
        <w:t>加强施工人员对植物的保护意识，禁止施工人员对野外植被滥砍滥伐。加大珍稀植物宣传保护的力度，并采取各种方式如宣传栏、挂牌等，让施工人员了解保护的重要性。通过宣传植物的显著的特征，使施工人员会识别分布在此地的保护植物，避免对保护植物的伤害。</w:t>
      </w:r>
    </w:p>
    <w:p w:rsidR="006175A6" w:rsidRDefault="00E97427">
      <w:pPr>
        <w:ind w:firstLine="480"/>
      </w:pPr>
      <w:r>
        <w:rPr>
          <w:rFonts w:hint="eastAsia"/>
        </w:rPr>
        <w:t>（</w:t>
      </w:r>
      <w:r w:rsidR="009B4BA7">
        <w:rPr>
          <w:rFonts w:hint="eastAsia"/>
        </w:rPr>
        <w:t>2</w:t>
      </w:r>
      <w:r>
        <w:rPr>
          <w:rFonts w:hint="eastAsia"/>
        </w:rPr>
        <w:t>）</w:t>
      </w:r>
      <w:r w:rsidR="009B4BA7">
        <w:rPr>
          <w:rFonts w:hint="eastAsia"/>
        </w:rPr>
        <w:t>避免措施</w:t>
      </w:r>
    </w:p>
    <w:p w:rsidR="006175A6" w:rsidRDefault="009B4BA7">
      <w:pPr>
        <w:ind w:firstLine="480"/>
      </w:pPr>
      <w:r>
        <w:rPr>
          <w:rFonts w:hint="eastAsia"/>
        </w:rPr>
        <w:t>在施工过程中，工程单位与环保部门应该互相合作，发现了评价范围内保护植物和古大树种，应立即报告当地环保部门，采取组织挽救，移栽他处。</w:t>
      </w:r>
    </w:p>
    <w:p w:rsidR="006175A6" w:rsidRDefault="00E97427">
      <w:pPr>
        <w:ind w:firstLine="480"/>
      </w:pPr>
      <w:r>
        <w:rPr>
          <w:rFonts w:hint="eastAsia"/>
        </w:rPr>
        <w:t>（</w:t>
      </w:r>
      <w:r w:rsidR="009B4BA7">
        <w:rPr>
          <w:rFonts w:hint="eastAsia"/>
        </w:rPr>
        <w:t>3</w:t>
      </w:r>
      <w:r>
        <w:rPr>
          <w:rFonts w:hint="eastAsia"/>
        </w:rPr>
        <w:t>）</w:t>
      </w:r>
      <w:r w:rsidR="009B4BA7">
        <w:rPr>
          <w:rFonts w:hint="eastAsia"/>
        </w:rPr>
        <w:t>恢复措施</w:t>
      </w:r>
    </w:p>
    <w:p w:rsidR="006175A6" w:rsidRDefault="009B4BA7">
      <w:pPr>
        <w:ind w:firstLine="480"/>
      </w:pPr>
      <w:r>
        <w:rPr>
          <w:rFonts w:hint="eastAsia"/>
        </w:rPr>
        <w:t>①施工结束后，对于标志装和伴行道等永久占用的植被，应采取异地补偿的方式减缓对林地的破坏；</w:t>
      </w:r>
    </w:p>
    <w:p w:rsidR="006175A6" w:rsidRDefault="009B4BA7">
      <w:pPr>
        <w:ind w:firstLine="480"/>
      </w:pPr>
      <w:r>
        <w:rPr>
          <w:rFonts w:hint="eastAsia"/>
        </w:rPr>
        <w:t>②对于作业带和施工便道等临时占用的植被，在引水管线两侧</w:t>
      </w:r>
      <w:r>
        <w:rPr>
          <w:rFonts w:hint="eastAsia"/>
        </w:rPr>
        <w:t>5m</w:t>
      </w:r>
      <w:r>
        <w:rPr>
          <w:rFonts w:hint="eastAsia"/>
        </w:rPr>
        <w:t>内不宜种植深根植物，可改为灌草丛方式来进行生态补偿，并需在其他规划的地区补偿相应面积的林地；</w:t>
      </w:r>
    </w:p>
    <w:p w:rsidR="006175A6" w:rsidRDefault="009B4BA7">
      <w:pPr>
        <w:ind w:firstLine="480"/>
      </w:pPr>
      <w:r>
        <w:rPr>
          <w:rFonts w:hint="eastAsia"/>
        </w:rPr>
        <w:t>③引水管线覆土后施工便道两侧裸露的地面应覆盖一层</w:t>
      </w:r>
      <w:r>
        <w:rPr>
          <w:rFonts w:hint="eastAsia"/>
        </w:rPr>
        <w:t>30cm</w:t>
      </w:r>
      <w:r>
        <w:rPr>
          <w:rFonts w:hint="eastAsia"/>
        </w:rPr>
        <w:t>以上的土层，然后再播撒草籽，种植乔灌木，栽植花、草等措施。</w:t>
      </w:r>
    </w:p>
    <w:p w:rsidR="006175A6" w:rsidRDefault="009B4BA7">
      <w:pPr>
        <w:ind w:firstLine="480"/>
      </w:pPr>
      <w:r>
        <w:rPr>
          <w:rFonts w:hint="eastAsia"/>
        </w:rPr>
        <w:t>④妥善处理弃渣、渣场选择要合理，渣场要进行表层土剥离，填土编织袋围护，设临时挡土墙、排水沟，土地平整、覆土恢复植被。</w:t>
      </w:r>
    </w:p>
    <w:p w:rsidR="006175A6" w:rsidRDefault="00E97427">
      <w:pPr>
        <w:ind w:firstLine="480"/>
      </w:pPr>
      <w:r>
        <w:rPr>
          <w:rFonts w:hint="eastAsia"/>
        </w:rPr>
        <w:t>（</w:t>
      </w:r>
      <w:r w:rsidR="009B4BA7">
        <w:rPr>
          <w:rFonts w:hint="eastAsia"/>
        </w:rPr>
        <w:t>4</w:t>
      </w:r>
      <w:r>
        <w:rPr>
          <w:rFonts w:hint="eastAsia"/>
        </w:rPr>
        <w:t>）</w:t>
      </w:r>
      <w:r w:rsidR="009B4BA7">
        <w:rPr>
          <w:rFonts w:hint="eastAsia"/>
        </w:rPr>
        <w:t>管理措施</w:t>
      </w:r>
    </w:p>
    <w:p w:rsidR="006175A6" w:rsidRDefault="009B4BA7">
      <w:pPr>
        <w:ind w:firstLine="480"/>
      </w:pPr>
      <w:r>
        <w:rPr>
          <w:rFonts w:hint="eastAsia"/>
        </w:rPr>
        <w:t>在施工中应加强施工管理，合理进行施工布置，组织施工管理。</w:t>
      </w:r>
    </w:p>
    <w:p w:rsidR="006175A6" w:rsidRDefault="009B4BA7">
      <w:pPr>
        <w:ind w:firstLine="480"/>
      </w:pPr>
      <w:r>
        <w:rPr>
          <w:rFonts w:hint="eastAsia"/>
        </w:rPr>
        <w:t>严格将工程施工区控制在直接受影响的范围内，对边界以外的植被应不破坏或尽量减少破坏，两侧植被恢复除考虑管道防护、水土保持外，使水保、绿化、美化、环保有机结合为一体。</w:t>
      </w:r>
    </w:p>
    <w:p w:rsidR="006175A6" w:rsidRDefault="009B4BA7">
      <w:pPr>
        <w:ind w:firstLine="480"/>
      </w:pPr>
      <w:r>
        <w:rPr>
          <w:rFonts w:hint="eastAsia"/>
        </w:rPr>
        <w:lastRenderedPageBreak/>
        <w:t>另外，在施工期，应加强环境监理，将施工期已发现的保护物种纳入环境监理的范畴，监理完善的管理体系，使对保护植物的保护做到有法可依，执法有效，确保国家重点保护植物资源的安全。</w:t>
      </w:r>
    </w:p>
    <w:p w:rsidR="006175A6" w:rsidRDefault="009B4BA7">
      <w:pPr>
        <w:pStyle w:val="4"/>
      </w:pPr>
      <w:r>
        <w:rPr>
          <w:rFonts w:hint="eastAsia"/>
        </w:rPr>
        <w:t>移民安置植物保护措施</w:t>
      </w:r>
    </w:p>
    <w:p w:rsidR="006175A6" w:rsidRDefault="009B4BA7">
      <w:pPr>
        <w:ind w:firstLine="480"/>
      </w:pPr>
      <w:r>
        <w:rPr>
          <w:rFonts w:hint="eastAsia"/>
        </w:rPr>
        <w:t>本项目移民安置主要为生产安置，结合库区移民情况，合理利用土地资源，在移民安置生产的同时，要利用荒山、荒坡，房前屋后植树造林，积极推广庭院生态，绿化环境，调整种植结构，使移民在短期内恢复和提高现有的生活水平。建议移民安置尽量选择非林地区域安置，以减少林地的损失。在未被开垦的生长有良好林地的区域，严禁安置居民和在评价区周围山上开荒，以确保森林植被不致遭破坏，防止水土流失，为区域可持续性发展奠定基础。</w:t>
      </w:r>
    </w:p>
    <w:p w:rsidR="006175A6" w:rsidRDefault="009B4BA7">
      <w:pPr>
        <w:ind w:firstLine="480"/>
      </w:pPr>
      <w:r>
        <w:rPr>
          <w:rFonts w:hint="eastAsia"/>
        </w:rPr>
        <w:t>强化水土流失的综合治理，做好水土保持规划，增加资金和劳力投入，与植树造林相结合。</w:t>
      </w:r>
    </w:p>
    <w:p w:rsidR="006175A6" w:rsidRDefault="009B4BA7">
      <w:pPr>
        <w:pStyle w:val="4"/>
      </w:pPr>
      <w:r>
        <w:rPr>
          <w:rFonts w:hint="eastAsia"/>
        </w:rPr>
        <w:t>生态影响的恢复和补偿措施</w:t>
      </w:r>
    </w:p>
    <w:p w:rsidR="006175A6" w:rsidRDefault="009B4BA7">
      <w:pPr>
        <w:ind w:firstLine="480"/>
      </w:pPr>
      <w:r>
        <w:rPr>
          <w:rFonts w:hint="eastAsia"/>
        </w:rPr>
        <w:t>植被保护措施主要是植被恢复措施，根据当地的气候特点，在植被恢复措施中应注意的技术要点有：</w:t>
      </w:r>
    </w:p>
    <w:p w:rsidR="006175A6" w:rsidRDefault="00E97427">
      <w:pPr>
        <w:ind w:firstLine="480"/>
      </w:pPr>
      <w:r>
        <w:rPr>
          <w:rFonts w:hint="eastAsia"/>
        </w:rPr>
        <w:t>（</w:t>
      </w:r>
      <w:r w:rsidR="009B4BA7">
        <w:rPr>
          <w:rFonts w:hint="eastAsia"/>
        </w:rPr>
        <w:t>1</w:t>
      </w:r>
      <w:r>
        <w:rPr>
          <w:rFonts w:hint="eastAsia"/>
        </w:rPr>
        <w:t>）</w:t>
      </w:r>
      <w:r w:rsidR="009B4BA7">
        <w:rPr>
          <w:rFonts w:hint="eastAsia"/>
        </w:rPr>
        <w:t>植被恢复措施</w:t>
      </w:r>
    </w:p>
    <w:p w:rsidR="006175A6" w:rsidRDefault="009B4BA7">
      <w:pPr>
        <w:ind w:firstLine="480"/>
      </w:pPr>
      <w:r>
        <w:rPr>
          <w:rFonts w:hint="eastAsia"/>
        </w:rPr>
        <w:t>工程完工后，及时选择抗逆性强、适应性强、生长快、自我繁殖和更新能力的乡土树种、草种恢复弃渣区、临时占用地及其它裸露区域的植被，切实减少水土流失，确保植被少受影响，区域景观不受破坏。</w:t>
      </w:r>
    </w:p>
    <w:p w:rsidR="006175A6" w:rsidRDefault="009B4BA7">
      <w:pPr>
        <w:ind w:firstLine="480"/>
      </w:pPr>
      <w:r>
        <w:rPr>
          <w:rFonts w:hint="eastAsia"/>
        </w:rPr>
        <w:t>植物选择和栽种的一般原则：在项目植被恢复建设过程中除考虑选择适合当地适生速成树种外，在布局上还应考虑多种树种的交错分布，既提高植物种类的多样性又不至于太大改变原来的生态组分，增强其稳定性。另外修复树种种苗的选择应经过严格检疫，防止引入病害。</w:t>
      </w:r>
    </w:p>
    <w:p w:rsidR="006175A6" w:rsidRDefault="009B4BA7">
      <w:pPr>
        <w:ind w:firstLine="480"/>
      </w:pPr>
      <w:r>
        <w:rPr>
          <w:rFonts w:hint="eastAsia"/>
        </w:rPr>
        <w:t>因本次现状调查的范围有限，在施工过程中应加强环境监理，如发现有保护植物分布，应及时通知当地环保和林业部门，在专家指导下采取移栽或取种移植等保护措施。</w:t>
      </w:r>
    </w:p>
    <w:p w:rsidR="006175A6" w:rsidRDefault="00E97427">
      <w:pPr>
        <w:ind w:firstLine="480"/>
      </w:pPr>
      <w:r>
        <w:rPr>
          <w:rFonts w:hint="eastAsia"/>
        </w:rPr>
        <w:t>（</w:t>
      </w:r>
      <w:r w:rsidR="009B4BA7">
        <w:rPr>
          <w:rFonts w:hint="eastAsia"/>
        </w:rPr>
        <w:t>2</w:t>
      </w:r>
      <w:r>
        <w:rPr>
          <w:rFonts w:hint="eastAsia"/>
        </w:rPr>
        <w:t>）</w:t>
      </w:r>
      <w:r w:rsidR="009B4BA7">
        <w:rPr>
          <w:rFonts w:hint="eastAsia"/>
        </w:rPr>
        <w:t>林地补偿措施</w:t>
      </w:r>
    </w:p>
    <w:p w:rsidR="006175A6" w:rsidRDefault="009B4BA7">
      <w:pPr>
        <w:ind w:firstLine="480"/>
      </w:pPr>
      <w:r>
        <w:rPr>
          <w:rFonts w:hint="eastAsia"/>
        </w:rPr>
        <w:t>工程除实施前述植物保护和恢复措施外，应对工程占用和淹没的有较高生态价值的林地进行造林补偿，最终实现林地的占补平衡。造林补偿应首先安排在库</w:t>
      </w:r>
      <w:r>
        <w:rPr>
          <w:rFonts w:hint="eastAsia"/>
        </w:rPr>
        <w:lastRenderedPageBreak/>
        <w:t>区范围内，并酌情推广到库区外的区域，用以绿化荒山或改善林分质量，选用的树种应为当地普遍种</w:t>
      </w:r>
      <w:r w:rsidR="00E97427">
        <w:rPr>
          <w:rFonts w:hint="eastAsia"/>
        </w:rPr>
        <w:t>（</w:t>
      </w:r>
      <w:r>
        <w:rPr>
          <w:rFonts w:hint="eastAsia"/>
        </w:rPr>
        <w:t>如柏树、杉树等</w:t>
      </w:r>
      <w:r w:rsidR="00E97427">
        <w:rPr>
          <w:rFonts w:hint="eastAsia"/>
        </w:rPr>
        <w:t>）</w:t>
      </w:r>
      <w:r>
        <w:rPr>
          <w:rFonts w:hint="eastAsia"/>
        </w:rPr>
        <w:t>，有较高的造林成活率和生态功能。</w:t>
      </w:r>
    </w:p>
    <w:p w:rsidR="006175A6" w:rsidRDefault="009B4BA7">
      <w:pPr>
        <w:ind w:firstLine="480"/>
      </w:pPr>
      <w:r>
        <w:rPr>
          <w:rFonts w:hint="eastAsia"/>
        </w:rPr>
        <w:t>本项目林地补偿资金已列入生产安置补偿规划中，根据项目初步设计报告，按旱地征收标准</w:t>
      </w:r>
      <w:r>
        <w:rPr>
          <w:rFonts w:hint="eastAsia"/>
        </w:rPr>
        <w:t>24400</w:t>
      </w:r>
      <w:r>
        <w:rPr>
          <w:rFonts w:hint="eastAsia"/>
        </w:rPr>
        <w:t>元</w:t>
      </w:r>
      <w:r>
        <w:rPr>
          <w:rFonts w:hint="eastAsia"/>
        </w:rPr>
        <w:t>/</w:t>
      </w:r>
      <w:r>
        <w:rPr>
          <w:rFonts w:hint="eastAsia"/>
        </w:rPr>
        <w:t>亩、林地征收标准为</w:t>
      </w:r>
      <w:r>
        <w:rPr>
          <w:rFonts w:hint="eastAsia"/>
        </w:rPr>
        <w:t>17080</w:t>
      </w:r>
      <w:r>
        <w:rPr>
          <w:rFonts w:hint="eastAsia"/>
        </w:rPr>
        <w:t>元</w:t>
      </w:r>
      <w:r>
        <w:rPr>
          <w:rFonts w:hint="eastAsia"/>
        </w:rPr>
        <w:t>/</w:t>
      </w:r>
      <w:r>
        <w:rPr>
          <w:rFonts w:hint="eastAsia"/>
        </w:rPr>
        <w:t>亩进行补偿，此项费用应严格管理和审计，做到专款专用。</w:t>
      </w:r>
    </w:p>
    <w:p w:rsidR="006175A6" w:rsidRDefault="009B4BA7">
      <w:pPr>
        <w:pStyle w:val="4"/>
      </w:pPr>
      <w:r>
        <w:rPr>
          <w:rFonts w:hint="eastAsia"/>
        </w:rPr>
        <w:t>生态管理措施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严禁施工人员破坏野生</w:t>
      </w:r>
      <w:r w:rsidR="001572D4">
        <w:rPr>
          <w:rFonts w:hint="eastAsia"/>
        </w:rPr>
        <w:t>植物</w:t>
      </w:r>
      <w:r w:rsidR="009B4BA7">
        <w:rPr>
          <w:rFonts w:hint="eastAsia"/>
        </w:rPr>
        <w:t>，指定专人负责管理。制订严格的林地保护责任制度，将各项林地保护和护林防火责任落实到人，采取严格的管理措施，确保不发生森林火灾和故意破坏植物的时间发生。</w:t>
      </w:r>
    </w:p>
    <w:p w:rsidR="006175A6" w:rsidRDefault="00E97427">
      <w:pPr>
        <w:ind w:firstLine="480"/>
      </w:pPr>
      <w:r>
        <w:rPr>
          <w:rFonts w:hint="eastAsia"/>
        </w:rPr>
        <w:t>（</w:t>
      </w:r>
      <w:r w:rsidR="009B4BA7">
        <w:rPr>
          <w:rFonts w:hint="eastAsia"/>
        </w:rPr>
        <w:t>2</w:t>
      </w:r>
      <w:r>
        <w:rPr>
          <w:rFonts w:hint="eastAsia"/>
        </w:rPr>
        <w:t>）</w:t>
      </w:r>
      <w:r w:rsidR="009B4BA7">
        <w:rPr>
          <w:rFonts w:hint="eastAsia"/>
        </w:rPr>
        <w:t>工程建设施工期、运行期都应进行生态影响的监测和调查。在施工期，主要对坝址、引水管道等建设施工有关的区域进行监测；运行期主要监测坝下游生境的变化，植被的变化，野生动物的种群、数量变化、生态系统整体性变化以及外来生物入侵情况。通过监测，加强对生态的管理。在工程管理机构，应设置生态环境管理人员，监理各种管理机报告制度，开展对工程影响区的环境教育，提高施工人员和管理人员环境意识，通过动态生态监测和完善管理，是保护区生态向良性或有利方向发展。</w:t>
      </w:r>
    </w:p>
    <w:p w:rsidR="006175A6" w:rsidRDefault="009B4BA7">
      <w:pPr>
        <w:pStyle w:val="3"/>
      </w:pPr>
      <w:r>
        <w:rPr>
          <w:rFonts w:hint="eastAsia"/>
        </w:rPr>
        <w:t>对陆生动物保护措施</w:t>
      </w:r>
    </w:p>
    <w:p w:rsidR="006175A6" w:rsidRDefault="009B4BA7">
      <w:pPr>
        <w:pStyle w:val="4"/>
      </w:pPr>
      <w:r>
        <w:rPr>
          <w:rFonts w:hint="eastAsia"/>
        </w:rPr>
        <w:t>生态影响的避免措施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工程施工时，一些大型作业及爆破活动等要避开地上活动的鸟兽及爬行类动物活动的高峰期，不选择晨昏等时间进行。尽量在征地范围内施工，减少对周围植被的占用与压踏；施工时的固体废物与粉状材料物要堆放好，避免流失而影响土质与水质。</w:t>
      </w:r>
    </w:p>
    <w:p w:rsidR="006175A6" w:rsidRDefault="00E97427">
      <w:pPr>
        <w:ind w:firstLine="480"/>
      </w:pPr>
      <w:r>
        <w:rPr>
          <w:rFonts w:hint="eastAsia"/>
        </w:rPr>
        <w:t>（</w:t>
      </w:r>
      <w:r w:rsidR="009B4BA7">
        <w:rPr>
          <w:rFonts w:hint="eastAsia"/>
        </w:rPr>
        <w:t>2</w:t>
      </w:r>
      <w:r>
        <w:rPr>
          <w:rFonts w:hint="eastAsia"/>
        </w:rPr>
        <w:t>）</w:t>
      </w:r>
      <w:r w:rsidR="009B4BA7">
        <w:rPr>
          <w:rFonts w:hint="eastAsia"/>
        </w:rPr>
        <w:t>两栖类生态上依赖溪流，在修建拦水坝和设计引水管线时，要充分考虑下游河流水量和流速能否满足这些动物的生态需求。同时，在工程施工过程中，要采用有效方法去除油污，合理处理弃渣及施工人员生活污水，避免对水体造成影响。</w:t>
      </w:r>
    </w:p>
    <w:p w:rsidR="006175A6" w:rsidRDefault="009B4BA7">
      <w:pPr>
        <w:pStyle w:val="4"/>
      </w:pPr>
      <w:r>
        <w:rPr>
          <w:rFonts w:hint="eastAsia"/>
        </w:rPr>
        <w:t>生态影响的消减措施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在施工过程中，施工人员必须遵守《中华人民共和国野生动物保护法》，</w:t>
      </w:r>
      <w:r w:rsidR="009B4BA7">
        <w:rPr>
          <w:rFonts w:hint="eastAsia"/>
        </w:rPr>
        <w:lastRenderedPageBreak/>
        <w:t>严禁在施工区及其周围捕猎野生动物，特别是国家保护动物和省级保护动物。在进场施工前，组织施工人员学习有关国家法律和法规，学习识别国家保护动物，林业公安在动物经常出入的地方要加强巡护，对故意捕获野生动物的个人和组织要加大打击力度，确保野生动物的保护落实到每一个环节。</w:t>
      </w:r>
    </w:p>
    <w:p w:rsidR="006175A6" w:rsidRDefault="00E97427">
      <w:pPr>
        <w:ind w:firstLine="480"/>
      </w:pPr>
      <w:r>
        <w:rPr>
          <w:rFonts w:hint="eastAsia"/>
        </w:rPr>
        <w:t>（</w:t>
      </w:r>
      <w:r w:rsidR="009B4BA7">
        <w:rPr>
          <w:rFonts w:hint="eastAsia"/>
        </w:rPr>
        <w:t>2</w:t>
      </w:r>
      <w:r>
        <w:rPr>
          <w:rFonts w:hint="eastAsia"/>
        </w:rPr>
        <w:t>）</w:t>
      </w:r>
      <w:r w:rsidR="009B4BA7">
        <w:rPr>
          <w:rFonts w:hint="eastAsia"/>
        </w:rPr>
        <w:t>水库蓄水后，对除在水域环境中生存的动物种类之外的各种动物都使其生境相应缩小，因而在评价区密度可能会有所增加，应禁止施工人员和当地居民捕杀动物，尤其是重点保护动物。蓄水后坝下游水量会有所缩减，为避免对下游的水域生境中生存的动物造成急剧影响，要保证下游的生态需水量。</w:t>
      </w:r>
    </w:p>
    <w:p w:rsidR="006175A6" w:rsidRDefault="00E97427">
      <w:pPr>
        <w:ind w:firstLine="480"/>
      </w:pPr>
      <w:r>
        <w:rPr>
          <w:rFonts w:hint="eastAsia"/>
        </w:rPr>
        <w:t>（</w:t>
      </w:r>
      <w:r w:rsidR="009B4BA7">
        <w:rPr>
          <w:rFonts w:hint="eastAsia"/>
        </w:rPr>
        <w:t>3</w:t>
      </w:r>
      <w:r>
        <w:rPr>
          <w:rFonts w:hint="eastAsia"/>
        </w:rPr>
        <w:t>）</w:t>
      </w:r>
      <w:r w:rsidR="009B4BA7">
        <w:rPr>
          <w:rFonts w:hint="eastAsia"/>
        </w:rPr>
        <w:t>防治爆破噪声对野生动物的惊扰，对相关装备安装消声器。根据动物的生物节律安排施工时间和施工方式。野生鸟类和兽类大多是晨、昏（早晨、黄昏）或夜间外出觅食，正午是鸟类休息时间。为了减少工程施工爆破噪声对野生动物的惊扰，应做好爆破方式、数量、时间的计划，并力求避免在晨昏和正午开山施炮。最好安排在晚间作业和运转弃渣，并尽可能不鸣笛。</w:t>
      </w:r>
    </w:p>
    <w:p w:rsidR="006175A6" w:rsidRDefault="009B4BA7">
      <w:pPr>
        <w:pStyle w:val="4"/>
      </w:pPr>
      <w:r>
        <w:rPr>
          <w:rFonts w:hint="eastAsia"/>
        </w:rPr>
        <w:t>生态影响的恢复和补偿措施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生物群落的完整性是维持生态系统和食物网稳定性的重要因素。尽量减少对陆生脊椎动物、植物群落的破坏，对在工程建设区域内的各类生物群落予以保护。工程修建后，将使国家、省级重点保护动物的觅食范围有所缩小，因此应保护好它们的栖息地，减少人为的干扰。工程建设区域是常绿阔叶林群落、坡地作物群落、河流、河谷溪流水生生物群落、草灌丛生物群落和居民点生物群落等多种群落的交汇处，生物谷群落边缘效应特征十分显著，因此要切实加强保护陆生脊椎动物赖以生存的植物群落。</w:t>
      </w:r>
    </w:p>
    <w:p w:rsidR="006175A6" w:rsidRDefault="00E97427">
      <w:pPr>
        <w:ind w:firstLine="480"/>
      </w:pPr>
      <w:r>
        <w:rPr>
          <w:rFonts w:hint="eastAsia"/>
        </w:rPr>
        <w:t>（</w:t>
      </w:r>
      <w:r w:rsidR="009B4BA7">
        <w:rPr>
          <w:rFonts w:hint="eastAsia"/>
        </w:rPr>
        <w:t>2</w:t>
      </w:r>
      <w:r>
        <w:rPr>
          <w:rFonts w:hint="eastAsia"/>
        </w:rPr>
        <w:t>）</w:t>
      </w:r>
      <w:r w:rsidR="009B4BA7">
        <w:rPr>
          <w:rFonts w:hint="eastAsia"/>
        </w:rPr>
        <w:t>毒蛇、自然疫源性的传播者</w:t>
      </w:r>
      <w:r>
        <w:rPr>
          <w:rFonts w:hint="eastAsia"/>
        </w:rPr>
        <w:t>（</w:t>
      </w:r>
      <w:r w:rsidR="009B4BA7">
        <w:rPr>
          <w:rFonts w:hint="eastAsia"/>
        </w:rPr>
        <w:t>部分鼠形兽</w:t>
      </w:r>
      <w:r>
        <w:rPr>
          <w:rFonts w:hint="eastAsia"/>
        </w:rPr>
        <w:t>）</w:t>
      </w:r>
      <w:r w:rsidR="009B4BA7">
        <w:rPr>
          <w:rFonts w:hint="eastAsia"/>
        </w:rPr>
        <w:t>等，在水库建成后，将向非工程区转移，其密度将有所增加，在这种情况下，既要维护自然生态系统的食物链关系，又要重视对非工程区的人、畜和工程施工人员毒蛇咬伤防治和防疫工作。</w:t>
      </w:r>
    </w:p>
    <w:p w:rsidR="006175A6" w:rsidRDefault="009B4BA7">
      <w:pPr>
        <w:pStyle w:val="4"/>
      </w:pPr>
      <w:r>
        <w:rPr>
          <w:rFonts w:hint="eastAsia"/>
        </w:rPr>
        <w:t>生态管理措施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工程建成后山、水、林、鸟将构成新的景观，随着道路交通的改善，人类的活动将有所增加，会给环境带来新的隐患。必须加强环境管理，减少污染，保护野生动物及其栖息地，防止出现新的生态破坏。</w:t>
      </w:r>
    </w:p>
    <w:p w:rsidR="006175A6" w:rsidRDefault="00E97427">
      <w:pPr>
        <w:ind w:firstLine="480"/>
      </w:pPr>
      <w:r>
        <w:rPr>
          <w:rFonts w:hint="eastAsia"/>
        </w:rPr>
        <w:lastRenderedPageBreak/>
        <w:t>（</w:t>
      </w:r>
      <w:r w:rsidR="009B4BA7">
        <w:rPr>
          <w:rFonts w:hint="eastAsia"/>
        </w:rPr>
        <w:t>2</w:t>
      </w:r>
      <w:r>
        <w:rPr>
          <w:rFonts w:hint="eastAsia"/>
        </w:rPr>
        <w:t>）</w:t>
      </w:r>
      <w:r w:rsidR="009B4BA7">
        <w:rPr>
          <w:rFonts w:hint="eastAsia"/>
        </w:rPr>
        <w:t>工程的实施使动物的分布格局发生一些改变，有些动物会迁移到附近适合的替代生境中。需要野生动物保护部门在这些区域加强监测与保护。</w:t>
      </w:r>
    </w:p>
    <w:p w:rsidR="006175A6" w:rsidRDefault="009B4BA7">
      <w:pPr>
        <w:pStyle w:val="3"/>
      </w:pPr>
      <w:r>
        <w:rPr>
          <w:rFonts w:hint="eastAsia"/>
        </w:rPr>
        <w:t>对水生生物的保护措施</w:t>
      </w:r>
    </w:p>
    <w:p w:rsidR="006175A6" w:rsidRDefault="009B4BA7">
      <w:pPr>
        <w:pStyle w:val="4"/>
      </w:pPr>
      <w:r>
        <w:rPr>
          <w:rFonts w:hint="eastAsia"/>
        </w:rPr>
        <w:t>减轻污染保护水质</w:t>
      </w:r>
    </w:p>
    <w:p w:rsidR="006175A6" w:rsidRDefault="009B4BA7">
      <w:pPr>
        <w:ind w:firstLine="480"/>
      </w:pPr>
      <w:r>
        <w:rPr>
          <w:rFonts w:hint="eastAsia"/>
        </w:rPr>
        <w:t>在工程施工期间，工程建设中的开挖和弃渣，要按照环保设计的要求，加强弃渣场防护，加强施工人员的各类卫生管理</w:t>
      </w:r>
      <w:r w:rsidR="00E97427">
        <w:rPr>
          <w:rFonts w:hint="eastAsia"/>
        </w:rPr>
        <w:t>（</w:t>
      </w:r>
      <w:r>
        <w:rPr>
          <w:rFonts w:hint="eastAsia"/>
        </w:rPr>
        <w:t>如粪便和生活污水</w:t>
      </w:r>
      <w:r w:rsidR="00E97427">
        <w:rPr>
          <w:rFonts w:hint="eastAsia"/>
        </w:rPr>
        <w:t>）</w:t>
      </w:r>
      <w:r>
        <w:rPr>
          <w:rFonts w:hint="eastAsia"/>
        </w:rPr>
        <w:t>，避免生活污水的直接排放，减少水体污染，保护生生生物的物种多样性，将工程对水生生物的影响减少到最低程度。</w:t>
      </w:r>
    </w:p>
    <w:p w:rsidR="006175A6" w:rsidRDefault="009B4BA7">
      <w:pPr>
        <w:ind w:firstLine="480"/>
      </w:pPr>
      <w:r>
        <w:rPr>
          <w:rFonts w:hint="eastAsia"/>
        </w:rPr>
        <w:t>从保护生态与环境的角度出发，建议工程开发建设前，尽量做好施工规划前期工作，施工期间加强各项管理，做好工程完工后的生态环境的恢复工作，以尽量减少植被破坏及对水土流失、水质和水生生物的不利影响。</w:t>
      </w:r>
    </w:p>
    <w:p w:rsidR="006175A6" w:rsidRDefault="009B4BA7">
      <w:pPr>
        <w:ind w:firstLine="480"/>
      </w:pPr>
      <w:r>
        <w:rPr>
          <w:rFonts w:hint="eastAsia"/>
        </w:rPr>
        <w:t>此外，为防止库区水体污染，严禁在水库开展投饵网箱养鱼等对水质影响较大的渔业养殖活动，以达到保护水环境质量的目的。</w:t>
      </w:r>
    </w:p>
    <w:p w:rsidR="006175A6" w:rsidRDefault="009B4BA7">
      <w:pPr>
        <w:pStyle w:val="4"/>
      </w:pPr>
      <w:r>
        <w:rPr>
          <w:rFonts w:hint="eastAsia"/>
        </w:rPr>
        <w:t>鱼类资源保护</w:t>
      </w:r>
    </w:p>
    <w:p w:rsidR="006175A6" w:rsidRDefault="009B4BA7">
      <w:pPr>
        <w:ind w:firstLine="480"/>
      </w:pPr>
      <w:r>
        <w:rPr>
          <w:rFonts w:hint="eastAsia"/>
        </w:rPr>
        <w:t>为了更好的保护评价区鱼类的多样性，应规定禁渔期，禁止每年的</w:t>
      </w:r>
      <w:r>
        <w:rPr>
          <w:rFonts w:hint="eastAsia"/>
        </w:rPr>
        <w:t xml:space="preserve">5 </w:t>
      </w:r>
      <w:r>
        <w:rPr>
          <w:rFonts w:hint="eastAsia"/>
        </w:rPr>
        <w:t>月</w:t>
      </w:r>
      <w:r>
        <w:rPr>
          <w:rFonts w:hint="eastAsia"/>
        </w:rPr>
        <w:t>1</w:t>
      </w:r>
      <w:r>
        <w:rPr>
          <w:rFonts w:hint="eastAsia"/>
        </w:rPr>
        <w:t>日</w:t>
      </w:r>
      <w:r>
        <w:rPr>
          <w:rFonts w:hint="eastAsia"/>
        </w:rPr>
        <w:t xml:space="preserve">~8 </w:t>
      </w:r>
      <w:r>
        <w:rPr>
          <w:rFonts w:hint="eastAsia"/>
        </w:rPr>
        <w:t>月</w:t>
      </w:r>
      <w:r>
        <w:rPr>
          <w:rFonts w:hint="eastAsia"/>
        </w:rPr>
        <w:t xml:space="preserve">30 </w:t>
      </w:r>
      <w:r>
        <w:rPr>
          <w:rFonts w:hint="eastAsia"/>
        </w:rPr>
        <w:t>日鱼类产卵季节捕鱼；并严禁在其他时段采用毒、电、炸鱼等毁灭性捕捞方式捕鱼。</w:t>
      </w:r>
    </w:p>
    <w:p w:rsidR="006175A6" w:rsidRDefault="009B4BA7">
      <w:pPr>
        <w:pStyle w:val="4"/>
      </w:pPr>
      <w:r>
        <w:rPr>
          <w:rFonts w:hint="eastAsia"/>
        </w:rPr>
        <w:t>最小生态泄流量及其合理性分析</w:t>
      </w:r>
    </w:p>
    <w:p w:rsidR="006175A6" w:rsidRDefault="009B4BA7">
      <w:pPr>
        <w:ind w:firstLine="480"/>
      </w:pPr>
      <w:r>
        <w:rPr>
          <w:rFonts w:hint="eastAsia"/>
        </w:rPr>
        <w:t>本项目大坝取水主要用于黄粮镇生活、生产灌溉、工业用水。河道生态用水需要考虑的因素有：维持水生生态系统稳定所需水量、维持河道水质的最小稀释净化水量、环境需水量等。</w:t>
      </w:r>
    </w:p>
    <w:p w:rsidR="006175A6" w:rsidRDefault="009B4BA7">
      <w:pPr>
        <w:ind w:firstLine="480"/>
      </w:pPr>
      <w:r>
        <w:rPr>
          <w:rFonts w:hint="eastAsia"/>
        </w:rPr>
        <w:t>两河口水库工程实施后，对坝址下游水文情势影响较大，根据评价区生态环境特征和工程的实际情况，参照《水电水利建设项目河道生态用水、低温水和过鱼设施环境影响评价技术指南》</w:t>
      </w:r>
      <w:r w:rsidR="00E97427">
        <w:rPr>
          <w:rFonts w:hint="eastAsia"/>
        </w:rPr>
        <w:t>（</w:t>
      </w:r>
      <w:r>
        <w:rPr>
          <w:rFonts w:hint="eastAsia"/>
        </w:rPr>
        <w:t>环评函</w:t>
      </w:r>
      <w:r>
        <w:rPr>
          <w:rFonts w:hint="eastAsia"/>
        </w:rPr>
        <w:t>[2006]4</w:t>
      </w:r>
      <w:r>
        <w:rPr>
          <w:rFonts w:hint="eastAsia"/>
        </w:rPr>
        <w:t>号</w:t>
      </w:r>
      <w:r w:rsidR="00E97427">
        <w:rPr>
          <w:rFonts w:hint="eastAsia"/>
        </w:rPr>
        <w:t>）</w:t>
      </w:r>
      <w:r>
        <w:rPr>
          <w:rFonts w:hint="eastAsia"/>
        </w:rPr>
        <w:t>，工程运行期维持水生生态系统稳定所需水量按</w:t>
      </w:r>
      <w:r>
        <w:rPr>
          <w:rFonts w:hint="eastAsia"/>
        </w:rPr>
        <w:t xml:space="preserve">Tennant </w:t>
      </w:r>
      <w:r>
        <w:rPr>
          <w:rFonts w:hint="eastAsia"/>
        </w:rPr>
        <w:t>法判定，详见下表。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8.1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Tennant </w:t>
      </w:r>
      <w:r>
        <w:rPr>
          <w:rFonts w:hint="eastAsia"/>
        </w:rPr>
        <w:t>法判定标准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53"/>
        <w:gridCol w:w="3574"/>
        <w:gridCol w:w="3489"/>
      </w:tblGrid>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流量状况描述</w:t>
            </w:r>
          </w:p>
        </w:tc>
        <w:tc>
          <w:tcPr>
            <w:tcW w:w="2149" w:type="pct"/>
          </w:tcPr>
          <w:p w:rsidR="006175A6" w:rsidRDefault="009B4BA7">
            <w:pPr>
              <w:pStyle w:val="TableParagraph"/>
              <w:rPr>
                <w:rFonts w:cs="Times New Roman"/>
                <w:sz w:val="21"/>
                <w:szCs w:val="21"/>
              </w:rPr>
            </w:pPr>
            <w:r>
              <w:rPr>
                <w:rFonts w:cs="Times New Roman" w:hint="eastAsia"/>
                <w:sz w:val="21"/>
                <w:szCs w:val="21"/>
              </w:rPr>
              <w:t>推荐的基流</w:t>
            </w:r>
            <w:r w:rsidR="00E97427">
              <w:rPr>
                <w:rFonts w:ascii="Times New Roman"/>
                <w:sz w:val="21"/>
                <w:szCs w:val="21"/>
              </w:rPr>
              <w:t>（</w:t>
            </w:r>
            <w:r>
              <w:rPr>
                <w:rFonts w:ascii="Times New Roman"/>
                <w:sz w:val="21"/>
                <w:szCs w:val="21"/>
              </w:rPr>
              <w:t>10</w:t>
            </w:r>
            <w:r>
              <w:rPr>
                <w:rFonts w:cs="Times New Roman" w:hint="eastAsia"/>
                <w:sz w:val="21"/>
                <w:szCs w:val="21"/>
              </w:rPr>
              <w:t>月</w:t>
            </w:r>
            <w:r>
              <w:rPr>
                <w:rFonts w:ascii="Times New Roman"/>
                <w:sz w:val="21"/>
                <w:szCs w:val="21"/>
              </w:rPr>
              <w:t>~3</w:t>
            </w:r>
            <w:r>
              <w:rPr>
                <w:rFonts w:cs="Times New Roman" w:hint="eastAsia"/>
                <w:sz w:val="21"/>
                <w:szCs w:val="21"/>
              </w:rPr>
              <w:t>月</w:t>
            </w:r>
            <w:r w:rsidR="00E97427">
              <w:rPr>
                <w:rFonts w:ascii="Times New Roman"/>
                <w:sz w:val="21"/>
                <w:szCs w:val="21"/>
              </w:rPr>
              <w:t>）（</w:t>
            </w:r>
            <w:r>
              <w:rPr>
                <w:rFonts w:ascii="Times New Roman"/>
                <w:sz w:val="21"/>
                <w:szCs w:val="21"/>
              </w:rPr>
              <w:t>%</w:t>
            </w:r>
            <w:r>
              <w:rPr>
                <w:rFonts w:cs="Times New Roman" w:hint="eastAsia"/>
                <w:sz w:val="21"/>
                <w:szCs w:val="21"/>
              </w:rPr>
              <w:t>年平均流</w:t>
            </w:r>
          </w:p>
          <w:p w:rsidR="006175A6" w:rsidRDefault="009B4BA7">
            <w:pPr>
              <w:pStyle w:val="TableParagraph"/>
              <w:rPr>
                <w:rFonts w:ascii="Times New Roman"/>
                <w:sz w:val="21"/>
                <w:szCs w:val="21"/>
              </w:rPr>
            </w:pPr>
            <w:r>
              <w:rPr>
                <w:rFonts w:cs="Times New Roman" w:hint="eastAsia"/>
                <w:sz w:val="21"/>
                <w:szCs w:val="21"/>
              </w:rPr>
              <w:t>量</w:t>
            </w:r>
            <w:r w:rsidR="00E97427">
              <w:rPr>
                <w:rFonts w:ascii="Times New Roman"/>
                <w:sz w:val="21"/>
                <w:szCs w:val="21"/>
              </w:rPr>
              <w:t>）</w:t>
            </w:r>
          </w:p>
        </w:tc>
        <w:tc>
          <w:tcPr>
            <w:tcW w:w="2098" w:type="pct"/>
          </w:tcPr>
          <w:p w:rsidR="006175A6" w:rsidRDefault="009B4BA7">
            <w:pPr>
              <w:pStyle w:val="TableParagraph"/>
              <w:rPr>
                <w:rFonts w:ascii="Times New Roman"/>
                <w:sz w:val="21"/>
                <w:szCs w:val="21"/>
              </w:rPr>
            </w:pPr>
            <w:r>
              <w:rPr>
                <w:rFonts w:cs="Times New Roman" w:hint="eastAsia"/>
                <w:sz w:val="21"/>
                <w:szCs w:val="21"/>
              </w:rPr>
              <w:t>推荐的基流</w:t>
            </w:r>
            <w:r w:rsidR="00E97427">
              <w:rPr>
                <w:rFonts w:ascii="Times New Roman"/>
                <w:sz w:val="21"/>
                <w:szCs w:val="21"/>
              </w:rPr>
              <w:t>（</w:t>
            </w:r>
            <w:r>
              <w:rPr>
                <w:rFonts w:ascii="Times New Roman"/>
                <w:sz w:val="21"/>
                <w:szCs w:val="21"/>
              </w:rPr>
              <w:t>4</w:t>
            </w:r>
            <w:r>
              <w:rPr>
                <w:rFonts w:cs="Times New Roman" w:hint="eastAsia"/>
                <w:sz w:val="21"/>
                <w:szCs w:val="21"/>
              </w:rPr>
              <w:t>月</w:t>
            </w:r>
            <w:r>
              <w:rPr>
                <w:rFonts w:ascii="Times New Roman"/>
                <w:sz w:val="21"/>
                <w:szCs w:val="21"/>
              </w:rPr>
              <w:t>~9</w:t>
            </w:r>
            <w:r>
              <w:rPr>
                <w:rFonts w:cs="Times New Roman" w:hint="eastAsia"/>
                <w:sz w:val="21"/>
                <w:szCs w:val="21"/>
              </w:rPr>
              <w:t>月</w:t>
            </w:r>
            <w:r w:rsidR="00E97427">
              <w:rPr>
                <w:rFonts w:ascii="Times New Roman"/>
                <w:sz w:val="21"/>
                <w:szCs w:val="21"/>
              </w:rPr>
              <w:t>）（</w:t>
            </w:r>
            <w:r>
              <w:rPr>
                <w:rFonts w:ascii="Times New Roman"/>
                <w:sz w:val="21"/>
                <w:szCs w:val="21"/>
              </w:rPr>
              <w:t>%</w:t>
            </w:r>
            <w:r>
              <w:rPr>
                <w:rFonts w:cs="Times New Roman" w:hint="eastAsia"/>
                <w:sz w:val="21"/>
                <w:szCs w:val="21"/>
              </w:rPr>
              <w:t>年平均流量</w:t>
            </w:r>
            <w:r w:rsidR="00E97427">
              <w:rPr>
                <w:rFonts w:ascii="Times New Roman"/>
                <w:sz w:val="21"/>
                <w:szCs w:val="21"/>
              </w:rPr>
              <w:t>）</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泛滥或最大</w:t>
            </w:r>
          </w:p>
        </w:tc>
        <w:tc>
          <w:tcPr>
            <w:tcW w:w="2149" w:type="pct"/>
          </w:tcPr>
          <w:p w:rsidR="006175A6" w:rsidRDefault="009B4BA7">
            <w:pPr>
              <w:pStyle w:val="TableParagraph"/>
              <w:rPr>
                <w:rFonts w:ascii="Times New Roman"/>
                <w:sz w:val="21"/>
                <w:szCs w:val="21"/>
              </w:rPr>
            </w:pPr>
            <w:r>
              <w:rPr>
                <w:rFonts w:ascii="Times New Roman"/>
                <w:sz w:val="21"/>
                <w:szCs w:val="21"/>
              </w:rPr>
              <w:t>200</w:t>
            </w:r>
            <w:r w:rsidR="00E97427">
              <w:rPr>
                <w:rFonts w:ascii="Times New Roman"/>
                <w:sz w:val="21"/>
                <w:szCs w:val="21"/>
              </w:rPr>
              <w:t>（</w:t>
            </w:r>
            <w:r>
              <w:rPr>
                <w:rFonts w:ascii="Times New Roman"/>
                <w:sz w:val="21"/>
                <w:szCs w:val="21"/>
              </w:rPr>
              <w:t>48~72/</w:t>
            </w:r>
            <w:r>
              <w:rPr>
                <w:rFonts w:cs="Times New Roman" w:hint="eastAsia"/>
                <w:sz w:val="21"/>
                <w:szCs w:val="21"/>
              </w:rPr>
              <w:t>小时</w:t>
            </w:r>
            <w:r w:rsidR="00E97427">
              <w:rPr>
                <w:rFonts w:ascii="Times New Roman"/>
                <w:sz w:val="21"/>
                <w:szCs w:val="21"/>
              </w:rPr>
              <w:t>）</w:t>
            </w:r>
          </w:p>
        </w:tc>
        <w:tc>
          <w:tcPr>
            <w:tcW w:w="2098" w:type="pct"/>
          </w:tcPr>
          <w:p w:rsidR="006175A6" w:rsidRDefault="009B4BA7">
            <w:pPr>
              <w:pStyle w:val="TableParagraph"/>
              <w:rPr>
                <w:rFonts w:ascii="Times New Roman"/>
                <w:sz w:val="21"/>
                <w:szCs w:val="21"/>
              </w:rPr>
            </w:pPr>
            <w:r>
              <w:rPr>
                <w:rFonts w:ascii="Times New Roman"/>
                <w:sz w:val="21"/>
                <w:szCs w:val="21"/>
              </w:rPr>
              <w:t>200</w:t>
            </w:r>
            <w:r w:rsidR="00E97427">
              <w:rPr>
                <w:rFonts w:ascii="Times New Roman"/>
                <w:sz w:val="21"/>
                <w:szCs w:val="21"/>
              </w:rPr>
              <w:t>（</w:t>
            </w:r>
            <w:r>
              <w:rPr>
                <w:rFonts w:ascii="Times New Roman"/>
                <w:sz w:val="21"/>
                <w:szCs w:val="21"/>
              </w:rPr>
              <w:t>48~72/</w:t>
            </w:r>
            <w:r>
              <w:rPr>
                <w:rFonts w:cs="Times New Roman" w:hint="eastAsia"/>
                <w:sz w:val="21"/>
                <w:szCs w:val="21"/>
              </w:rPr>
              <w:t>小时</w:t>
            </w:r>
            <w:r w:rsidR="00E97427">
              <w:rPr>
                <w:rFonts w:ascii="Times New Roman"/>
                <w:sz w:val="21"/>
                <w:szCs w:val="21"/>
              </w:rPr>
              <w:t>）</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lastRenderedPageBreak/>
              <w:t>最佳范围</w:t>
            </w:r>
          </w:p>
        </w:tc>
        <w:tc>
          <w:tcPr>
            <w:tcW w:w="2149" w:type="pct"/>
          </w:tcPr>
          <w:p w:rsidR="006175A6" w:rsidRDefault="009B4BA7">
            <w:pPr>
              <w:pStyle w:val="TableParagraph"/>
              <w:rPr>
                <w:rFonts w:ascii="Times New Roman"/>
                <w:sz w:val="21"/>
                <w:szCs w:val="21"/>
              </w:rPr>
            </w:pPr>
            <w:r>
              <w:rPr>
                <w:rFonts w:ascii="Times New Roman"/>
                <w:sz w:val="21"/>
                <w:szCs w:val="21"/>
              </w:rPr>
              <w:t>60~100</w:t>
            </w:r>
          </w:p>
        </w:tc>
        <w:tc>
          <w:tcPr>
            <w:tcW w:w="2098" w:type="pct"/>
          </w:tcPr>
          <w:p w:rsidR="006175A6" w:rsidRDefault="009B4BA7">
            <w:pPr>
              <w:pStyle w:val="TableParagraph"/>
              <w:rPr>
                <w:rFonts w:ascii="Times New Roman"/>
                <w:sz w:val="21"/>
                <w:szCs w:val="21"/>
              </w:rPr>
            </w:pPr>
            <w:r>
              <w:rPr>
                <w:rFonts w:ascii="Times New Roman"/>
                <w:sz w:val="21"/>
                <w:szCs w:val="21"/>
              </w:rPr>
              <w:t>60~100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很好</w:t>
            </w:r>
          </w:p>
        </w:tc>
        <w:tc>
          <w:tcPr>
            <w:tcW w:w="2149" w:type="pct"/>
          </w:tcPr>
          <w:p w:rsidR="006175A6" w:rsidRDefault="009B4BA7">
            <w:pPr>
              <w:pStyle w:val="TableParagraph"/>
              <w:rPr>
                <w:rFonts w:ascii="Times New Roman"/>
                <w:sz w:val="21"/>
                <w:szCs w:val="21"/>
              </w:rPr>
            </w:pPr>
            <w:r>
              <w:rPr>
                <w:rFonts w:ascii="Times New Roman"/>
                <w:sz w:val="21"/>
                <w:szCs w:val="21"/>
              </w:rPr>
              <w:t>40</w:t>
            </w:r>
          </w:p>
        </w:tc>
        <w:tc>
          <w:tcPr>
            <w:tcW w:w="2098" w:type="pct"/>
          </w:tcPr>
          <w:p w:rsidR="006175A6" w:rsidRDefault="009B4BA7">
            <w:pPr>
              <w:pStyle w:val="TableParagraph"/>
              <w:rPr>
                <w:rFonts w:ascii="Times New Roman"/>
                <w:sz w:val="21"/>
                <w:szCs w:val="21"/>
              </w:rPr>
            </w:pPr>
            <w:r>
              <w:rPr>
                <w:rFonts w:ascii="Times New Roman"/>
                <w:sz w:val="21"/>
                <w:szCs w:val="21"/>
              </w:rPr>
              <w:t>60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好</w:t>
            </w:r>
          </w:p>
        </w:tc>
        <w:tc>
          <w:tcPr>
            <w:tcW w:w="2149" w:type="pct"/>
          </w:tcPr>
          <w:p w:rsidR="006175A6" w:rsidRDefault="009B4BA7">
            <w:pPr>
              <w:pStyle w:val="TableParagraph"/>
              <w:rPr>
                <w:rFonts w:ascii="Times New Roman"/>
                <w:sz w:val="21"/>
                <w:szCs w:val="21"/>
              </w:rPr>
            </w:pPr>
            <w:r>
              <w:rPr>
                <w:rFonts w:ascii="Times New Roman"/>
                <w:sz w:val="21"/>
                <w:szCs w:val="21"/>
              </w:rPr>
              <w:t>30</w:t>
            </w:r>
          </w:p>
        </w:tc>
        <w:tc>
          <w:tcPr>
            <w:tcW w:w="2098" w:type="pct"/>
          </w:tcPr>
          <w:p w:rsidR="006175A6" w:rsidRDefault="009B4BA7">
            <w:pPr>
              <w:pStyle w:val="TableParagraph"/>
              <w:rPr>
                <w:rFonts w:ascii="Times New Roman"/>
                <w:sz w:val="21"/>
                <w:szCs w:val="21"/>
              </w:rPr>
            </w:pPr>
            <w:r>
              <w:rPr>
                <w:rFonts w:ascii="Times New Roman"/>
                <w:sz w:val="21"/>
                <w:szCs w:val="21"/>
              </w:rPr>
              <w:t>50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良好</w:t>
            </w:r>
          </w:p>
        </w:tc>
        <w:tc>
          <w:tcPr>
            <w:tcW w:w="2149" w:type="pct"/>
          </w:tcPr>
          <w:p w:rsidR="006175A6" w:rsidRDefault="009B4BA7">
            <w:pPr>
              <w:pStyle w:val="TableParagraph"/>
              <w:rPr>
                <w:rFonts w:ascii="Times New Roman"/>
                <w:sz w:val="21"/>
                <w:szCs w:val="21"/>
              </w:rPr>
            </w:pPr>
            <w:r>
              <w:rPr>
                <w:rFonts w:ascii="Times New Roman"/>
                <w:sz w:val="21"/>
                <w:szCs w:val="21"/>
              </w:rPr>
              <w:t>20</w:t>
            </w:r>
          </w:p>
        </w:tc>
        <w:tc>
          <w:tcPr>
            <w:tcW w:w="2098" w:type="pct"/>
          </w:tcPr>
          <w:p w:rsidR="006175A6" w:rsidRDefault="009B4BA7">
            <w:pPr>
              <w:pStyle w:val="TableParagraph"/>
              <w:rPr>
                <w:rFonts w:ascii="Times New Roman"/>
                <w:sz w:val="21"/>
                <w:szCs w:val="21"/>
              </w:rPr>
            </w:pPr>
            <w:r>
              <w:rPr>
                <w:rFonts w:ascii="Times New Roman"/>
                <w:sz w:val="21"/>
                <w:szCs w:val="21"/>
              </w:rPr>
              <w:t>40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一般或较差</w:t>
            </w:r>
          </w:p>
        </w:tc>
        <w:tc>
          <w:tcPr>
            <w:tcW w:w="2149" w:type="pct"/>
          </w:tcPr>
          <w:p w:rsidR="006175A6" w:rsidRDefault="009B4BA7">
            <w:pPr>
              <w:pStyle w:val="TableParagraph"/>
              <w:rPr>
                <w:rFonts w:ascii="Times New Roman"/>
                <w:sz w:val="21"/>
                <w:szCs w:val="21"/>
              </w:rPr>
            </w:pPr>
            <w:r>
              <w:rPr>
                <w:rFonts w:ascii="Times New Roman"/>
                <w:sz w:val="21"/>
                <w:szCs w:val="21"/>
              </w:rPr>
              <w:t>10</w:t>
            </w:r>
          </w:p>
        </w:tc>
        <w:tc>
          <w:tcPr>
            <w:tcW w:w="2098" w:type="pct"/>
          </w:tcPr>
          <w:p w:rsidR="006175A6" w:rsidRDefault="009B4BA7">
            <w:pPr>
              <w:pStyle w:val="TableParagraph"/>
              <w:rPr>
                <w:rFonts w:ascii="Times New Roman"/>
                <w:sz w:val="21"/>
                <w:szCs w:val="21"/>
              </w:rPr>
            </w:pPr>
            <w:r>
              <w:rPr>
                <w:rFonts w:ascii="Times New Roman"/>
                <w:sz w:val="21"/>
                <w:szCs w:val="21"/>
              </w:rPr>
              <w:t>30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差或最小</w:t>
            </w:r>
          </w:p>
        </w:tc>
        <w:tc>
          <w:tcPr>
            <w:tcW w:w="2149" w:type="pct"/>
          </w:tcPr>
          <w:p w:rsidR="006175A6" w:rsidRDefault="009B4BA7">
            <w:pPr>
              <w:pStyle w:val="TableParagraph"/>
              <w:rPr>
                <w:rFonts w:ascii="Times New Roman"/>
                <w:sz w:val="21"/>
                <w:szCs w:val="21"/>
              </w:rPr>
            </w:pPr>
            <w:r>
              <w:rPr>
                <w:rFonts w:ascii="Times New Roman"/>
                <w:sz w:val="21"/>
                <w:szCs w:val="21"/>
              </w:rPr>
              <w:t>10</w:t>
            </w:r>
          </w:p>
        </w:tc>
        <w:tc>
          <w:tcPr>
            <w:tcW w:w="2098" w:type="pct"/>
          </w:tcPr>
          <w:p w:rsidR="006175A6" w:rsidRDefault="009B4BA7">
            <w:pPr>
              <w:pStyle w:val="TableParagraph"/>
              <w:rPr>
                <w:rFonts w:ascii="Times New Roman"/>
                <w:sz w:val="21"/>
                <w:szCs w:val="21"/>
              </w:rPr>
            </w:pPr>
            <w:r>
              <w:rPr>
                <w:rFonts w:ascii="Times New Roman"/>
                <w:sz w:val="21"/>
                <w:szCs w:val="21"/>
              </w:rPr>
              <w:t>10</w:t>
            </w:r>
          </w:p>
        </w:tc>
      </w:tr>
      <w:tr w:rsidR="006175A6">
        <w:trPr>
          <w:trHeight w:val="340"/>
        </w:trPr>
        <w:tc>
          <w:tcPr>
            <w:tcW w:w="753" w:type="pct"/>
          </w:tcPr>
          <w:p w:rsidR="006175A6" w:rsidRDefault="009B4BA7">
            <w:pPr>
              <w:pStyle w:val="TableParagraph"/>
              <w:rPr>
                <w:rFonts w:cs="Times New Roman"/>
                <w:sz w:val="21"/>
                <w:szCs w:val="21"/>
              </w:rPr>
            </w:pPr>
            <w:r>
              <w:rPr>
                <w:rFonts w:cs="Times New Roman" w:hint="eastAsia"/>
                <w:sz w:val="21"/>
                <w:szCs w:val="21"/>
              </w:rPr>
              <w:t>极差</w:t>
            </w:r>
          </w:p>
        </w:tc>
        <w:tc>
          <w:tcPr>
            <w:tcW w:w="2149" w:type="pct"/>
          </w:tcPr>
          <w:p w:rsidR="006175A6" w:rsidRDefault="009B4BA7">
            <w:pPr>
              <w:pStyle w:val="TableParagraph"/>
              <w:rPr>
                <w:rFonts w:ascii="Times New Roman"/>
                <w:sz w:val="21"/>
                <w:szCs w:val="21"/>
              </w:rPr>
            </w:pPr>
            <w:r>
              <w:rPr>
                <w:rFonts w:ascii="Times New Roman"/>
                <w:sz w:val="21"/>
                <w:szCs w:val="21"/>
              </w:rPr>
              <w:t>0~10</w:t>
            </w:r>
          </w:p>
        </w:tc>
        <w:tc>
          <w:tcPr>
            <w:tcW w:w="2098" w:type="pct"/>
          </w:tcPr>
          <w:p w:rsidR="006175A6" w:rsidRDefault="009B4BA7">
            <w:pPr>
              <w:pStyle w:val="TableParagraph"/>
              <w:rPr>
                <w:rFonts w:ascii="Times New Roman"/>
                <w:sz w:val="21"/>
                <w:szCs w:val="21"/>
              </w:rPr>
            </w:pPr>
            <w:r>
              <w:rPr>
                <w:rFonts w:ascii="Times New Roman"/>
                <w:sz w:val="21"/>
                <w:szCs w:val="21"/>
              </w:rPr>
              <w:t>0~10</w:t>
            </w:r>
          </w:p>
        </w:tc>
      </w:tr>
    </w:tbl>
    <w:p w:rsidR="006175A6" w:rsidRDefault="009B4BA7">
      <w:pPr>
        <w:ind w:firstLine="480"/>
      </w:pPr>
      <w:r>
        <w:rPr>
          <w:rFonts w:hint="eastAsia"/>
        </w:rPr>
        <w:t>在分析拟建工程减水河段所需的生态流量时，基于以下几点考虑：</w:t>
      </w:r>
    </w:p>
    <w:p w:rsidR="006175A6" w:rsidRDefault="00E97427">
      <w:pPr>
        <w:ind w:firstLine="480"/>
      </w:pPr>
      <w:r>
        <w:rPr>
          <w:rFonts w:hint="eastAsia"/>
        </w:rPr>
        <w:t>（</w:t>
      </w:r>
      <w:r w:rsidR="009B4BA7">
        <w:rPr>
          <w:rFonts w:hint="eastAsia"/>
        </w:rPr>
        <w:t>1</w:t>
      </w:r>
      <w:r>
        <w:rPr>
          <w:rFonts w:hint="eastAsia"/>
        </w:rPr>
        <w:t>）</w:t>
      </w:r>
      <w:r w:rsidR="009B4BA7">
        <w:rPr>
          <w:rFonts w:hint="eastAsia"/>
        </w:rPr>
        <w:t>该河段水生生态系统较简单，浮游生物、底栖动物和鱼类的种类不多，无国家级保护水生生物和两栖动物；</w:t>
      </w:r>
    </w:p>
    <w:p w:rsidR="006175A6" w:rsidRDefault="00E97427">
      <w:pPr>
        <w:ind w:firstLine="480"/>
      </w:pPr>
      <w:r>
        <w:rPr>
          <w:rFonts w:hint="eastAsia"/>
        </w:rPr>
        <w:t>（</w:t>
      </w:r>
      <w:r w:rsidR="009B4BA7">
        <w:rPr>
          <w:rFonts w:hint="eastAsia"/>
        </w:rPr>
        <w:t>2</w:t>
      </w:r>
      <w:r>
        <w:rPr>
          <w:rFonts w:hint="eastAsia"/>
        </w:rPr>
        <w:t>）</w:t>
      </w:r>
      <w:r w:rsidR="009B4BA7">
        <w:rPr>
          <w:rFonts w:hint="eastAsia"/>
        </w:rPr>
        <w:t>该河段非鱼类主要栖息地，现状鱼类种群密度较小，亦非鱼类集中产卵场和必经的洄游通道，此外依靠河水生存的两栖动物和其它陆生动物较少；</w:t>
      </w:r>
    </w:p>
    <w:p w:rsidR="006175A6" w:rsidRDefault="00E97427">
      <w:pPr>
        <w:ind w:firstLine="480"/>
      </w:pPr>
      <w:r>
        <w:rPr>
          <w:rFonts w:hint="eastAsia"/>
        </w:rPr>
        <w:t>（</w:t>
      </w:r>
      <w:r w:rsidR="009B4BA7">
        <w:rPr>
          <w:rFonts w:hint="eastAsia"/>
        </w:rPr>
        <w:t>3</w:t>
      </w:r>
      <w:r>
        <w:rPr>
          <w:rFonts w:hint="eastAsia"/>
        </w:rPr>
        <w:t>）</w:t>
      </w:r>
      <w:r w:rsidR="009B4BA7">
        <w:rPr>
          <w:rFonts w:hint="eastAsia"/>
        </w:rPr>
        <w:t>该河段鱼类均为适应山溪生活的鱼类，对河流枯丰变化适应性较强，亦可在浅、窄的河道中生存。</w:t>
      </w:r>
      <w:r w:rsidR="009B4BA7">
        <w:rPr>
          <w:rFonts w:hint="eastAsia"/>
        </w:rPr>
        <w:t xml:space="preserve"> </w:t>
      </w:r>
    </w:p>
    <w:p w:rsidR="006175A6" w:rsidRDefault="009B4BA7">
      <w:pPr>
        <w:ind w:firstLine="480"/>
      </w:pPr>
      <w:r>
        <w:rPr>
          <w:rFonts w:hint="eastAsia"/>
        </w:rPr>
        <w:t>综合以上分析，拟建工程减水河段为普通河段，无需要特别保护的重要目标，本项目生态流量采用多年平均径流量的</w:t>
      </w:r>
      <w:r>
        <w:rPr>
          <w:rFonts w:hint="eastAsia"/>
        </w:rPr>
        <w:t>20%</w:t>
      </w:r>
      <w:r>
        <w:rPr>
          <w:rFonts w:hint="eastAsia"/>
        </w:rPr>
        <w:t>，大于鱼类生存的临界点或最低流量限值点（</w:t>
      </w:r>
      <w:r>
        <w:rPr>
          <w:rFonts w:hint="eastAsia"/>
        </w:rPr>
        <w:t>10%</w:t>
      </w:r>
      <w:r>
        <w:rPr>
          <w:rFonts w:hint="eastAsia"/>
        </w:rPr>
        <w:t>）。本项目下游减水河段不涉及居民饮用水和灌溉用水，坝下减水河段没有珍稀保护水生生物和土著鱼类分布，生态流量设定为多年平均流量的</w:t>
      </w:r>
      <w:r>
        <w:rPr>
          <w:rFonts w:hint="eastAsia"/>
        </w:rPr>
        <w:t>20%</w:t>
      </w:r>
      <w:r>
        <w:rPr>
          <w:rFonts w:hint="eastAsia"/>
        </w:rPr>
        <w:t>是合理的。</w:t>
      </w:r>
    </w:p>
    <w:p w:rsidR="006175A6" w:rsidRDefault="009B4BA7">
      <w:pPr>
        <w:pStyle w:val="4"/>
      </w:pPr>
      <w:r>
        <w:rPr>
          <w:rFonts w:hint="eastAsia"/>
        </w:rPr>
        <w:t>生态基流保障措施</w:t>
      </w:r>
    </w:p>
    <w:p w:rsidR="006175A6" w:rsidRDefault="00E97427">
      <w:pPr>
        <w:ind w:firstLine="480"/>
      </w:pPr>
      <w:r>
        <w:rPr>
          <w:rFonts w:hint="eastAsia"/>
        </w:rPr>
        <w:t>（</w:t>
      </w:r>
      <w:r w:rsidR="009B4BA7">
        <w:rPr>
          <w:rFonts w:hint="eastAsia"/>
        </w:rPr>
        <w:t>1</w:t>
      </w:r>
      <w:r>
        <w:rPr>
          <w:rFonts w:hint="eastAsia"/>
        </w:rPr>
        <w:t>）</w:t>
      </w:r>
      <w:r w:rsidR="009B4BA7">
        <w:rPr>
          <w:rFonts w:hint="eastAsia"/>
        </w:rPr>
        <w:t>蓄水初期</w:t>
      </w:r>
    </w:p>
    <w:p w:rsidR="006175A6" w:rsidRDefault="009B4BA7">
      <w:pPr>
        <w:ind w:firstLine="480"/>
      </w:pPr>
      <w:r>
        <w:rPr>
          <w:rFonts w:hint="eastAsia"/>
        </w:rPr>
        <w:t>根据工程设计，第</w:t>
      </w:r>
      <w:r>
        <w:rPr>
          <w:rFonts w:hint="eastAsia"/>
        </w:rPr>
        <w:t>3</w:t>
      </w:r>
      <w:r>
        <w:rPr>
          <w:rFonts w:hint="eastAsia"/>
        </w:rPr>
        <w:t>年</w:t>
      </w:r>
      <w:r>
        <w:rPr>
          <w:rFonts w:hint="eastAsia"/>
        </w:rPr>
        <w:t>4</w:t>
      </w:r>
      <w:r>
        <w:rPr>
          <w:rFonts w:hint="eastAsia"/>
        </w:rPr>
        <w:t>月初，导流隧洞封堵，水库开始蓄水，为解决初期蓄水期间坝下河段的生态用水，在水库水位达到死水位</w:t>
      </w:r>
      <w:r>
        <w:rPr>
          <w:rFonts w:hint="eastAsia"/>
        </w:rPr>
        <w:t>1013m</w:t>
      </w:r>
      <w:r>
        <w:rPr>
          <w:rFonts w:hint="eastAsia"/>
        </w:rPr>
        <w:t>之前，环评建议考虑采用水泵从上游抽水至坝下实现向下游泄放生态流量的功能。因此，水库初期蓄水期间不会出现断流现象。</w:t>
      </w:r>
    </w:p>
    <w:p w:rsidR="006175A6" w:rsidRDefault="00E97427">
      <w:pPr>
        <w:ind w:firstLine="480"/>
      </w:pPr>
      <w:r>
        <w:rPr>
          <w:rFonts w:hint="eastAsia"/>
        </w:rPr>
        <w:t>（</w:t>
      </w:r>
      <w:r w:rsidR="009B4BA7">
        <w:rPr>
          <w:rFonts w:hint="eastAsia"/>
        </w:rPr>
        <w:t>2</w:t>
      </w:r>
      <w:r>
        <w:rPr>
          <w:rFonts w:hint="eastAsia"/>
        </w:rPr>
        <w:t>）</w:t>
      </w:r>
      <w:r w:rsidR="009B4BA7">
        <w:rPr>
          <w:rFonts w:hint="eastAsia"/>
        </w:rPr>
        <w:t>运行期</w:t>
      </w:r>
    </w:p>
    <w:p w:rsidR="006175A6" w:rsidRDefault="009B4BA7">
      <w:pPr>
        <w:ind w:firstLine="480"/>
      </w:pPr>
      <w:r>
        <w:rPr>
          <w:rFonts w:hint="eastAsia"/>
        </w:rPr>
        <w:t>运行期由于坝体内埋设有生态输水管，可以保证坝址下游门家河生态流量为</w:t>
      </w:r>
      <w:r>
        <w:rPr>
          <w:rFonts w:hint="eastAsia"/>
        </w:rPr>
        <w:t>0.312 m</w:t>
      </w:r>
      <w:r>
        <w:rPr>
          <w:rFonts w:hint="eastAsia"/>
          <w:vertAlign w:val="superscript"/>
        </w:rPr>
        <w:t>3</w:t>
      </w:r>
      <w:r>
        <w:rPr>
          <w:rFonts w:hint="eastAsia"/>
        </w:rPr>
        <w:t>/s</w:t>
      </w:r>
      <w:r>
        <w:rPr>
          <w:rFonts w:hint="eastAsia"/>
        </w:rPr>
        <w:t>，不存在断流风险。</w:t>
      </w:r>
    </w:p>
    <w:p w:rsidR="006175A6" w:rsidRDefault="009B4BA7">
      <w:pPr>
        <w:ind w:firstLine="480"/>
      </w:pPr>
      <w:r>
        <w:rPr>
          <w:rFonts w:hint="eastAsia"/>
        </w:rPr>
        <w:t>生态输水管必须低于死水位，且不设闸门，并在生态输水管处设置在线超声波流量计，与宜昌市生态环境局兴山县分局联网，保证生态流量不小于</w:t>
      </w:r>
      <w:r>
        <w:rPr>
          <w:rFonts w:hint="eastAsia"/>
        </w:rPr>
        <w:t>0.312m</w:t>
      </w:r>
      <w:r>
        <w:rPr>
          <w:rFonts w:hint="eastAsia"/>
          <w:vertAlign w:val="superscript"/>
        </w:rPr>
        <w:t>3</w:t>
      </w:r>
      <w:r>
        <w:rPr>
          <w:rFonts w:hint="eastAsia"/>
        </w:rPr>
        <w:t>/s</w:t>
      </w:r>
      <w:r>
        <w:rPr>
          <w:rFonts w:hint="eastAsia"/>
        </w:rPr>
        <w:t>。生态输水管进水口处安装一滤网，防止输水管堵塞，并定期清洗滤网。</w:t>
      </w:r>
    </w:p>
    <w:p w:rsidR="006175A6" w:rsidRDefault="009B4BA7">
      <w:pPr>
        <w:pStyle w:val="4"/>
      </w:pPr>
      <w:r>
        <w:rPr>
          <w:rFonts w:hint="eastAsia"/>
        </w:rPr>
        <w:lastRenderedPageBreak/>
        <w:t>水库调度方式</w:t>
      </w:r>
    </w:p>
    <w:p w:rsidR="006175A6" w:rsidRDefault="009B4BA7">
      <w:pPr>
        <w:ind w:firstLine="480"/>
      </w:pPr>
      <w:r>
        <w:rPr>
          <w:rFonts w:hint="eastAsia"/>
        </w:rPr>
        <w:t>两河口水库的防洪任务主要是保证大坝自身安全，其防洪调度运用方式为：水库从正常蓄水位开始按有闸控制起调，来水通过水库自身调节后下泄。大坝泄洪采用坝顶开敞式溢洪道，两孔，泄洪流量为</w:t>
      </w:r>
      <w:r>
        <w:rPr>
          <w:rFonts w:hint="eastAsia"/>
        </w:rPr>
        <w:t>816m</w:t>
      </w:r>
      <w:r>
        <w:rPr>
          <w:rFonts w:hint="eastAsia"/>
        </w:rPr>
        <w:t>³</w:t>
      </w:r>
      <w:r>
        <w:rPr>
          <w:rFonts w:hint="eastAsia"/>
        </w:rPr>
        <w:t>/s</w:t>
      </w:r>
      <w:r>
        <w:rPr>
          <w:rFonts w:hint="eastAsia"/>
        </w:rPr>
        <w:t>，堰顶高程</w:t>
      </w:r>
      <w:r>
        <w:rPr>
          <w:rFonts w:hint="eastAsia"/>
        </w:rPr>
        <w:t>1052.5m</w:t>
      </w:r>
      <w:r>
        <w:rPr>
          <w:rFonts w:hint="eastAsia"/>
        </w:rPr>
        <w:t>，管理单位应制定详细运行细则确保工程安全运行。水库在保证自身安全的前提下，首先满足生态用水需求，其次满足城市供水。</w:t>
      </w:r>
    </w:p>
    <w:p w:rsidR="006175A6" w:rsidRDefault="009B4BA7">
      <w:pPr>
        <w:pStyle w:val="2"/>
      </w:pPr>
      <w:bookmarkStart w:id="92" w:name="_Toc80170134"/>
      <w:r>
        <w:rPr>
          <w:rFonts w:hint="eastAsia"/>
        </w:rPr>
        <w:t>地表水环境保护措施</w:t>
      </w:r>
      <w:bookmarkEnd w:id="92"/>
    </w:p>
    <w:p w:rsidR="006175A6" w:rsidRDefault="009B4BA7">
      <w:pPr>
        <w:pStyle w:val="3"/>
      </w:pPr>
      <w:r>
        <w:rPr>
          <w:rFonts w:hint="eastAsia"/>
        </w:rPr>
        <w:t>施工期地表水环境保护措施</w:t>
      </w:r>
    </w:p>
    <w:p w:rsidR="006175A6" w:rsidRDefault="009B4BA7">
      <w:pPr>
        <w:ind w:firstLine="480"/>
      </w:pPr>
      <w:r>
        <w:rPr>
          <w:rFonts w:hint="eastAsia"/>
        </w:rPr>
        <w:t>施工期生产废水主要为基坑废水、砂石料加工废水、混凝土拌和施工机械冲洗废水废水，本项目水土保持方案针对各施工区已设置了沉砂池，可用于生产废水的预沉淀，沉淀后的基坑废水和混凝土拌合设备冲洗水采用絮凝沉淀池（加絮凝剂）处理后打入回用水池，机械设备冲洗废水经隔油池处理后也可作为中水回用生产，处理后的生产废水主要用于混凝土拌合、拌合设备冲洗和场地降尘。</w:t>
      </w:r>
    </w:p>
    <w:p w:rsidR="006175A6" w:rsidRDefault="009B4BA7">
      <w:pPr>
        <w:ind w:firstLineChars="0" w:firstLine="0"/>
      </w:pPr>
      <w:r>
        <w:rPr>
          <w:noProof/>
        </w:rPr>
        <w:drawing>
          <wp:inline distT="0" distB="0" distL="0" distR="0" wp14:anchorId="1BB047B5" wp14:editId="54BBA75F">
            <wp:extent cx="5274310" cy="1894840"/>
            <wp:effectExtent l="19050" t="19050" r="215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74310" cy="1894845"/>
                    </a:xfrm>
                    <a:prstGeom prst="rect">
                      <a:avLst/>
                    </a:prstGeom>
                    <a:ln w="19050">
                      <a:solidFill>
                        <a:schemeClr val="tx1"/>
                      </a:solidFill>
                    </a:ln>
                  </pic:spPr>
                </pic:pic>
              </a:graphicData>
            </a:graphic>
          </wp:inline>
        </w:drawing>
      </w:r>
    </w:p>
    <w:p w:rsidR="006175A6" w:rsidRDefault="009B4BA7">
      <w:pPr>
        <w:pStyle w:val="a3"/>
      </w:pPr>
      <w:r>
        <w:rPr>
          <w:rFonts w:hint="eastAsia"/>
        </w:rPr>
        <w:t>图</w:t>
      </w:r>
      <w:r>
        <w:rPr>
          <w:rFonts w:hint="eastAsia"/>
        </w:rPr>
        <w:t xml:space="preserve"> </w:t>
      </w:r>
      <w:r w:rsidR="00AC2588">
        <w:fldChar w:fldCharType="begin"/>
      </w:r>
      <w:r w:rsidR="00AC2588">
        <w:instrText xml:space="preserve"> </w:instrText>
      </w:r>
      <w:r w:rsidR="00AC2588">
        <w:rPr>
          <w:rFonts w:hint="eastAsia"/>
        </w:rPr>
        <w:instrText>STYLEREF 2 \s</w:instrText>
      </w:r>
      <w:r w:rsidR="00AC2588">
        <w:instrText xml:space="preserve"> </w:instrText>
      </w:r>
      <w:r w:rsidR="00AC2588">
        <w:fldChar w:fldCharType="separate"/>
      </w:r>
      <w:r w:rsidR="00E97427">
        <w:rPr>
          <w:noProof/>
        </w:rPr>
        <w:t>8.2</w:t>
      </w:r>
      <w:r w:rsidR="00AC2588">
        <w:fldChar w:fldCharType="end"/>
      </w:r>
      <w:r w:rsidR="00AC2588">
        <w:noBreakHyphen/>
      </w:r>
      <w:r w:rsidR="00AC2588">
        <w:fldChar w:fldCharType="begin"/>
      </w:r>
      <w:r w:rsidR="00AC2588">
        <w:instrText xml:space="preserve"> </w:instrText>
      </w:r>
      <w:r w:rsidR="00AC2588">
        <w:rPr>
          <w:rFonts w:hint="eastAsia"/>
        </w:rPr>
        <w:instrText xml:space="preserve">SEQ </w:instrText>
      </w:r>
      <w:r w:rsidR="00AC2588">
        <w:rPr>
          <w:rFonts w:hint="eastAsia"/>
        </w:rPr>
        <w:instrText>图</w:instrText>
      </w:r>
      <w:r w:rsidR="00AC2588">
        <w:rPr>
          <w:rFonts w:hint="eastAsia"/>
        </w:rPr>
        <w:instrText xml:space="preserve"> \* ARABIC \s 2</w:instrText>
      </w:r>
      <w:r w:rsidR="00AC2588">
        <w:instrText xml:space="preserve"> </w:instrText>
      </w:r>
      <w:r w:rsidR="00AC2588">
        <w:fldChar w:fldCharType="separate"/>
      </w:r>
      <w:r w:rsidR="00E97427">
        <w:rPr>
          <w:noProof/>
        </w:rPr>
        <w:t>1</w:t>
      </w:r>
      <w:r w:rsidR="00AC2588">
        <w:fldChar w:fldCharType="end"/>
      </w:r>
      <w:r>
        <w:rPr>
          <w:rFonts w:hint="eastAsia"/>
        </w:rPr>
        <w:t xml:space="preserve">  </w:t>
      </w:r>
      <w:r>
        <w:rPr>
          <w:rFonts w:hint="eastAsia"/>
        </w:rPr>
        <w:t>拟建项目施工期生产废水处理措施</w:t>
      </w:r>
    </w:p>
    <w:p w:rsidR="006175A6" w:rsidRDefault="009B4BA7">
      <w:pPr>
        <w:ind w:firstLine="480"/>
      </w:pPr>
      <w:r>
        <w:rPr>
          <w:rFonts w:hint="eastAsia"/>
        </w:rPr>
        <w:t>工程废水处理情况如下：</w:t>
      </w:r>
    </w:p>
    <w:p w:rsidR="006175A6" w:rsidRDefault="009B4BA7">
      <w:pPr>
        <w:ind w:firstLine="480"/>
      </w:pPr>
      <w:r>
        <w:rPr>
          <w:rFonts w:hint="eastAsia"/>
        </w:rPr>
        <w:t>（</w:t>
      </w:r>
      <w:r>
        <w:rPr>
          <w:rFonts w:hint="eastAsia"/>
        </w:rPr>
        <w:t>1</w:t>
      </w:r>
      <w:r>
        <w:rPr>
          <w:rFonts w:hint="eastAsia"/>
        </w:rPr>
        <w:t>）混凝土拌合、石料加工废水</w:t>
      </w:r>
    </w:p>
    <w:p w:rsidR="006175A6" w:rsidRDefault="009B4BA7">
      <w:pPr>
        <w:ind w:firstLine="480"/>
      </w:pPr>
      <w:r>
        <w:rPr>
          <w:rFonts w:hint="eastAsia"/>
        </w:rPr>
        <w:t>混凝土拌合、石料加工废水主要污染物为</w:t>
      </w:r>
      <w:r>
        <w:rPr>
          <w:rFonts w:hint="eastAsia"/>
        </w:rPr>
        <w:t>SS</w:t>
      </w:r>
      <w:r>
        <w:rPr>
          <w:rFonts w:hint="eastAsia"/>
        </w:rPr>
        <w:t>，石料加工废水</w:t>
      </w:r>
      <w:r>
        <w:rPr>
          <w:rFonts w:hint="eastAsia"/>
        </w:rPr>
        <w:t>SS</w:t>
      </w:r>
      <w:r>
        <w:rPr>
          <w:rFonts w:hint="eastAsia"/>
        </w:rPr>
        <w:t>浓度约</w:t>
      </w:r>
      <w:r>
        <w:rPr>
          <w:rFonts w:hint="eastAsia"/>
        </w:rPr>
        <w:t>20000mg/L</w:t>
      </w:r>
      <w:r>
        <w:rPr>
          <w:rFonts w:hint="eastAsia"/>
        </w:rPr>
        <w:t>，混凝土拌合废水</w:t>
      </w:r>
      <w:r>
        <w:rPr>
          <w:rFonts w:hint="eastAsia"/>
        </w:rPr>
        <w:t>SS</w:t>
      </w:r>
      <w:r>
        <w:rPr>
          <w:rFonts w:hint="eastAsia"/>
        </w:rPr>
        <w:t>浓度可达</w:t>
      </w:r>
      <w:r>
        <w:rPr>
          <w:rFonts w:hint="eastAsia"/>
        </w:rPr>
        <w:t>5000mg/L</w:t>
      </w:r>
      <w:r>
        <w:rPr>
          <w:rFonts w:hint="eastAsia"/>
        </w:rPr>
        <w:t>左右，且碱度较高，可达</w:t>
      </w:r>
      <w:r>
        <w:rPr>
          <w:rFonts w:hint="eastAsia"/>
        </w:rPr>
        <w:t>11</w:t>
      </w:r>
      <w:r>
        <w:rPr>
          <w:rFonts w:hint="eastAsia"/>
        </w:rPr>
        <w:t>。工程设计悬浮物排放浓度控制在</w:t>
      </w:r>
      <w:r>
        <w:rPr>
          <w:rFonts w:hint="eastAsia"/>
        </w:rPr>
        <w:t xml:space="preserve">70mg/L </w:t>
      </w:r>
      <w:r>
        <w:rPr>
          <w:rFonts w:hint="eastAsia"/>
        </w:rPr>
        <w:t>以下，</w:t>
      </w:r>
      <w:r>
        <w:rPr>
          <w:rFonts w:hint="eastAsia"/>
        </w:rPr>
        <w:t xml:space="preserve">pH </w:t>
      </w:r>
      <w:r>
        <w:rPr>
          <w:rFonts w:hint="eastAsia"/>
        </w:rPr>
        <w:t>控制在</w:t>
      </w:r>
      <w:r>
        <w:rPr>
          <w:rFonts w:hint="eastAsia"/>
        </w:rPr>
        <w:t>6</w:t>
      </w:r>
      <w:r>
        <w:rPr>
          <w:rFonts w:hint="eastAsia"/>
        </w:rPr>
        <w:t>～</w:t>
      </w:r>
      <w:r>
        <w:rPr>
          <w:rFonts w:hint="eastAsia"/>
        </w:rPr>
        <w:t>9</w:t>
      </w:r>
      <w:r>
        <w:rPr>
          <w:rFonts w:hint="eastAsia"/>
        </w:rPr>
        <w:t>。根据砂石料和混凝土系统废水的产生量，本工程在坝址左右岸的砂石料筛分系统附近分别设置一套砂石料加工废水处理设施，处理规模均为</w:t>
      </w:r>
      <w:r>
        <w:t>200m³/h</w:t>
      </w:r>
      <w:r>
        <w:rPr>
          <w:rFonts w:hint="eastAsia"/>
        </w:rPr>
        <w:t>，混凝土拌合、石料</w:t>
      </w:r>
      <w:r>
        <w:rPr>
          <w:rFonts w:hint="eastAsia"/>
        </w:rPr>
        <w:lastRenderedPageBreak/>
        <w:t>加工废水产生量最大为</w:t>
      </w:r>
      <w:r>
        <w:rPr>
          <w:rFonts w:hint="eastAsia"/>
        </w:rPr>
        <w:t>117.5</w:t>
      </w:r>
      <w:r>
        <w:t xml:space="preserve"> m³/h</w:t>
      </w:r>
      <w:r>
        <w:rPr>
          <w:rFonts w:hint="eastAsia"/>
        </w:rPr>
        <w:t>，废水处理规模可行。</w:t>
      </w:r>
    </w:p>
    <w:p w:rsidR="006175A6" w:rsidRDefault="009B4BA7">
      <w:pPr>
        <w:ind w:firstLine="480"/>
      </w:pPr>
      <w:r>
        <w:rPr>
          <w:rFonts w:hint="eastAsia"/>
        </w:rPr>
        <w:t>工程对砂石料加工废水采用絮凝沉淀法处理。废水经汇集后流入初沉池，静置沉淀后进入絮凝沉淀池，砂石料加工系统高浓度含砂废水中泥沙结构各异，且各颗粒不规则，粗沙沉降速度较快，细微颗粒的自然沉降速度一般小于</w:t>
      </w:r>
      <w:r>
        <w:rPr>
          <w:rFonts w:hint="eastAsia"/>
        </w:rPr>
        <w:t>0.05mm/s</w:t>
      </w:r>
      <w:r>
        <w:rPr>
          <w:rFonts w:hint="eastAsia"/>
        </w:rPr>
        <w:t>以下，为保证沉降速度，需投加絮凝剂。在絮凝沉淀池中投加绿矾和聚丙烯酰胺的混合溶液，此絮凝剂不仅可以使废水中的悬浮物凝聚、自然沉淀，而且可以起到中和作用，降低</w:t>
      </w:r>
      <w:r>
        <w:rPr>
          <w:rFonts w:hint="eastAsia"/>
        </w:rPr>
        <w:t>pH</w:t>
      </w:r>
      <w:r>
        <w:rPr>
          <w:rFonts w:hint="eastAsia"/>
        </w:rPr>
        <w:t>值。沉沙池和絮凝沉淀池的污泥自然干化，干化后的污泥用抓斗机装入自卸汽车，运输至弃渣场。絮凝沉淀池中的上清液用泵送至施工用水池或作路面降尘用水。工程沿右岸的岸坡分级布置，利用场地高程差做到自流处理。</w:t>
      </w:r>
    </w:p>
    <w:p w:rsidR="006175A6" w:rsidRDefault="009B4BA7">
      <w:pPr>
        <w:ind w:firstLineChars="0" w:firstLine="0"/>
        <w:jc w:val="center"/>
      </w:pPr>
      <w:r>
        <w:rPr>
          <w:noProof/>
        </w:rPr>
        <w:drawing>
          <wp:inline distT="0" distB="0" distL="0" distR="0" wp14:anchorId="3E10BF54" wp14:editId="2388CEDC">
            <wp:extent cx="4132580" cy="2259965"/>
            <wp:effectExtent l="19050" t="19050" r="20320" b="260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4135592" cy="2261652"/>
                    </a:xfrm>
                    <a:prstGeom prst="rect">
                      <a:avLst/>
                    </a:prstGeom>
                    <a:ln w="19050">
                      <a:solidFill>
                        <a:schemeClr val="tx1"/>
                      </a:solidFill>
                    </a:ln>
                  </pic:spPr>
                </pic:pic>
              </a:graphicData>
            </a:graphic>
          </wp:inline>
        </w:drawing>
      </w:r>
    </w:p>
    <w:p w:rsidR="006175A6" w:rsidRDefault="009B4BA7">
      <w:pPr>
        <w:pStyle w:val="a3"/>
        <w:rPr>
          <w:sz w:val="28"/>
        </w:rPr>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8.2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混凝土拌合、石料加工废水处理设施</w:t>
      </w:r>
    </w:p>
    <w:p w:rsidR="006175A6" w:rsidRDefault="009B4BA7">
      <w:pPr>
        <w:ind w:firstLine="480"/>
      </w:pPr>
      <w:r>
        <w:rPr>
          <w:rFonts w:hint="eastAsia"/>
        </w:rPr>
        <w:t>混凝土拌合、石料加工废水处理主要设备构筑物参数如下表所示：</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8.2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2</w:t>
      </w:r>
      <w:r w:rsidR="00A524F9">
        <w:fldChar w:fldCharType="end"/>
      </w:r>
      <w:r>
        <w:rPr>
          <w:rFonts w:hint="eastAsia"/>
        </w:rPr>
        <w:t xml:space="preserve">  </w:t>
      </w:r>
      <w:r>
        <w:rPr>
          <w:rFonts w:hint="eastAsia"/>
        </w:rPr>
        <w:t>混凝土拌合、石料加工废水处理系统主要构筑物参数表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8"/>
        <w:gridCol w:w="1054"/>
        <w:gridCol w:w="833"/>
        <w:gridCol w:w="637"/>
        <w:gridCol w:w="1051"/>
        <w:gridCol w:w="1202"/>
        <w:gridCol w:w="637"/>
        <w:gridCol w:w="2264"/>
      </w:tblGrid>
      <w:tr w:rsidR="006175A6">
        <w:trPr>
          <w:trHeight w:val="340"/>
        </w:trPr>
        <w:tc>
          <w:tcPr>
            <w:tcW w:w="38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序号</w:t>
            </w:r>
          </w:p>
        </w:tc>
        <w:tc>
          <w:tcPr>
            <w:tcW w:w="63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主要构筑物</w:t>
            </w:r>
          </w:p>
        </w:tc>
        <w:tc>
          <w:tcPr>
            <w:tcW w:w="2239" w:type="pct"/>
            <w:gridSpan w:val="4"/>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各处理设施参数</w:t>
            </w:r>
          </w:p>
        </w:tc>
        <w:tc>
          <w:tcPr>
            <w:tcW w:w="383"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数量</w:t>
            </w:r>
          </w:p>
        </w:tc>
        <w:tc>
          <w:tcPr>
            <w:tcW w:w="1361" w:type="pct"/>
            <w:vMerge w:val="restar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尺寸（长</w:t>
            </w:r>
            <w:r>
              <w:rPr>
                <w:rFonts w:ascii="Times New Roman" w:hAnsi="Times New Roman" w:cs="Times New Roman"/>
                <w:sz w:val="21"/>
                <w:szCs w:val="21"/>
              </w:rPr>
              <w:t>×</w:t>
            </w:r>
            <w:r>
              <w:rPr>
                <w:rFonts w:ascii="Times New Roman" w:hAnsi="Times New Roman" w:cs="Times New Roman"/>
                <w:sz w:val="21"/>
                <w:szCs w:val="21"/>
              </w:rPr>
              <w:t>宽</w:t>
            </w:r>
            <w:r>
              <w:rPr>
                <w:rFonts w:ascii="Times New Roman" w:hAnsi="Times New Roman" w:cs="Times New Roman"/>
                <w:sz w:val="21"/>
                <w:szCs w:val="21"/>
              </w:rPr>
              <w:t>×</w:t>
            </w:r>
            <w:r>
              <w:rPr>
                <w:rFonts w:ascii="Times New Roman" w:hAnsi="Times New Roman" w:cs="Times New Roman"/>
                <w:sz w:val="21"/>
                <w:szCs w:val="21"/>
              </w:rPr>
              <w:t>高）</w:t>
            </w:r>
          </w:p>
        </w:tc>
      </w:tr>
      <w:tr w:rsidR="006175A6">
        <w:trPr>
          <w:trHeight w:val="340"/>
        </w:trPr>
        <w:tc>
          <w:tcPr>
            <w:tcW w:w="383" w:type="pct"/>
            <w:vMerge/>
            <w:vAlign w:val="center"/>
          </w:tcPr>
          <w:p w:rsidR="006175A6" w:rsidRDefault="006175A6">
            <w:pPr>
              <w:widowControl/>
              <w:spacing w:line="240" w:lineRule="auto"/>
              <w:ind w:firstLineChars="0" w:firstLine="0"/>
              <w:jc w:val="center"/>
              <w:rPr>
                <w:sz w:val="21"/>
              </w:rPr>
            </w:pPr>
          </w:p>
        </w:tc>
        <w:tc>
          <w:tcPr>
            <w:tcW w:w="633" w:type="pct"/>
            <w:vMerge/>
            <w:vAlign w:val="center"/>
          </w:tcPr>
          <w:p w:rsidR="006175A6" w:rsidRDefault="006175A6">
            <w:pPr>
              <w:widowControl/>
              <w:spacing w:line="240" w:lineRule="auto"/>
              <w:ind w:firstLineChars="0" w:firstLine="0"/>
              <w:jc w:val="center"/>
              <w:rPr>
                <w:sz w:val="21"/>
              </w:rPr>
            </w:pPr>
          </w:p>
        </w:tc>
        <w:tc>
          <w:tcPr>
            <w:tcW w:w="50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流速</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m/s</w:t>
            </w: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停留</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时间</w:t>
            </w:r>
          </w:p>
        </w:tc>
        <w:tc>
          <w:tcPr>
            <w:tcW w:w="63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有效深度</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rPr>
              <w:t>）</w:t>
            </w:r>
          </w:p>
        </w:tc>
        <w:tc>
          <w:tcPr>
            <w:tcW w:w="72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表面负荷</w:t>
            </w:r>
          </w:p>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ascii="Times New Roman" w:hAnsi="Times New Roman" w:cs="Times New Roman"/>
                <w:sz w:val="21"/>
                <w:szCs w:val="21"/>
              </w:rPr>
              <w:t>.h</w:t>
            </w:r>
            <w:r>
              <w:rPr>
                <w:rFonts w:ascii="Times New Roman" w:hAnsi="Times New Roman" w:cs="Times New Roman"/>
                <w:sz w:val="21"/>
                <w:szCs w:val="21"/>
              </w:rPr>
              <w:t>）</w:t>
            </w:r>
          </w:p>
        </w:tc>
        <w:tc>
          <w:tcPr>
            <w:tcW w:w="383" w:type="pct"/>
            <w:vMerge/>
            <w:vAlign w:val="center"/>
          </w:tcPr>
          <w:p w:rsidR="006175A6" w:rsidRDefault="006175A6">
            <w:pPr>
              <w:widowControl/>
              <w:spacing w:line="240" w:lineRule="auto"/>
              <w:ind w:firstLineChars="0" w:firstLine="0"/>
              <w:jc w:val="center"/>
              <w:rPr>
                <w:sz w:val="21"/>
              </w:rPr>
            </w:pPr>
          </w:p>
        </w:tc>
        <w:tc>
          <w:tcPr>
            <w:tcW w:w="1361" w:type="pct"/>
            <w:vMerge/>
            <w:vAlign w:val="center"/>
          </w:tcPr>
          <w:p w:rsidR="006175A6" w:rsidRDefault="006175A6">
            <w:pPr>
              <w:widowControl/>
              <w:spacing w:line="240" w:lineRule="auto"/>
              <w:ind w:firstLineChars="0" w:firstLine="0"/>
              <w:jc w:val="center"/>
              <w:rPr>
                <w:sz w:val="21"/>
              </w:rPr>
            </w:pPr>
          </w:p>
        </w:tc>
      </w:tr>
      <w:tr w:rsidR="006175A6">
        <w:trPr>
          <w:trHeight w:val="340"/>
        </w:trPr>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w:t>
            </w:r>
          </w:p>
        </w:tc>
        <w:tc>
          <w:tcPr>
            <w:tcW w:w="63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沉砂池</w:t>
            </w:r>
          </w:p>
        </w:tc>
        <w:tc>
          <w:tcPr>
            <w:tcW w:w="50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60s</w:t>
            </w:r>
          </w:p>
        </w:tc>
        <w:tc>
          <w:tcPr>
            <w:tcW w:w="63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0.19</w:t>
            </w:r>
          </w:p>
        </w:tc>
        <w:tc>
          <w:tcPr>
            <w:tcW w:w="72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座</w:t>
            </w:r>
          </w:p>
        </w:tc>
        <w:tc>
          <w:tcPr>
            <w:tcW w:w="136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9.0×2×1.20m</w:t>
            </w:r>
          </w:p>
        </w:tc>
      </w:tr>
      <w:tr w:rsidR="006175A6">
        <w:trPr>
          <w:trHeight w:val="340"/>
        </w:trPr>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w:t>
            </w:r>
          </w:p>
        </w:tc>
        <w:tc>
          <w:tcPr>
            <w:tcW w:w="63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絮凝沉淀池</w:t>
            </w:r>
          </w:p>
        </w:tc>
        <w:tc>
          <w:tcPr>
            <w:tcW w:w="50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0.005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1.0h</w:t>
            </w:r>
          </w:p>
        </w:tc>
        <w:tc>
          <w:tcPr>
            <w:tcW w:w="63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w:t>
            </w:r>
          </w:p>
        </w:tc>
        <w:tc>
          <w:tcPr>
            <w:tcW w:w="72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2.5</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座</w:t>
            </w:r>
          </w:p>
        </w:tc>
        <w:tc>
          <w:tcPr>
            <w:tcW w:w="1361" w:type="pct"/>
            <w:vAlign w:val="center"/>
          </w:tcPr>
          <w:p w:rsidR="006175A6" w:rsidRDefault="009B4BA7">
            <w:pPr>
              <w:pStyle w:val="TableParagraph"/>
              <w:rPr>
                <w:rFonts w:ascii="Times New Roman" w:hAnsi="Times New Roman" w:cs="Times New Roman"/>
                <w:sz w:val="21"/>
                <w:szCs w:val="21"/>
                <w:lang w:eastAsia="zh-CN"/>
              </w:rPr>
            </w:pPr>
            <w:r>
              <w:rPr>
                <w:rFonts w:ascii="Times New Roman" w:hAnsi="Times New Roman" w:cs="Times New Roman"/>
                <w:sz w:val="21"/>
                <w:szCs w:val="21"/>
                <w:lang w:eastAsia="zh-CN"/>
              </w:rPr>
              <w:t>18×4.5×2.5m</w:t>
            </w:r>
            <w:r>
              <w:rPr>
                <w:rFonts w:ascii="Times New Roman" w:hAnsi="Times New Roman" w:cs="Times New Roman"/>
                <w:sz w:val="21"/>
                <w:szCs w:val="21"/>
                <w:lang w:eastAsia="zh-CN"/>
              </w:rPr>
              <w:t>（</w:t>
            </w:r>
            <w:r>
              <w:rPr>
                <w:rFonts w:ascii="Times New Roman" w:hAnsi="Times New Roman" w:cs="Times New Roman"/>
                <w:sz w:val="21"/>
                <w:szCs w:val="21"/>
                <w:lang w:eastAsia="zh-CN"/>
              </w:rPr>
              <w:t xml:space="preserve">2 </w:t>
            </w:r>
            <w:r>
              <w:rPr>
                <w:rFonts w:ascii="Times New Roman" w:hAnsi="Times New Roman" w:cs="Times New Roman"/>
                <w:sz w:val="21"/>
                <w:szCs w:val="21"/>
                <w:lang w:eastAsia="zh-CN"/>
              </w:rPr>
              <w:t>格，单格宽</w:t>
            </w:r>
            <w:r>
              <w:rPr>
                <w:rFonts w:ascii="Times New Roman" w:hAnsi="Times New Roman" w:cs="Times New Roman"/>
                <w:sz w:val="21"/>
                <w:szCs w:val="21"/>
                <w:lang w:eastAsia="zh-CN"/>
              </w:rPr>
              <w:t xml:space="preserve"> 2.25m</w:t>
            </w:r>
            <w:r>
              <w:rPr>
                <w:rFonts w:ascii="Times New Roman" w:hAnsi="Times New Roman" w:cs="Times New Roman"/>
                <w:sz w:val="21"/>
                <w:szCs w:val="21"/>
                <w:lang w:eastAsia="zh-CN"/>
              </w:rPr>
              <w:t>）</w:t>
            </w:r>
          </w:p>
        </w:tc>
      </w:tr>
      <w:tr w:rsidR="006175A6">
        <w:trPr>
          <w:trHeight w:val="340"/>
        </w:trPr>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3</w:t>
            </w:r>
          </w:p>
        </w:tc>
        <w:tc>
          <w:tcPr>
            <w:tcW w:w="63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施工水池</w:t>
            </w:r>
          </w:p>
        </w:tc>
        <w:tc>
          <w:tcPr>
            <w:tcW w:w="50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63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72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座</w:t>
            </w:r>
          </w:p>
        </w:tc>
        <w:tc>
          <w:tcPr>
            <w:tcW w:w="136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可采用主体工程施工用水池</w:t>
            </w:r>
          </w:p>
        </w:tc>
      </w:tr>
      <w:tr w:rsidR="006175A6">
        <w:trPr>
          <w:trHeight w:val="340"/>
        </w:trPr>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4</w:t>
            </w:r>
          </w:p>
        </w:tc>
        <w:tc>
          <w:tcPr>
            <w:tcW w:w="63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污泥干化场</w:t>
            </w:r>
          </w:p>
        </w:tc>
        <w:tc>
          <w:tcPr>
            <w:tcW w:w="50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632"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72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w:t>
            </w:r>
          </w:p>
        </w:tc>
        <w:tc>
          <w:tcPr>
            <w:tcW w:w="383"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sz w:val="21"/>
                <w:szCs w:val="21"/>
              </w:rPr>
              <w:t>个</w:t>
            </w:r>
          </w:p>
        </w:tc>
        <w:tc>
          <w:tcPr>
            <w:tcW w:w="1361" w:type="pct"/>
            <w:vAlign w:val="center"/>
          </w:tcPr>
          <w:p w:rsidR="006175A6" w:rsidRDefault="009B4BA7">
            <w:pPr>
              <w:pStyle w:val="TableParagraph"/>
              <w:rPr>
                <w:rFonts w:ascii="Times New Roman" w:hAnsi="Times New Roman" w:cs="Times New Roman"/>
                <w:sz w:val="21"/>
                <w:szCs w:val="21"/>
              </w:rPr>
            </w:pPr>
            <w:r>
              <w:rPr>
                <w:rFonts w:ascii="Times New Roman" w:hAnsi="Times New Roman" w:cs="Times New Roman"/>
                <w:sz w:val="21"/>
                <w:szCs w:val="21"/>
              </w:rPr>
              <w:t>每个污泥干化场</w:t>
            </w:r>
            <w:r>
              <w:rPr>
                <w:rFonts w:ascii="Times New Roman" w:hAnsi="Times New Roman" w:cs="Times New Roman"/>
                <w:sz w:val="21"/>
                <w:szCs w:val="21"/>
              </w:rPr>
              <w:t>100m</w:t>
            </w:r>
            <w:r>
              <w:rPr>
                <w:rFonts w:ascii="Times New Roman" w:hAnsi="Times New Roman" w:cs="Times New Roman"/>
                <w:sz w:val="21"/>
                <w:szCs w:val="21"/>
                <w:vertAlign w:val="superscript"/>
              </w:rPr>
              <w:t>2</w:t>
            </w:r>
          </w:p>
        </w:tc>
      </w:tr>
    </w:tbl>
    <w:p w:rsidR="006175A6" w:rsidRDefault="009B4BA7">
      <w:pPr>
        <w:ind w:firstLine="480"/>
      </w:pPr>
      <w:r>
        <w:rPr>
          <w:rFonts w:hint="eastAsia"/>
        </w:rPr>
        <w:t>（</w:t>
      </w:r>
      <w:r>
        <w:rPr>
          <w:rFonts w:hint="eastAsia"/>
        </w:rPr>
        <w:t>2</w:t>
      </w:r>
      <w:r>
        <w:rPr>
          <w:rFonts w:hint="eastAsia"/>
        </w:rPr>
        <w:t>）基坑废水</w:t>
      </w:r>
    </w:p>
    <w:p w:rsidR="006175A6" w:rsidRDefault="009B4BA7">
      <w:pPr>
        <w:ind w:firstLine="480"/>
      </w:pPr>
      <w:r>
        <w:rPr>
          <w:rFonts w:hint="eastAsia"/>
        </w:rPr>
        <w:t>基坑废水悬浮物浓度约</w:t>
      </w:r>
      <w:r>
        <w:rPr>
          <w:rFonts w:hint="eastAsia"/>
        </w:rPr>
        <w:t>5000mg/L</w:t>
      </w:r>
      <w:r>
        <w:rPr>
          <w:rFonts w:hint="eastAsia"/>
        </w:rPr>
        <w:t>，根据三峡及其它水电项目对基坑废水的</w:t>
      </w:r>
      <w:r>
        <w:rPr>
          <w:rFonts w:hint="eastAsia"/>
        </w:rPr>
        <w:lastRenderedPageBreak/>
        <w:t>处理经验，基坑废水经静置沉淀后上清液回用或者排放，基坑废水沉淀池面积在</w:t>
      </w:r>
      <w:r>
        <w:rPr>
          <w:rFonts w:hint="eastAsia"/>
        </w:rPr>
        <w:t>100m</w:t>
      </w:r>
      <w:r>
        <w:rPr>
          <w:rFonts w:hint="eastAsia"/>
        </w:rPr>
        <w:t>²左右，水深</w:t>
      </w:r>
      <w:r>
        <w:rPr>
          <w:rFonts w:hint="eastAsia"/>
        </w:rPr>
        <w:t>1m</w:t>
      </w:r>
      <w:r>
        <w:rPr>
          <w:rFonts w:hint="eastAsia"/>
        </w:rPr>
        <w:t>，剩余污泥由抓斗机抓至自卸汽车运至弃渣场。</w:t>
      </w:r>
    </w:p>
    <w:p w:rsidR="006175A6" w:rsidRDefault="009B4BA7">
      <w:pPr>
        <w:ind w:firstLine="480"/>
      </w:pPr>
      <w:r>
        <w:rPr>
          <w:rFonts w:hint="eastAsia"/>
        </w:rPr>
        <w:t>（</w:t>
      </w:r>
      <w:r>
        <w:rPr>
          <w:rFonts w:hint="eastAsia"/>
        </w:rPr>
        <w:t>3</w:t>
      </w:r>
      <w:r>
        <w:rPr>
          <w:rFonts w:hint="eastAsia"/>
        </w:rPr>
        <w:t>）施工机械冲洗废水</w:t>
      </w:r>
    </w:p>
    <w:p w:rsidR="006175A6" w:rsidRDefault="009B4BA7">
      <w:pPr>
        <w:ind w:firstLine="480"/>
      </w:pPr>
      <w:r>
        <w:rPr>
          <w:rFonts w:hint="eastAsia"/>
        </w:rPr>
        <w:t>施工机械冲洗废水主要污染物为石油类和悬浮物，废水产生量约为</w:t>
      </w:r>
      <w:r>
        <w:rPr>
          <w:rFonts w:hint="eastAsia"/>
        </w:rPr>
        <w:t>28.8m</w:t>
      </w:r>
      <w:r>
        <w:rPr>
          <w:rFonts w:hint="eastAsia"/>
          <w:vertAlign w:val="superscript"/>
        </w:rPr>
        <w:t>3</w:t>
      </w:r>
      <w:r>
        <w:rPr>
          <w:rFonts w:hint="eastAsia"/>
        </w:rPr>
        <w:t xml:space="preserve">/d, </w:t>
      </w:r>
      <w:r>
        <w:rPr>
          <w:rFonts w:hint="eastAsia"/>
        </w:rPr>
        <w:t>该污水处理系统采用倾斜板式隔油池，清液排放。设计处理量为</w:t>
      </w:r>
      <w:r>
        <w:rPr>
          <w:rFonts w:hint="eastAsia"/>
        </w:rPr>
        <w:t>5m</w:t>
      </w:r>
      <w:r>
        <w:rPr>
          <w:rFonts w:hint="eastAsia"/>
        </w:rPr>
        <w:t>³</w:t>
      </w:r>
      <w:r>
        <w:rPr>
          <w:rFonts w:hint="eastAsia"/>
        </w:rPr>
        <w:t>/h</w:t>
      </w:r>
      <w:r>
        <w:rPr>
          <w:rFonts w:hint="eastAsia"/>
        </w:rPr>
        <w:t>，设备外观为</w:t>
      </w:r>
      <w:r>
        <w:rPr>
          <w:rFonts w:hint="eastAsia"/>
        </w:rPr>
        <w:t>1500</w:t>
      </w:r>
      <w:r>
        <w:rPr>
          <w:rFonts w:hint="eastAsia"/>
        </w:rPr>
        <w:t>×</w:t>
      </w:r>
      <w:r>
        <w:rPr>
          <w:rFonts w:hint="eastAsia"/>
        </w:rPr>
        <w:t>1100</w:t>
      </w:r>
      <w:r>
        <w:rPr>
          <w:rFonts w:hint="eastAsia"/>
        </w:rPr>
        <w:t>×</w:t>
      </w:r>
      <w:r>
        <w:rPr>
          <w:rFonts w:hint="eastAsia"/>
        </w:rPr>
        <w:t>2200mm</w:t>
      </w:r>
      <w:r>
        <w:rPr>
          <w:rFonts w:hint="eastAsia"/>
        </w:rPr>
        <w:t>（长×宽×高）。含油污水处理系统布置在坝址左岸施工场地内的汽车、机械修理厂附近，处理后的污水回用于生产。</w:t>
      </w:r>
    </w:p>
    <w:p w:rsidR="006175A6" w:rsidRDefault="009B4BA7">
      <w:pPr>
        <w:ind w:firstLine="480"/>
      </w:pPr>
      <w:r>
        <w:rPr>
          <w:rFonts w:hint="eastAsia"/>
        </w:rPr>
        <w:t>（</w:t>
      </w:r>
      <w:r>
        <w:rPr>
          <w:rFonts w:hint="eastAsia"/>
        </w:rPr>
        <w:t>4</w:t>
      </w:r>
      <w:r>
        <w:rPr>
          <w:rFonts w:hint="eastAsia"/>
        </w:rPr>
        <w:t>）生活污水</w:t>
      </w:r>
    </w:p>
    <w:p w:rsidR="006175A6" w:rsidRDefault="009B4BA7">
      <w:pPr>
        <w:ind w:firstLine="480"/>
      </w:pPr>
      <w:r>
        <w:rPr>
          <w:rFonts w:hint="eastAsia"/>
        </w:rPr>
        <w:t>施工区生活污水处理拟采用成套生活污水处理设备，处理效率高，占地面积小，操作简单，能重复使用。成套一体化生活污水处理设备共</w:t>
      </w:r>
      <w:r>
        <w:rPr>
          <w:rFonts w:hint="eastAsia"/>
        </w:rPr>
        <w:t xml:space="preserve">1 </w:t>
      </w:r>
      <w:r>
        <w:rPr>
          <w:rFonts w:hint="eastAsia"/>
        </w:rPr>
        <w:t>套。施工区生活污水处理流程见图。</w:t>
      </w:r>
    </w:p>
    <w:p w:rsidR="006175A6" w:rsidRDefault="009B4BA7">
      <w:pPr>
        <w:ind w:firstLineChars="0" w:firstLine="0"/>
      </w:pPr>
      <w:r>
        <w:rPr>
          <w:noProof/>
        </w:rPr>
        <w:drawing>
          <wp:inline distT="0" distB="0" distL="0" distR="0" wp14:anchorId="5274A37D" wp14:editId="5FB0DCE2">
            <wp:extent cx="5274310" cy="1576070"/>
            <wp:effectExtent l="19050" t="19050" r="21590" b="241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5274310" cy="1576188"/>
                    </a:xfrm>
                    <a:prstGeom prst="rect">
                      <a:avLst/>
                    </a:prstGeom>
                    <a:ln w="19050">
                      <a:solidFill>
                        <a:schemeClr val="tx1"/>
                      </a:solidFill>
                    </a:ln>
                  </pic:spPr>
                </pic:pic>
              </a:graphicData>
            </a:graphic>
          </wp:inline>
        </w:drawing>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8.2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3</w:t>
      </w:r>
      <w:r w:rsidR="00A524F9">
        <w:fldChar w:fldCharType="end"/>
      </w:r>
      <w:r>
        <w:rPr>
          <w:rFonts w:hint="eastAsia"/>
        </w:rPr>
        <w:t xml:space="preserve">  </w:t>
      </w:r>
      <w:r>
        <w:rPr>
          <w:rFonts w:hint="eastAsia"/>
        </w:rPr>
        <w:t>生活废水一体化处理设施</w:t>
      </w:r>
    </w:p>
    <w:p w:rsidR="006175A6" w:rsidRDefault="009B4BA7">
      <w:pPr>
        <w:ind w:firstLine="480"/>
      </w:pPr>
      <w:r>
        <w:rPr>
          <w:rFonts w:hint="eastAsia"/>
        </w:rPr>
        <w:t>生活污水属低浓度有机废水，可生化性较好且营养元素种类比较齐全。在一体化处理设备中采用三级接触氧化，设调节池调解污水水质、水量，曝气系统采用射流曝气器。根据工程布置特点及生活污水产生量，生活污水处理采用</w:t>
      </w:r>
      <w:r>
        <w:rPr>
          <w:rFonts w:hint="eastAsia"/>
        </w:rPr>
        <w:t xml:space="preserve">WSZ-5 </w:t>
      </w:r>
      <w:r>
        <w:rPr>
          <w:rFonts w:hint="eastAsia"/>
        </w:rPr>
        <w:t>型钢板模块式地埋式生活污水处理设备，处理能力为</w:t>
      </w:r>
      <w:r>
        <w:rPr>
          <w:rFonts w:hint="eastAsia"/>
        </w:rPr>
        <w:t>5m</w:t>
      </w:r>
      <w:r>
        <w:rPr>
          <w:rFonts w:hint="eastAsia"/>
        </w:rPr>
        <w:t>³</w:t>
      </w:r>
      <w:r>
        <w:rPr>
          <w:rFonts w:hint="eastAsia"/>
        </w:rPr>
        <w:t>/h</w:t>
      </w:r>
      <w:r>
        <w:rPr>
          <w:rFonts w:hint="eastAsia"/>
        </w:rPr>
        <w:t>，工程生活污水排放量约为</w:t>
      </w:r>
      <w:r>
        <w:rPr>
          <w:rFonts w:hint="eastAsia"/>
        </w:rPr>
        <w:t>4m</w:t>
      </w:r>
      <w:r>
        <w:rPr>
          <w:rFonts w:hint="eastAsia"/>
        </w:rPr>
        <w:t>³</w:t>
      </w:r>
      <w:r>
        <w:rPr>
          <w:rFonts w:hint="eastAsia"/>
        </w:rPr>
        <w:t>/h</w:t>
      </w:r>
      <w:r>
        <w:rPr>
          <w:rFonts w:hint="eastAsia"/>
        </w:rPr>
        <w:t>，处理规模可行。该设备初沉池为竖流式沉淀池，处理后的水自流至接触池进行生化处理，接触池分三级，总停留时间在</w:t>
      </w:r>
      <w:r>
        <w:rPr>
          <w:rFonts w:hint="eastAsia"/>
        </w:rPr>
        <w:t xml:space="preserve">4h </w:t>
      </w:r>
      <w:r>
        <w:rPr>
          <w:rFonts w:hint="eastAsia"/>
        </w:rPr>
        <w:t>以上。生化后的污水流至二沉池，二沉池为两只竖流式沉淀池并列运行，上升流速为</w:t>
      </w:r>
      <w:r>
        <w:rPr>
          <w:rFonts w:hint="eastAsia"/>
        </w:rPr>
        <w:t>0.3</w:t>
      </w:r>
      <w:r>
        <w:rPr>
          <w:rFonts w:hint="eastAsia"/>
        </w:rPr>
        <w:t>～</w:t>
      </w:r>
      <w:r>
        <w:rPr>
          <w:rFonts w:hint="eastAsia"/>
        </w:rPr>
        <w:t>0.4mm/s</w:t>
      </w:r>
      <w:r>
        <w:rPr>
          <w:rFonts w:hint="eastAsia"/>
        </w:rPr>
        <w:t>，排泥采用空气提升至污泥池。废水经过二沉池进入消毒池，消毒</w:t>
      </w:r>
      <w:r>
        <w:rPr>
          <w:rFonts w:hint="eastAsia"/>
        </w:rPr>
        <w:t>30min</w:t>
      </w:r>
      <w:r>
        <w:rPr>
          <w:rFonts w:hint="eastAsia"/>
        </w:rPr>
        <w:t>后排放至青龙口河。</w:t>
      </w:r>
    </w:p>
    <w:p w:rsidR="006175A6" w:rsidRDefault="009B4BA7">
      <w:pPr>
        <w:pStyle w:val="3"/>
      </w:pPr>
      <w:r>
        <w:rPr>
          <w:rFonts w:hint="eastAsia"/>
        </w:rPr>
        <w:lastRenderedPageBreak/>
        <w:t>运行期地表水环境保护措施</w:t>
      </w:r>
    </w:p>
    <w:p w:rsidR="006175A6" w:rsidRDefault="009B4BA7">
      <w:pPr>
        <w:pStyle w:val="4"/>
      </w:pPr>
      <w:r>
        <w:rPr>
          <w:rFonts w:hint="eastAsia"/>
        </w:rPr>
        <w:t>划分水源保护区</w:t>
      </w:r>
    </w:p>
    <w:p w:rsidR="006175A6" w:rsidRDefault="009B4BA7">
      <w:pPr>
        <w:ind w:firstLine="480"/>
      </w:pPr>
      <w:r>
        <w:rPr>
          <w:rFonts w:hint="eastAsia"/>
        </w:rPr>
        <w:t>本工程主要任务是供水，为保护水库水质，按照《饮用水水源保护区划分技术规范》（</w:t>
      </w:r>
      <w:r>
        <w:t>HJ 338-2018</w:t>
      </w:r>
      <w:r>
        <w:rPr>
          <w:rFonts w:hint="eastAsia"/>
        </w:rPr>
        <w:t>），本工程属于湖库型水源，应设置引用置饮用水水源保护区，根据《饮用水水源保护区污染防治管理规定》（</w:t>
      </w:r>
      <w:r>
        <w:rPr>
          <w:rFonts w:hint="eastAsia"/>
        </w:rPr>
        <w:t>2010</w:t>
      </w:r>
      <w:r>
        <w:rPr>
          <w:rFonts w:hint="eastAsia"/>
        </w:rPr>
        <w:t>年修正本）第二十一条，“饮用水水源保护区的划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同级水行政、国土资源、卫生、建设等部门提出划定方案，征求同级有关部门的意见后，报省、自治区、直辖市人民政府批准。”。</w:t>
      </w:r>
    </w:p>
    <w:p w:rsidR="006175A6" w:rsidRDefault="009B4BA7">
      <w:pPr>
        <w:ind w:firstLine="480"/>
      </w:pPr>
      <w:r>
        <w:rPr>
          <w:rFonts w:hint="eastAsia"/>
        </w:rPr>
        <w:t>本次环评建议兴山县人民政府根据项目实施实际情况，按上述规定的要求，组织相关部门联合制定兴山县饮用水源调整和划分方案以及相应的保护措施，并上报宜昌市人民政府审批后实施。</w:t>
      </w:r>
    </w:p>
    <w:p w:rsidR="006175A6" w:rsidRDefault="009B4BA7">
      <w:pPr>
        <w:ind w:firstLine="480"/>
      </w:pPr>
      <w:r>
        <w:rPr>
          <w:rFonts w:hint="eastAsia"/>
        </w:rPr>
        <w:t>本项目水库库容为</w:t>
      </w:r>
      <w:r>
        <w:rPr>
          <w:rFonts w:hint="eastAsia"/>
        </w:rPr>
        <w:t>0.1075</w:t>
      </w:r>
      <w:r>
        <w:rPr>
          <w:rFonts w:hint="eastAsia"/>
        </w:rPr>
        <w:t>亿</w:t>
      </w:r>
      <w:r>
        <w:rPr>
          <w:rFonts w:hint="eastAsia"/>
        </w:rPr>
        <w:t>m</w:t>
      </w:r>
      <w:r>
        <w:rPr>
          <w:rFonts w:hint="eastAsia"/>
          <w:vertAlign w:val="superscript"/>
        </w:rPr>
        <w:t>3</w:t>
      </w:r>
      <w:r>
        <w:rPr>
          <w:rFonts w:hint="eastAsia"/>
        </w:rPr>
        <w:t>，属于《饮用水水源保护区划分技术规范》（</w:t>
      </w:r>
      <w:r>
        <w:t>HJ 338-2018</w:t>
      </w:r>
      <w:r>
        <w:rPr>
          <w:rFonts w:hint="eastAsia"/>
        </w:rPr>
        <w:t>）表</w:t>
      </w:r>
      <w:r>
        <w:rPr>
          <w:rFonts w:hint="eastAsia"/>
        </w:rPr>
        <w:t>2</w:t>
      </w:r>
      <w:r>
        <w:rPr>
          <w:rFonts w:hint="eastAsia"/>
        </w:rPr>
        <w:t>中的中性水库，故环评建议在两河口水库为取水口半径不小于</w:t>
      </w:r>
      <w:r>
        <w:rPr>
          <w:rFonts w:hint="eastAsia"/>
        </w:rPr>
        <w:t xml:space="preserve"> 300m </w:t>
      </w:r>
      <w:r>
        <w:rPr>
          <w:rFonts w:hint="eastAsia"/>
        </w:rPr>
        <w:t>范围内的水域以及该水域以外不小于</w:t>
      </w:r>
      <w:r>
        <w:rPr>
          <w:rFonts w:hint="eastAsia"/>
        </w:rPr>
        <w:t>200 m</w:t>
      </w:r>
      <w:r>
        <w:rPr>
          <w:rFonts w:hint="eastAsia"/>
        </w:rPr>
        <w:t>范围不超过流域分水岭范围的陆域设置饮用水水源地一级保护区。在一级保护区以外的水域面积以及水库周边山脊线以内（一级保护区以外）及入库河流上溯不小于</w:t>
      </w:r>
      <w:r>
        <w:rPr>
          <w:rFonts w:hint="eastAsia"/>
        </w:rPr>
        <w:t xml:space="preserve"> 3000 m </w:t>
      </w:r>
      <w:r>
        <w:rPr>
          <w:rFonts w:hint="eastAsia"/>
        </w:rPr>
        <w:t>的汇水区域设定二级保护区，二级保护区陆域边界不超过相应的流域分水岭。</w:t>
      </w:r>
    </w:p>
    <w:p w:rsidR="006175A6" w:rsidRDefault="009B4BA7">
      <w:pPr>
        <w:pStyle w:val="4"/>
      </w:pPr>
      <w:r>
        <w:rPr>
          <w:rFonts w:hint="eastAsia"/>
        </w:rPr>
        <w:t>饮用水源地保护措施</w:t>
      </w:r>
    </w:p>
    <w:p w:rsidR="006175A6" w:rsidRDefault="009B4BA7">
      <w:pPr>
        <w:ind w:firstLine="480"/>
      </w:pPr>
      <w:r>
        <w:rPr>
          <w:rFonts w:hint="eastAsia"/>
        </w:rPr>
        <w:t>根据《饮用水水源保护区污染防治管理规定》（</w:t>
      </w:r>
      <w:r>
        <w:rPr>
          <w:rFonts w:hint="eastAsia"/>
        </w:rPr>
        <w:t>2010</w:t>
      </w:r>
      <w:r>
        <w:rPr>
          <w:rFonts w:hint="eastAsia"/>
        </w:rPr>
        <w:t>年修正本），饮用水地表水源保护区保护措施如下：</w:t>
      </w:r>
    </w:p>
    <w:p w:rsidR="006175A6" w:rsidRDefault="009B4BA7">
      <w:pPr>
        <w:ind w:firstLine="480"/>
      </w:pPr>
      <w:r>
        <w:rPr>
          <w:rFonts w:hint="eastAsia"/>
        </w:rPr>
        <w:t>饮用水地表水源取水口附近划定一定的水域和陆域作为饮用水地表水源一级保护区。一级保护区的水质标准不得低于国家规定的《</w:t>
      </w:r>
      <w:r>
        <w:rPr>
          <w:rFonts w:hint="eastAsia"/>
        </w:rPr>
        <w:t>GB3838</w:t>
      </w:r>
      <w:r>
        <w:rPr>
          <w:rFonts w:hint="eastAsia"/>
        </w:rPr>
        <w:t>－</w:t>
      </w:r>
      <w:r>
        <w:rPr>
          <w:rFonts w:hint="eastAsia"/>
        </w:rPr>
        <w:t>2002</w:t>
      </w:r>
      <w:r>
        <w:rPr>
          <w:rFonts w:hint="eastAsia"/>
        </w:rPr>
        <w:t>地表水环境质量标准》Ⅱ类标准，并须符合国家规定的《</w:t>
      </w:r>
      <w:r>
        <w:rPr>
          <w:rFonts w:hint="eastAsia"/>
        </w:rPr>
        <w:t>GB5749</w:t>
      </w:r>
      <w:r>
        <w:rPr>
          <w:rFonts w:hint="eastAsia"/>
        </w:rPr>
        <w:t>－</w:t>
      </w:r>
      <w:r>
        <w:rPr>
          <w:rFonts w:hint="eastAsia"/>
        </w:rPr>
        <w:t>2006</w:t>
      </w:r>
      <w:r>
        <w:rPr>
          <w:rFonts w:hint="eastAsia"/>
        </w:rPr>
        <w:t>生活饮用水卫生标准》的要求。</w:t>
      </w:r>
    </w:p>
    <w:p w:rsidR="006175A6" w:rsidRDefault="009B4BA7">
      <w:pPr>
        <w:ind w:firstLine="480"/>
      </w:pPr>
      <w:r>
        <w:rPr>
          <w:rFonts w:hint="eastAsia"/>
        </w:rPr>
        <w:t>在饮用水地表水源一级保护区外划定一定的水域和陆域作为饮用水地表水源二级保护区。二级保护区的水质标准不得低于国家规定的《</w:t>
      </w:r>
      <w:r>
        <w:rPr>
          <w:rFonts w:hint="eastAsia"/>
        </w:rPr>
        <w:t>GB3838</w:t>
      </w:r>
      <w:r>
        <w:rPr>
          <w:rFonts w:hint="eastAsia"/>
        </w:rPr>
        <w:t>－</w:t>
      </w:r>
      <w:r>
        <w:rPr>
          <w:rFonts w:hint="eastAsia"/>
        </w:rPr>
        <w:t>2002</w:t>
      </w:r>
      <w:r>
        <w:rPr>
          <w:rFonts w:hint="eastAsia"/>
        </w:rPr>
        <w:t>地</w:t>
      </w:r>
      <w:r>
        <w:rPr>
          <w:rFonts w:hint="eastAsia"/>
        </w:rPr>
        <w:lastRenderedPageBreak/>
        <w:t>表水环境质量标准》Ⅲ类标准，应保证一级保护区的水质能满足规定的标准。</w:t>
      </w:r>
    </w:p>
    <w:p w:rsidR="006175A6" w:rsidRDefault="009B4BA7">
      <w:pPr>
        <w:ind w:firstLine="480"/>
      </w:pPr>
      <w:r>
        <w:rPr>
          <w:rFonts w:hint="eastAsia"/>
        </w:rPr>
        <w:t>饮用水地表水源各级保护区及准保护区内均必须遵守下列规定：</w:t>
      </w:r>
    </w:p>
    <w:p w:rsidR="006175A6" w:rsidRDefault="009B4BA7">
      <w:pPr>
        <w:ind w:firstLine="480"/>
      </w:pPr>
      <w:r>
        <w:rPr>
          <w:rFonts w:hint="eastAsia"/>
        </w:rPr>
        <w:t>一、禁止一切破坏水环境生态平衡的活动以及破坏水源林、护岸林、与水源保护相关植被的活动。</w:t>
      </w:r>
    </w:p>
    <w:p w:rsidR="006175A6" w:rsidRDefault="009B4BA7">
      <w:pPr>
        <w:ind w:firstLine="480"/>
      </w:pPr>
      <w:r>
        <w:rPr>
          <w:rFonts w:hint="eastAsia"/>
        </w:rPr>
        <w:t>二、禁止向水域倾倒工业废渣、城市垃圾、粪便及其它废弃物。</w:t>
      </w:r>
    </w:p>
    <w:p w:rsidR="006175A6" w:rsidRDefault="009B4BA7">
      <w:pPr>
        <w:ind w:firstLine="480"/>
      </w:pPr>
      <w:r>
        <w:rPr>
          <w:rFonts w:hint="eastAsia"/>
        </w:rPr>
        <w:t>三、运输有毒有害物质、油类、粪便的船舶和车辆一般不准进入保护区，必须进入者应事先申请并经有关部门批准、登记并设置防渗、防溢、防漏设施。</w:t>
      </w:r>
    </w:p>
    <w:p w:rsidR="006175A6" w:rsidRDefault="009B4BA7">
      <w:pPr>
        <w:ind w:firstLine="480"/>
      </w:pPr>
      <w:r>
        <w:rPr>
          <w:rFonts w:hint="eastAsia"/>
        </w:rPr>
        <w:t>四、禁止使用剧毒和高残留农药，不得滥用化肥，不得使用炸药、毒品捕杀鱼类。</w:t>
      </w:r>
    </w:p>
    <w:p w:rsidR="006175A6" w:rsidRDefault="009B4BA7">
      <w:pPr>
        <w:ind w:firstLine="480"/>
      </w:pPr>
      <w:r>
        <w:rPr>
          <w:rFonts w:hint="eastAsia"/>
        </w:rPr>
        <w:t>一级保护区内：</w:t>
      </w:r>
    </w:p>
    <w:p w:rsidR="006175A6" w:rsidRDefault="009B4BA7">
      <w:pPr>
        <w:ind w:firstLine="480"/>
      </w:pPr>
      <w:r>
        <w:rPr>
          <w:rFonts w:hint="eastAsia"/>
        </w:rPr>
        <w:t>禁止新建、扩建与供水设施和保护水源无关的建设项目；</w:t>
      </w:r>
    </w:p>
    <w:p w:rsidR="006175A6" w:rsidRDefault="009B4BA7">
      <w:pPr>
        <w:ind w:firstLine="480"/>
      </w:pPr>
      <w:r>
        <w:rPr>
          <w:rFonts w:hint="eastAsia"/>
        </w:rPr>
        <w:t>禁止向水域排放污水，已设置的排污口必须拆除；</w:t>
      </w:r>
    </w:p>
    <w:p w:rsidR="006175A6" w:rsidRDefault="009B4BA7">
      <w:pPr>
        <w:ind w:firstLine="480"/>
      </w:pPr>
      <w:r>
        <w:rPr>
          <w:rFonts w:hint="eastAsia"/>
        </w:rPr>
        <w:t>不得设置与供水需要无关的码头，禁止停靠船舶；</w:t>
      </w:r>
    </w:p>
    <w:p w:rsidR="006175A6" w:rsidRDefault="009B4BA7">
      <w:pPr>
        <w:ind w:firstLine="480"/>
      </w:pPr>
      <w:r>
        <w:rPr>
          <w:rFonts w:hint="eastAsia"/>
        </w:rPr>
        <w:t>禁止堆置和存放工业废渣、城市垃圾、粪便和其他废弃物；</w:t>
      </w:r>
    </w:p>
    <w:p w:rsidR="006175A6" w:rsidRDefault="009B4BA7">
      <w:pPr>
        <w:ind w:firstLine="480"/>
      </w:pPr>
      <w:r>
        <w:rPr>
          <w:rFonts w:hint="eastAsia"/>
        </w:rPr>
        <w:t>禁止设置油库；</w:t>
      </w:r>
    </w:p>
    <w:p w:rsidR="006175A6" w:rsidRDefault="009B4BA7">
      <w:pPr>
        <w:ind w:firstLine="480"/>
      </w:pPr>
      <w:r>
        <w:rPr>
          <w:rFonts w:hint="eastAsia"/>
        </w:rPr>
        <w:t>禁止从事种植、放养畜禽和网箱养殖活动；</w:t>
      </w:r>
    </w:p>
    <w:p w:rsidR="006175A6" w:rsidRDefault="009B4BA7">
      <w:pPr>
        <w:ind w:firstLine="480"/>
      </w:pPr>
      <w:r>
        <w:rPr>
          <w:rFonts w:hint="eastAsia"/>
        </w:rPr>
        <w:t>禁止可能污染水源的旅游活动和其他活动。</w:t>
      </w:r>
    </w:p>
    <w:p w:rsidR="006175A6" w:rsidRDefault="009B4BA7">
      <w:pPr>
        <w:ind w:firstLine="480"/>
      </w:pPr>
      <w:r>
        <w:rPr>
          <w:rFonts w:hint="eastAsia"/>
        </w:rPr>
        <w:t>二级保护区内：</w:t>
      </w:r>
    </w:p>
    <w:p w:rsidR="006175A6" w:rsidRDefault="009B4BA7">
      <w:pPr>
        <w:ind w:firstLine="480"/>
      </w:pPr>
      <w:r>
        <w:rPr>
          <w:rFonts w:hint="eastAsia"/>
        </w:rPr>
        <w:t>禁止新建、改建、扩建排放污染物的建设项目；</w:t>
      </w:r>
    </w:p>
    <w:p w:rsidR="006175A6" w:rsidRDefault="009B4BA7">
      <w:pPr>
        <w:ind w:firstLine="480"/>
      </w:pPr>
      <w:r>
        <w:rPr>
          <w:rFonts w:hint="eastAsia"/>
        </w:rPr>
        <w:t>原有排污口依法拆除或者关闭；</w:t>
      </w:r>
    </w:p>
    <w:p w:rsidR="006175A6" w:rsidRDefault="009B4BA7">
      <w:pPr>
        <w:ind w:firstLine="480"/>
      </w:pPr>
      <w:r>
        <w:rPr>
          <w:rFonts w:hint="eastAsia"/>
        </w:rPr>
        <w:t>禁止设立装卸垃圾、粪便、油类和有毒物品的码头。</w:t>
      </w:r>
    </w:p>
    <w:p w:rsidR="006175A6" w:rsidRDefault="009B4BA7">
      <w:pPr>
        <w:ind w:firstLine="480"/>
      </w:pPr>
      <w:r>
        <w:rPr>
          <w:rFonts w:hint="eastAsia"/>
        </w:rPr>
        <w:t>在生活饮用水地表水源各级环境保护区内从事生产、经营活动，应当遵守《湖北省人民政府办公厅关于印发湖北省县级以上集中式饮用水水源保护区划分方案的通知》的有关规定。</w:t>
      </w:r>
    </w:p>
    <w:p w:rsidR="006175A6" w:rsidRDefault="009B4BA7">
      <w:pPr>
        <w:pStyle w:val="4"/>
      </w:pPr>
      <w:r>
        <w:rPr>
          <w:rFonts w:hint="eastAsia"/>
        </w:rPr>
        <w:t>工程运行期管理区的水污染防治措施</w:t>
      </w:r>
    </w:p>
    <w:p w:rsidR="006175A6" w:rsidRDefault="009B4BA7">
      <w:pPr>
        <w:ind w:firstLine="480"/>
      </w:pPr>
      <w:r>
        <w:rPr>
          <w:rFonts w:hint="eastAsia"/>
        </w:rPr>
        <w:t>工程运行期管理区主要水污染为管理人员的生活污水，运营期生活污水经三格化粪池预处理之后用于绿化灌溉，不外排。运行期对水库的管理措施如下：</w:t>
      </w:r>
    </w:p>
    <w:p w:rsidR="006175A6" w:rsidRDefault="009B4BA7">
      <w:pPr>
        <w:ind w:firstLine="480"/>
      </w:pPr>
      <w:r>
        <w:rPr>
          <w:rFonts w:hint="eastAsia"/>
        </w:rPr>
        <w:t>（</w:t>
      </w:r>
      <w:r>
        <w:rPr>
          <w:rFonts w:hint="eastAsia"/>
        </w:rPr>
        <w:t>1</w:t>
      </w:r>
      <w:r>
        <w:rPr>
          <w:rFonts w:hint="eastAsia"/>
        </w:rPr>
        <w:t>）生态流量下放措施</w:t>
      </w:r>
    </w:p>
    <w:p w:rsidR="006175A6" w:rsidRDefault="009B4BA7">
      <w:pPr>
        <w:ind w:firstLine="480"/>
      </w:pPr>
      <w:r>
        <w:rPr>
          <w:rFonts w:hint="eastAsia"/>
        </w:rPr>
        <w:t>根据两河口水库坝址下游生态用水需要，确定水库下泄生态基流不得小于</w:t>
      </w:r>
      <w:r>
        <w:rPr>
          <w:rFonts w:hint="eastAsia"/>
        </w:rPr>
        <w:lastRenderedPageBreak/>
        <w:t>0.312m</w:t>
      </w:r>
      <w:r>
        <w:rPr>
          <w:rFonts w:hint="eastAsia"/>
          <w:vertAlign w:val="superscript"/>
        </w:rPr>
        <w:t>3</w:t>
      </w:r>
      <w:r>
        <w:rPr>
          <w:rFonts w:hint="eastAsia"/>
        </w:rPr>
        <w:t>/s</w:t>
      </w:r>
      <w:r>
        <w:rPr>
          <w:rFonts w:hint="eastAsia"/>
        </w:rPr>
        <w:t>。主体设计已在总干渠设置有生态放水管，水库运行期间，要确保生态放水管开启。在采取调度措施后，工程建设后对下游减水河段的水质影响不大。主体设计采用生态流量放水管进行下泄，生态放水管底板高程位于死水位以下，可保证任意时段均能下泄流量，位置合理。根据水利水电相关设计规范，在生态下泄放空管处将设置流量计，为保障下泄水量满足要求，本环评建议采取流量计与宜昌市生态环境局兴山县分局联网在线监测。</w:t>
      </w:r>
    </w:p>
    <w:p w:rsidR="006175A6" w:rsidRDefault="009B4BA7">
      <w:pPr>
        <w:ind w:firstLine="480"/>
      </w:pPr>
      <w:r>
        <w:rPr>
          <w:rFonts w:hint="eastAsia"/>
        </w:rPr>
        <w:t>（</w:t>
      </w:r>
      <w:r>
        <w:rPr>
          <w:rFonts w:hint="eastAsia"/>
        </w:rPr>
        <w:t>2</w:t>
      </w:r>
      <w:r>
        <w:rPr>
          <w:rFonts w:hint="eastAsia"/>
        </w:rPr>
        <w:t>）污染源治理措施</w:t>
      </w:r>
    </w:p>
    <w:p w:rsidR="006175A6" w:rsidRDefault="009B4BA7">
      <w:pPr>
        <w:ind w:firstLine="480"/>
      </w:pPr>
      <w:r>
        <w:rPr>
          <w:rFonts w:hint="eastAsia"/>
        </w:rPr>
        <w:t>①点源治理</w:t>
      </w:r>
    </w:p>
    <w:p w:rsidR="006175A6" w:rsidRDefault="009B4BA7">
      <w:pPr>
        <w:ind w:firstLine="480"/>
      </w:pPr>
      <w:r>
        <w:rPr>
          <w:rFonts w:hint="eastAsia"/>
        </w:rPr>
        <w:t>库区点源治理措施主要是对库底进行清理，库底卫生清理决定着水库及其下游河段水质和生物资源有效、合理开发利用的能力和深度，也是控制蓄水后传染病流行的必要措施。库底卫生清理应根据淹没区淹没实物调查资料，弄清淹没区的垃圾堆等的数量和分布，并进行清理。</w:t>
      </w:r>
    </w:p>
    <w:p w:rsidR="006175A6" w:rsidRDefault="009B4BA7">
      <w:pPr>
        <w:ind w:firstLine="480"/>
      </w:pPr>
      <w:r>
        <w:rPr>
          <w:rFonts w:hint="eastAsia"/>
        </w:rPr>
        <w:t>②面源治理</w:t>
      </w:r>
    </w:p>
    <w:p w:rsidR="006175A6" w:rsidRDefault="009B4BA7">
      <w:pPr>
        <w:ind w:firstLine="480"/>
      </w:pPr>
      <w:r>
        <w:rPr>
          <w:rFonts w:hint="eastAsia"/>
        </w:rPr>
        <w:t>面源污染主要是农田径流污染，库区禁止集约化农作物种植，占用耕地的部分建议发展有机农业；准保护区应建设生态缓冲带，农作物种植面积应严格控制，选用低毒农药和缓释肥，推广测土配方施肥技术。按照有机农业生产标准，通过不采用基因工程获得的生物及其产物，不使用化学合成的农药、化肥、生长调节剂、饲料添加剂等物质，遵循自然规律和生态学原理，实施等高耕作、梯田耕作以及保留收割时的残留物，利用秸秆还田、绿肥施用等措施保持土壤养分循环，降低径流坡度，尽量减少土壤表层的人为扰动，降低污染物进入水体中的概率。</w:t>
      </w:r>
    </w:p>
    <w:p w:rsidR="006175A6" w:rsidRDefault="009B4BA7">
      <w:pPr>
        <w:ind w:firstLine="480"/>
      </w:pPr>
      <w:r>
        <w:rPr>
          <w:rFonts w:hint="eastAsia"/>
        </w:rPr>
        <w:t>通过测土配方施肥，可以有在农田和水源之间建设生态缓冲带，利用缓冲带植物的吸附和分解作用，拦截农田氮磷等营养物质进入水源，同时，缓冲区有助于阻止附近地区（耕地及养殖场）的径流污染物，对库滨地区的水土保持，减少库滨带土壤侵蚀量也有重要作用。同时水库上游有效减少化肥施用量、提高化肥利用率，减少化肥流失对饮用水水源的污染。</w:t>
      </w:r>
    </w:p>
    <w:p w:rsidR="006175A6" w:rsidRDefault="009B4BA7">
      <w:pPr>
        <w:ind w:firstLine="480"/>
      </w:pPr>
      <w:r>
        <w:rPr>
          <w:rFonts w:hint="eastAsia"/>
        </w:rPr>
        <w:t>③生态修复</w:t>
      </w:r>
    </w:p>
    <w:p w:rsidR="006175A6" w:rsidRDefault="009B4BA7">
      <w:pPr>
        <w:ind w:firstLine="480"/>
      </w:pPr>
      <w:r>
        <w:rPr>
          <w:rFonts w:hint="eastAsia"/>
        </w:rPr>
        <w:t>在两河口水库正常蓄水位</w:t>
      </w:r>
      <w:r>
        <w:rPr>
          <w:rFonts w:hint="eastAsia"/>
        </w:rPr>
        <w:t>1058m</w:t>
      </w:r>
      <w:r>
        <w:rPr>
          <w:rFonts w:hint="eastAsia"/>
        </w:rPr>
        <w:t>库周范围内，在农田和水源之间建设生物隔离带，放缓河坡，在近岸带种植根系发达的植物，设置防护林，依靠植物固结土壤，防止岸坡冲刷，维护岸坡稳定性，为水中生物提供栖息地和活动的场所，</w:t>
      </w:r>
      <w:r>
        <w:rPr>
          <w:rFonts w:hint="eastAsia"/>
        </w:rPr>
        <w:lastRenderedPageBreak/>
        <w:t>起到保护、恢复自然环境的效果，减少水土流失，涵养水源，净化水质。</w:t>
      </w:r>
    </w:p>
    <w:p w:rsidR="006175A6" w:rsidRDefault="009B4BA7">
      <w:pPr>
        <w:ind w:firstLine="480"/>
      </w:pPr>
      <w:r>
        <w:rPr>
          <w:rFonts w:hint="eastAsia"/>
        </w:rPr>
        <w:t>对水库不同粒径的泥沙清淤物，按其不同用途进行综合利用处理。细颗粒泥沙是一些营养物质和一些有机质的载体，是建造肥沃良田的优质原料；其他泥沙可用于工程建筑材料和填沟造田，可使水库泥沙淤积治理产生综合效益，降低挖沙成本；对于未经处理的和不能进行综合利用的清淤物应堆放到安全地带，防止清淤物再次流入水体，对环境造成污染。</w:t>
      </w:r>
    </w:p>
    <w:p w:rsidR="006175A6" w:rsidRDefault="009B4BA7">
      <w:pPr>
        <w:ind w:firstLine="480"/>
      </w:pPr>
      <w:r>
        <w:rPr>
          <w:rFonts w:hint="eastAsia"/>
        </w:rPr>
        <w:t>④管理措施</w:t>
      </w:r>
    </w:p>
    <w:p w:rsidR="006175A6" w:rsidRDefault="009B4BA7">
      <w:pPr>
        <w:ind w:firstLine="480"/>
      </w:pPr>
      <w:r>
        <w:rPr>
          <w:rFonts w:hint="eastAsia"/>
        </w:rPr>
        <w:t>运行期，建议将两河口水库纳入《湖北省县级以上集中式饮用水源保护区划分方案》管理范围，并报省政府批准；设置专门的水库管理部门对水库进行管理，防治意外突发污染事故的发生，并建立水源地保护报告制度；在水源保护区内禁止从事网箱养殖、家禽家畜养殖、旅游、游泳、垂钓、放牧、开矿、采砂或者其他可能污染饮用水水体的活动；在饮用水水源保护区内，禁止设置排污口；移民安置及农田开垦要尽量避开饮用水源保护区；禁止在饮用水水源准保护区内新建、扩建对水体污染严重的建设项目，改建建设项目，不得增加排污量；积极开展教育当地人员注意保护环境、提高环保意识，禁止随意向河流中倾倒废水废物；在水源保护区内设置警示牌。</w:t>
      </w:r>
    </w:p>
    <w:p w:rsidR="006175A6" w:rsidRDefault="009B4BA7">
      <w:pPr>
        <w:pStyle w:val="2"/>
      </w:pPr>
      <w:bookmarkStart w:id="93" w:name="_Toc80170135"/>
      <w:r>
        <w:rPr>
          <w:rFonts w:hint="eastAsia"/>
        </w:rPr>
        <w:t>地下水污染防治措施</w:t>
      </w:r>
      <w:bookmarkEnd w:id="93"/>
    </w:p>
    <w:p w:rsidR="006175A6" w:rsidRDefault="009B4BA7">
      <w:pPr>
        <w:ind w:firstLine="480"/>
      </w:pPr>
      <w:r>
        <w:rPr>
          <w:rFonts w:hint="eastAsia"/>
        </w:rPr>
        <w:t>（</w:t>
      </w:r>
      <w:r>
        <w:rPr>
          <w:rFonts w:hint="eastAsia"/>
        </w:rPr>
        <w:t>1</w:t>
      </w:r>
      <w:r>
        <w:rPr>
          <w:rFonts w:hint="eastAsia"/>
        </w:rPr>
        <w:t>）水库渗漏防治措施</w:t>
      </w:r>
    </w:p>
    <w:p w:rsidR="006175A6" w:rsidRDefault="009B4BA7">
      <w:pPr>
        <w:ind w:firstLine="480"/>
      </w:pPr>
      <w:r>
        <w:rPr>
          <w:rFonts w:hint="eastAsia"/>
        </w:rPr>
        <w:t>构成库盆及库岸地层均为震旦系灯影组上段白马沱段（</w:t>
      </w:r>
      <w:r>
        <w:rPr>
          <w:rFonts w:hint="eastAsia"/>
        </w:rPr>
        <w:t>Z</w:t>
      </w:r>
      <w:r>
        <w:rPr>
          <w:rFonts w:hint="eastAsia"/>
          <w:vertAlign w:val="subscript"/>
        </w:rPr>
        <w:t>2</w:t>
      </w:r>
      <w:r>
        <w:rPr>
          <w:rFonts w:hint="eastAsia"/>
        </w:rPr>
        <w:t>dn</w:t>
      </w:r>
      <w:r>
        <w:rPr>
          <w:rFonts w:hint="eastAsia"/>
          <w:vertAlign w:val="superscript"/>
        </w:rPr>
        <w:t>3</w:t>
      </w:r>
      <w:r>
        <w:rPr>
          <w:rFonts w:hint="eastAsia"/>
        </w:rPr>
        <w:t>）硅质白云岩、中段石板滩段（</w:t>
      </w:r>
      <w:r>
        <w:rPr>
          <w:rFonts w:hint="eastAsia"/>
        </w:rPr>
        <w:t>Z</w:t>
      </w:r>
      <w:r>
        <w:rPr>
          <w:rFonts w:hint="eastAsia"/>
          <w:vertAlign w:val="subscript"/>
        </w:rPr>
        <w:t>2</w:t>
      </w:r>
      <w:r>
        <w:rPr>
          <w:rFonts w:hint="eastAsia"/>
        </w:rPr>
        <w:t>dn</w:t>
      </w:r>
      <w:r>
        <w:rPr>
          <w:rFonts w:hint="eastAsia"/>
          <w:vertAlign w:val="superscript"/>
        </w:rPr>
        <w:t>2</w:t>
      </w:r>
      <w:r>
        <w:rPr>
          <w:rFonts w:hint="eastAsia"/>
        </w:rPr>
        <w:t>）黑色薄层沥青质灰岩、页岩，寒武系下统下部（∈</w:t>
      </w:r>
      <w:r>
        <w:rPr>
          <w:rFonts w:hint="eastAsia"/>
        </w:rPr>
        <w:t>11</w:t>
      </w:r>
      <w:r>
        <w:rPr>
          <w:rFonts w:hint="eastAsia"/>
        </w:rPr>
        <w:t>）砂质页岩夹灰岩，均为可溶蚀性较差的岩石。岩体渗透性微弱，为相对不透水性岩体，形成了相对封闭的库盆。从地质测绘及坝区钻探成果看，坝区地表及深部岩溶不发育，坝基及两岸无岩溶管道性渗漏。从两岸钻探揭示的钻孔地下水位分析，虽然两岸地下水位较低，但地下水位水力坡降与地形呈正相关系，无陡降与异常现象。坝基渗漏以裂隙性为主。坝基及两岸岩体的透水性比较均一。由于左、右岸无相对隔水岩层分布，因此建议防渗帷幕的设计以悬挂式帷幕为宜，且防渗帷幕标准以</w:t>
      </w:r>
      <w:r>
        <w:rPr>
          <w:rFonts w:hint="eastAsia"/>
        </w:rPr>
        <w:t>3Lu</w:t>
      </w:r>
      <w:r>
        <w:rPr>
          <w:rFonts w:hint="eastAsia"/>
        </w:rPr>
        <w:t>为其下限。</w:t>
      </w:r>
    </w:p>
    <w:p w:rsidR="006175A6" w:rsidRDefault="009B4BA7">
      <w:pPr>
        <w:ind w:firstLine="480"/>
      </w:pPr>
      <w:r>
        <w:rPr>
          <w:rFonts w:hint="eastAsia"/>
        </w:rPr>
        <w:t>绕坝渗漏：根据地形条件及地下水位高程，地下水位与地形坡度呈正相关关</w:t>
      </w:r>
      <w:r>
        <w:rPr>
          <w:rFonts w:hint="eastAsia"/>
        </w:rPr>
        <w:lastRenderedPageBreak/>
        <w:t>系，地下水位会越来越高，采用帷幕延长后，其绕坝渗漏可能性较小。环评建议根据施工期坝顶灌浆廊道的灌浆压水试验段确定，加强帷幕灌浆处理，上述地下水污染防治措施是可行的。</w:t>
      </w:r>
    </w:p>
    <w:p w:rsidR="006175A6" w:rsidRDefault="009B4BA7">
      <w:pPr>
        <w:ind w:firstLine="480"/>
      </w:pPr>
      <w:r>
        <w:rPr>
          <w:rFonts w:hint="eastAsia"/>
        </w:rPr>
        <w:t>（</w:t>
      </w:r>
      <w:r>
        <w:rPr>
          <w:rFonts w:hint="eastAsia"/>
        </w:rPr>
        <w:t>2</w:t>
      </w:r>
      <w:r>
        <w:rPr>
          <w:rFonts w:hint="eastAsia"/>
        </w:rPr>
        <w:t>）库岸稳定保护措施</w:t>
      </w:r>
    </w:p>
    <w:p w:rsidR="006175A6" w:rsidRDefault="009B4BA7">
      <w:pPr>
        <w:ind w:firstLine="480"/>
      </w:pPr>
      <w:r>
        <w:rPr>
          <w:rFonts w:hint="eastAsia"/>
        </w:rPr>
        <w:t>坝区以上库段，回水至石柱村，全长约</w:t>
      </w:r>
      <w:r>
        <w:rPr>
          <w:rFonts w:hint="eastAsia"/>
        </w:rPr>
        <w:t xml:space="preserve"> 2.1 </w:t>
      </w:r>
      <w:r>
        <w:rPr>
          <w:rFonts w:hint="eastAsia"/>
        </w:rPr>
        <w:t>公里。高程</w:t>
      </w:r>
      <w:r>
        <w:rPr>
          <w:rFonts w:hint="eastAsia"/>
        </w:rPr>
        <w:t xml:space="preserve"> 1100m </w:t>
      </w:r>
      <w:r>
        <w:rPr>
          <w:rFonts w:hint="eastAsia"/>
        </w:rPr>
        <w:t>以下库岸以峡谷型地貌为主，</w:t>
      </w:r>
      <w:r>
        <w:rPr>
          <w:rFonts w:hint="eastAsia"/>
        </w:rPr>
        <w:t xml:space="preserve">1100m </w:t>
      </w:r>
      <w:r>
        <w:rPr>
          <w:rFonts w:hint="eastAsia"/>
        </w:rPr>
        <w:t>以上为一台地，地势较为平缓。组成库岸的岩层主要为震旦系灯影组（</w:t>
      </w:r>
      <w:r>
        <w:rPr>
          <w:rFonts w:hint="eastAsia"/>
        </w:rPr>
        <w:t>Z2dn</w:t>
      </w:r>
      <w:r>
        <w:rPr>
          <w:rFonts w:hint="eastAsia"/>
        </w:rPr>
        <w:t>）下部的浅灰色厚</w:t>
      </w:r>
      <w:r>
        <w:rPr>
          <w:rFonts w:hint="eastAsia"/>
        </w:rPr>
        <w:t>~</w:t>
      </w:r>
      <w:r>
        <w:rPr>
          <w:rFonts w:hint="eastAsia"/>
        </w:rPr>
        <w:t>巨厚层白云岩、角砾状白云岩以及寒武系下统（∈</w:t>
      </w:r>
      <w:r>
        <w:rPr>
          <w:rFonts w:hint="eastAsia"/>
        </w:rPr>
        <w:t>1</w:t>
      </w:r>
      <w:r>
        <w:rPr>
          <w:rFonts w:hint="eastAsia"/>
        </w:rPr>
        <w:t>）下部砂质页岩夹灰岩等。岩体以硬质岩为主，岩层倾角平缓，总体岩质岸坡稳定性较好。但由于受北西向构造断裂以及卸荷裂隙影响，局部靠近岸坡陡壁以下产生崩塌堆积，总体方量较小，大多处于库区回水线以下，成库后，对库岸稳定影响不大。本次环评建议对该范围进行加固处理，在正常蓄水位降至死水位、暴雨、边坡排水时效及地震发生的情况下，加强对该地区的监测和库区库岸巡视。</w:t>
      </w:r>
    </w:p>
    <w:p w:rsidR="006175A6" w:rsidRDefault="009B4BA7">
      <w:pPr>
        <w:ind w:firstLine="480"/>
      </w:pPr>
      <w:r>
        <w:rPr>
          <w:rFonts w:hint="eastAsia"/>
        </w:rPr>
        <w:t>（</w:t>
      </w:r>
      <w:r>
        <w:rPr>
          <w:rFonts w:hint="eastAsia"/>
        </w:rPr>
        <w:t>3</w:t>
      </w:r>
      <w:r>
        <w:rPr>
          <w:rFonts w:hint="eastAsia"/>
        </w:rPr>
        <w:t>）风险防范措施</w:t>
      </w:r>
    </w:p>
    <w:p w:rsidR="006175A6" w:rsidRDefault="009B4BA7">
      <w:pPr>
        <w:ind w:firstLine="480"/>
      </w:pPr>
      <w:r>
        <w:rPr>
          <w:rFonts w:hint="eastAsia"/>
        </w:rPr>
        <w:t>严格管理施工期和运行期的废污水收集、处理系统，处理后均回用，不对地下水水质造成影响，并加强废污水处理系统的风险管理及风险防范措施。施工期油桶储存区地面进行硬化处置，四周修建围堰、收油沟及集油池，确保事故泄漏的油料全部收集在施工区内，不进入地下水等外环境，上述地下水污染防治措施可行。</w:t>
      </w:r>
    </w:p>
    <w:p w:rsidR="006175A6" w:rsidRDefault="009B4BA7">
      <w:pPr>
        <w:pStyle w:val="2"/>
      </w:pPr>
      <w:bookmarkStart w:id="94" w:name="_Toc80170136"/>
      <w:r>
        <w:rPr>
          <w:rFonts w:hint="eastAsia"/>
        </w:rPr>
        <w:t>大气污染防治措施</w:t>
      </w:r>
      <w:bookmarkEnd w:id="94"/>
    </w:p>
    <w:p w:rsidR="006175A6" w:rsidRDefault="009B4BA7">
      <w:pPr>
        <w:pStyle w:val="3"/>
      </w:pPr>
      <w:r>
        <w:rPr>
          <w:rFonts w:hint="eastAsia"/>
        </w:rPr>
        <w:t>防治目标</w:t>
      </w:r>
    </w:p>
    <w:p w:rsidR="006175A6" w:rsidRDefault="009B4BA7">
      <w:pPr>
        <w:ind w:firstLine="480"/>
      </w:pPr>
      <w:r>
        <w:rPr>
          <w:rFonts w:hint="eastAsia"/>
        </w:rPr>
        <w:t>削减施工大气污染物排放量，改善施工现场工作条件，保护施工生活区及外环境敏感区环境空气质量。大气环境保护以保证敏感区域大气环境质量满足《环境空气质量标准》（</w:t>
      </w:r>
      <w:r>
        <w:rPr>
          <w:rFonts w:hint="eastAsia"/>
        </w:rPr>
        <w:t>GB3095-2012</w:t>
      </w:r>
      <w:r>
        <w:rPr>
          <w:rFonts w:hint="eastAsia"/>
        </w:rPr>
        <w:t>）二级标准为控制目标，其中</w:t>
      </w:r>
      <w:r>
        <w:rPr>
          <w:rFonts w:hint="eastAsia"/>
        </w:rPr>
        <w:t xml:space="preserve">TSP </w:t>
      </w:r>
      <w:r>
        <w:rPr>
          <w:rFonts w:hint="eastAsia"/>
        </w:rPr>
        <w:t>控制目标为</w:t>
      </w:r>
      <w:r>
        <w:rPr>
          <w:rFonts w:hint="eastAsia"/>
        </w:rPr>
        <w:t>0.30mg/m3</w:t>
      </w:r>
      <w:r>
        <w:rPr>
          <w:rFonts w:hint="eastAsia"/>
        </w:rPr>
        <w:t>。</w:t>
      </w:r>
    </w:p>
    <w:p w:rsidR="006175A6" w:rsidRDefault="009B4BA7">
      <w:pPr>
        <w:ind w:firstLine="480"/>
      </w:pPr>
      <w:r>
        <w:rPr>
          <w:rFonts w:hint="eastAsia"/>
        </w:rPr>
        <w:t>施工区环境空气污染防治主要从爆破及施工开挖等产生的粉尘污染、混凝土拌和系统产生的扬尘、车辆运输产生的扬尘及尾气、机械燃油废气和爆破废气污染等方面进行防治。</w:t>
      </w:r>
    </w:p>
    <w:p w:rsidR="006175A6" w:rsidRDefault="009B4BA7">
      <w:pPr>
        <w:pStyle w:val="3"/>
      </w:pPr>
      <w:r>
        <w:rPr>
          <w:rFonts w:hint="eastAsia"/>
        </w:rPr>
        <w:lastRenderedPageBreak/>
        <w:t>扬尘及粉尘控制措施</w:t>
      </w:r>
    </w:p>
    <w:p w:rsidR="006175A6" w:rsidRDefault="009B4BA7">
      <w:pPr>
        <w:ind w:firstLine="480"/>
      </w:pPr>
      <w:r>
        <w:rPr>
          <w:rFonts w:hint="eastAsia"/>
        </w:rPr>
        <w:t>（</w:t>
      </w:r>
      <w:r>
        <w:rPr>
          <w:rFonts w:hint="eastAsia"/>
        </w:rPr>
        <w:t>1</w:t>
      </w:r>
      <w:r>
        <w:rPr>
          <w:rFonts w:hint="eastAsia"/>
        </w:rPr>
        <w:t>）施工场地扬尘控制措施</w:t>
      </w:r>
    </w:p>
    <w:p w:rsidR="006175A6" w:rsidRDefault="009B4BA7">
      <w:pPr>
        <w:ind w:firstLine="480"/>
      </w:pPr>
      <w:r>
        <w:rPr>
          <w:rFonts w:hint="eastAsia"/>
        </w:rPr>
        <w:t>根据相应规定，本工程在施工过程中应采取相关措施对施工扬尘污染进行防治。</w:t>
      </w:r>
    </w:p>
    <w:p w:rsidR="006175A6" w:rsidRDefault="009B4BA7">
      <w:pPr>
        <w:ind w:firstLine="480"/>
      </w:pPr>
      <w:r>
        <w:rPr>
          <w:rFonts w:hint="eastAsia"/>
        </w:rPr>
        <w:t>①在大坝、引水隧洞口、取弃土场、施工便道等多粉尘作业面配备人员及设备进行定时洒水，在无雨日每天洒水</w:t>
      </w:r>
      <w:r>
        <w:rPr>
          <w:rFonts w:hint="eastAsia"/>
        </w:rPr>
        <w:t>4</w:t>
      </w:r>
      <w:r>
        <w:rPr>
          <w:rFonts w:hint="eastAsia"/>
        </w:rPr>
        <w:t>～</w:t>
      </w:r>
      <w:r>
        <w:rPr>
          <w:rFonts w:hint="eastAsia"/>
        </w:rPr>
        <w:t>5</w:t>
      </w:r>
      <w:r>
        <w:rPr>
          <w:rFonts w:hint="eastAsia"/>
        </w:rPr>
        <w:t>次，洒水面积需尽量覆盖所有干燥裸露面。</w:t>
      </w:r>
    </w:p>
    <w:p w:rsidR="006175A6" w:rsidRDefault="009B4BA7">
      <w:pPr>
        <w:ind w:firstLine="480"/>
      </w:pPr>
      <w:r>
        <w:rPr>
          <w:rFonts w:hint="eastAsia"/>
        </w:rPr>
        <w:t>②建筑土方、工程渣土、建筑垃圾应当及时运输到指定场所进行处置，弃渣场应采取围挡、防风抑尘或洒水抑尘措施，减少施工期扬尘的环境影响；在场地内堆存的，应当有效覆盖。</w:t>
      </w:r>
    </w:p>
    <w:p w:rsidR="006175A6" w:rsidRDefault="009B4BA7">
      <w:pPr>
        <w:ind w:firstLine="480"/>
      </w:pPr>
      <w:r>
        <w:rPr>
          <w:rFonts w:hint="eastAsia"/>
        </w:rPr>
        <w:t>③施工过程中，尽量选用产生低扬尘的工艺进行施工。</w:t>
      </w:r>
    </w:p>
    <w:p w:rsidR="006175A6" w:rsidRDefault="009B4BA7">
      <w:pPr>
        <w:ind w:firstLine="480"/>
      </w:pPr>
      <w:r>
        <w:rPr>
          <w:rFonts w:hint="eastAsia"/>
        </w:rPr>
        <w:t>④对开挖区域及时绿化，减少开挖区域暴露时间，降低粉尘产生量。</w:t>
      </w:r>
    </w:p>
    <w:p w:rsidR="006175A6" w:rsidRDefault="009B4BA7">
      <w:pPr>
        <w:ind w:firstLine="480"/>
      </w:pPr>
      <w:r>
        <w:rPr>
          <w:rFonts w:hint="eastAsia"/>
        </w:rPr>
        <w:t>⑤加强施工扬尘监管，积极推进绿色施工，建设工程施工现场应全封闭设置围挡墙，严禁敞开式作业。</w:t>
      </w:r>
    </w:p>
    <w:p w:rsidR="006175A6" w:rsidRDefault="009B4BA7">
      <w:pPr>
        <w:ind w:firstLine="480"/>
      </w:pPr>
      <w:r>
        <w:rPr>
          <w:rFonts w:hint="eastAsia"/>
        </w:rPr>
        <w:t>⑥施工场地闲置三个月以上的，用地单位对裸露地面采取绿化等防尘措施。</w:t>
      </w:r>
    </w:p>
    <w:p w:rsidR="006175A6" w:rsidRDefault="009B4BA7">
      <w:pPr>
        <w:ind w:firstLine="480"/>
      </w:pPr>
      <w:r>
        <w:rPr>
          <w:rFonts w:hint="eastAsia"/>
        </w:rPr>
        <w:t>根据同类型施工场地类比，施工场地扬尘通过优化工程布局和采取上述防治措施后，可实现达标排放，故上述控制措施可行。</w:t>
      </w:r>
    </w:p>
    <w:p w:rsidR="006175A6" w:rsidRDefault="009B4BA7">
      <w:pPr>
        <w:ind w:firstLine="480"/>
      </w:pPr>
      <w:r>
        <w:rPr>
          <w:rFonts w:hint="eastAsia"/>
        </w:rPr>
        <w:t>（</w:t>
      </w:r>
      <w:r>
        <w:rPr>
          <w:rFonts w:hint="eastAsia"/>
        </w:rPr>
        <w:t>2</w:t>
      </w:r>
      <w:r>
        <w:rPr>
          <w:rFonts w:hint="eastAsia"/>
        </w:rPr>
        <w:t>）爆破及钻孔施工作业面粉尘防治</w:t>
      </w:r>
    </w:p>
    <w:p w:rsidR="006175A6" w:rsidRDefault="009B4BA7">
      <w:pPr>
        <w:ind w:firstLine="480"/>
      </w:pPr>
      <w:r>
        <w:rPr>
          <w:rFonts w:hint="eastAsia"/>
        </w:rPr>
        <w:t>①选用低尘施工工艺：爆破工艺优先选择粉尘产生量较少的工艺进行，如：凿裂爆破、预裂爆破、光面爆破和缓冲爆破等爆破工艺，凿裂、钻孔、爆破提倡湿法作业，降低粉尘产生量；钻孔要安装除尘装置或采用无尘钻机。</w:t>
      </w:r>
    </w:p>
    <w:p w:rsidR="006175A6" w:rsidRDefault="009B4BA7">
      <w:pPr>
        <w:ind w:firstLine="480"/>
      </w:pPr>
      <w:r>
        <w:rPr>
          <w:rFonts w:hint="eastAsia"/>
        </w:rPr>
        <w:t>②降尘防护措施：爆破前向预爆体表面洒水，在预爆区钻孔采用高压注水；爆破应尽量采用草袋覆盖爆破面，加强通风，降低废气浓度；各易产生扬尘的施工作业面在非雨日采取洒水措施，加速粉尘沉降，各主要洞线设水幕除尘装置。</w:t>
      </w:r>
    </w:p>
    <w:p w:rsidR="006175A6" w:rsidRDefault="009B4BA7">
      <w:pPr>
        <w:ind w:firstLine="480"/>
      </w:pPr>
      <w:r>
        <w:rPr>
          <w:rFonts w:hint="eastAsia"/>
        </w:rPr>
        <w:t>③地下洞挖及厂房施工时，钻孔采用湿式作业，减少粉尘浓度，配备通风机，采用压入式通风，向洞内输入新鲜气流，风筒均挂在地面较高的侧墙或顶拱上，排除洞内烟尘，特别是在次日工作人员进入前加强洞内通风作业。</w:t>
      </w:r>
    </w:p>
    <w:p w:rsidR="006175A6" w:rsidRDefault="009B4BA7">
      <w:pPr>
        <w:ind w:firstLine="480"/>
      </w:pPr>
      <w:r>
        <w:rPr>
          <w:rFonts w:hint="eastAsia"/>
        </w:rPr>
        <w:t>④加强施工人员个人防护，佩戴防尘口罩等。定期对施工人员进行身体检查，提高健康意识，积极有效地强调施工人员的个人自我保护效用，并按照有关劳动</w:t>
      </w:r>
      <w:r>
        <w:rPr>
          <w:rFonts w:hint="eastAsia"/>
        </w:rPr>
        <w:lastRenderedPageBreak/>
        <w:t>保护的规定，加强劳动保护。</w:t>
      </w:r>
    </w:p>
    <w:p w:rsidR="006175A6" w:rsidRDefault="009B4BA7">
      <w:pPr>
        <w:ind w:firstLine="480"/>
      </w:pPr>
      <w:r>
        <w:rPr>
          <w:rFonts w:hint="eastAsia"/>
        </w:rPr>
        <w:t>根据同类型施工场地类比，爆破粉尘通过优化施工方案和采取上述防治措施后，可实现达标排放，故上述控制措施可行。</w:t>
      </w:r>
    </w:p>
    <w:p w:rsidR="006175A6" w:rsidRDefault="009B4BA7">
      <w:pPr>
        <w:ind w:firstLine="480"/>
      </w:pPr>
      <w:r>
        <w:rPr>
          <w:rFonts w:hint="eastAsia"/>
        </w:rPr>
        <w:t>（</w:t>
      </w:r>
      <w:r>
        <w:rPr>
          <w:rFonts w:hint="eastAsia"/>
        </w:rPr>
        <w:t>3</w:t>
      </w:r>
      <w:r>
        <w:rPr>
          <w:rFonts w:hint="eastAsia"/>
        </w:rPr>
        <w:t>）石料场开采施工粉尘防治</w:t>
      </w:r>
    </w:p>
    <w:p w:rsidR="006175A6" w:rsidRDefault="009B4BA7">
      <w:pPr>
        <w:ind w:firstLine="480"/>
      </w:pPr>
      <w:r>
        <w:rPr>
          <w:rFonts w:hint="eastAsia"/>
        </w:rPr>
        <w:t>参照环境空气细颗粒物污染综合防治技术政策和《非金属矿绿色矿山建设规范》，本工程在石料场开采施工过程中应采取相关措施对粉尘污染进行防治。</w:t>
      </w:r>
    </w:p>
    <w:p w:rsidR="006175A6" w:rsidRDefault="009B4BA7">
      <w:pPr>
        <w:ind w:firstLine="480"/>
      </w:pPr>
      <w:r>
        <w:rPr>
          <w:rFonts w:hint="eastAsia"/>
        </w:rPr>
        <w:t>①应采取有效的粉尘防治措施和处理设施，工作场所粉尘浓度应符合</w:t>
      </w:r>
      <w:r>
        <w:rPr>
          <w:rFonts w:hint="eastAsia"/>
        </w:rPr>
        <w:t>GBZ2.1</w:t>
      </w:r>
      <w:r>
        <w:rPr>
          <w:rFonts w:hint="eastAsia"/>
        </w:rPr>
        <w:t>规定的粉尘容许浓度要求，矿区周边环境空气质量应符合</w:t>
      </w:r>
      <w:r>
        <w:rPr>
          <w:rFonts w:hint="eastAsia"/>
        </w:rPr>
        <w:t>GB3095-2012</w:t>
      </w:r>
      <w:r>
        <w:rPr>
          <w:rFonts w:hint="eastAsia"/>
        </w:rPr>
        <w:t>规定。环保有特别要求的区域、时段，粉尘排放应达到其要求的标准。</w:t>
      </w:r>
    </w:p>
    <w:p w:rsidR="006175A6" w:rsidRDefault="009B4BA7">
      <w:pPr>
        <w:ind w:firstLine="480"/>
      </w:pPr>
      <w:r>
        <w:rPr>
          <w:rFonts w:hint="eastAsia"/>
        </w:rPr>
        <w:t>②生产、运输过程中应采取有效的有毒有害气体防治措施，矿山有毒有害污染物排放指标控制应符合《大气污染物综合排放标准》（</w:t>
      </w:r>
      <w:r>
        <w:rPr>
          <w:rFonts w:hint="eastAsia"/>
        </w:rPr>
        <w:t>GB16297-1996</w:t>
      </w:r>
      <w:r>
        <w:rPr>
          <w:rFonts w:hint="eastAsia"/>
        </w:rPr>
        <w:t>）规定。</w:t>
      </w:r>
    </w:p>
    <w:p w:rsidR="006175A6" w:rsidRDefault="009B4BA7">
      <w:pPr>
        <w:ind w:firstLine="480"/>
      </w:pPr>
      <w:r>
        <w:rPr>
          <w:rFonts w:hint="eastAsia"/>
        </w:rPr>
        <w:t>③破碎车间、输送廊道应采取封闭措施，破碎及输送设备应配备收尘设施；运输道路应配备雾化喷淋装置或配备洒水车定期洒水；车辆驶离矿区前应冲洗，途中物料不撒落。</w:t>
      </w:r>
    </w:p>
    <w:p w:rsidR="006175A6" w:rsidRDefault="009B4BA7">
      <w:pPr>
        <w:ind w:firstLine="480"/>
      </w:pPr>
      <w:r>
        <w:rPr>
          <w:rFonts w:hint="eastAsia"/>
        </w:rPr>
        <w:t>④石料厂应因地制宜绿化、美化矿区环境，绿化覆盖率应达到</w:t>
      </w:r>
      <w:r>
        <w:rPr>
          <w:rFonts w:hint="eastAsia"/>
        </w:rPr>
        <w:t>100%</w:t>
      </w:r>
      <w:r>
        <w:rPr>
          <w:rFonts w:hint="eastAsia"/>
        </w:rPr>
        <w:t>。</w:t>
      </w:r>
    </w:p>
    <w:p w:rsidR="006175A6" w:rsidRDefault="009B4BA7">
      <w:pPr>
        <w:ind w:firstLine="480"/>
      </w:pPr>
      <w:r>
        <w:rPr>
          <w:rFonts w:hint="eastAsia"/>
        </w:rPr>
        <w:t>根据同类型料场类比，石料场粉尘通过优化施工方案和采取上述防治措施后，可实现达标排放，故上述控制措施可行。</w:t>
      </w:r>
    </w:p>
    <w:p w:rsidR="006175A6" w:rsidRDefault="009B4BA7">
      <w:pPr>
        <w:ind w:firstLine="480"/>
      </w:pPr>
      <w:r>
        <w:rPr>
          <w:rFonts w:hint="eastAsia"/>
        </w:rPr>
        <w:t>（</w:t>
      </w:r>
      <w:r>
        <w:rPr>
          <w:rFonts w:hint="eastAsia"/>
        </w:rPr>
        <w:t>4</w:t>
      </w:r>
      <w:r>
        <w:rPr>
          <w:rFonts w:hint="eastAsia"/>
        </w:rPr>
        <w:t>）砂石料加工系统与混凝土生产系统粉尘削减与控制</w:t>
      </w:r>
    </w:p>
    <w:p w:rsidR="006175A6" w:rsidRDefault="009B4BA7">
      <w:pPr>
        <w:ind w:firstLine="480"/>
      </w:pPr>
      <w:r>
        <w:rPr>
          <w:rFonts w:hint="eastAsia"/>
        </w:rPr>
        <w:t>根据环境空气细颗粒物污染综合防治技术政策，本工程在砂石料加工系统与混凝土生产系统生产过程中应采取相关措施对粉尘污染进行防治。</w:t>
      </w:r>
    </w:p>
    <w:p w:rsidR="006175A6" w:rsidRDefault="009B4BA7">
      <w:pPr>
        <w:ind w:firstLine="480"/>
      </w:pPr>
      <w:r>
        <w:rPr>
          <w:rFonts w:hint="eastAsia"/>
        </w:rPr>
        <w:t>①本项目砂石料在破碎、筛分、卸料、砂石料装车以及场地内汽车行使等过程中会产生粉尘，需配备粉尘收集装置，经布袋除尘器处理后高空排放，排放指标控制应符合《大气污染物综合排放标准》（</w:t>
      </w:r>
      <w:r>
        <w:rPr>
          <w:rFonts w:hint="eastAsia"/>
        </w:rPr>
        <w:t>GB16297-1996</w:t>
      </w:r>
      <w:r>
        <w:rPr>
          <w:rFonts w:hint="eastAsia"/>
        </w:rPr>
        <w:t>）规定。同时在场地内定期洒水，并加强洒水频率，在无雨日每天洒水</w:t>
      </w:r>
      <w:r>
        <w:rPr>
          <w:rFonts w:hint="eastAsia"/>
        </w:rPr>
        <w:t>4</w:t>
      </w:r>
      <w:r>
        <w:rPr>
          <w:rFonts w:hint="eastAsia"/>
        </w:rPr>
        <w:t>～</w:t>
      </w:r>
      <w:r>
        <w:rPr>
          <w:rFonts w:hint="eastAsia"/>
        </w:rPr>
        <w:t xml:space="preserve">5 </w:t>
      </w:r>
      <w:r>
        <w:rPr>
          <w:rFonts w:hint="eastAsia"/>
        </w:rPr>
        <w:t>次，洒水面积需尽量覆盖所有干燥区域。</w:t>
      </w:r>
    </w:p>
    <w:p w:rsidR="006175A6" w:rsidRDefault="009B4BA7">
      <w:pPr>
        <w:ind w:firstLine="480"/>
      </w:pPr>
      <w:r>
        <w:rPr>
          <w:rFonts w:hint="eastAsia"/>
        </w:rPr>
        <w:t>②砂石料及其他物料堆放场在施工期间应采用帆布或其他防风材料覆盖，减少扬尘产生量及减缓扬尘污染。</w:t>
      </w:r>
    </w:p>
    <w:p w:rsidR="006175A6" w:rsidRDefault="009B4BA7">
      <w:pPr>
        <w:ind w:firstLine="480"/>
      </w:pPr>
      <w:r>
        <w:rPr>
          <w:rFonts w:hint="eastAsia"/>
        </w:rPr>
        <w:t>③各混凝土生产系统均采用全封闭式混凝土搅拌系统，各系统均配套有除尘装置，且置于室内。根据拌和站实际情况，参照《大气污染物综合排放标准》</w:t>
      </w:r>
      <w:r>
        <w:rPr>
          <w:rFonts w:hint="eastAsia"/>
        </w:rPr>
        <w:lastRenderedPageBreak/>
        <w:t>（</w:t>
      </w:r>
      <w:r>
        <w:rPr>
          <w:rFonts w:hint="eastAsia"/>
        </w:rPr>
        <w:t>GB16297-1996</w:t>
      </w:r>
      <w:r>
        <w:rPr>
          <w:rFonts w:hint="eastAsia"/>
        </w:rPr>
        <w:t>），粉尘排放浓度应控制在</w:t>
      </w:r>
      <w:r>
        <w:rPr>
          <w:rFonts w:hint="eastAsia"/>
        </w:rPr>
        <w:t>120mg/m</w:t>
      </w:r>
      <w:r>
        <w:rPr>
          <w:rFonts w:hint="eastAsia"/>
          <w:vertAlign w:val="superscript"/>
        </w:rPr>
        <w:t>3</w:t>
      </w:r>
      <w:r>
        <w:rPr>
          <w:rFonts w:hint="eastAsia"/>
        </w:rPr>
        <w:t>以下。各系统附近无敏感点分布，水泥装卸作业除要求文明作业外，水泥库实行全封闭作业，加强物料的管理，减少扬尘产生量，混凝土加工系统附近进行定时洒水降尘。</w:t>
      </w:r>
    </w:p>
    <w:p w:rsidR="006175A6" w:rsidRDefault="009B4BA7">
      <w:pPr>
        <w:ind w:firstLine="480"/>
      </w:pPr>
      <w:r>
        <w:rPr>
          <w:rFonts w:hint="eastAsia"/>
        </w:rPr>
        <w:t>根据同类型施工场地类比，石料加工粉尘通过优化施工方案和采取上述防治措施后，可实现达标排放，故上述控制措施可行。</w:t>
      </w:r>
    </w:p>
    <w:p w:rsidR="006175A6" w:rsidRDefault="009B4BA7">
      <w:pPr>
        <w:ind w:firstLine="480"/>
      </w:pPr>
      <w:r>
        <w:rPr>
          <w:rFonts w:hint="eastAsia"/>
        </w:rPr>
        <w:t>（</w:t>
      </w:r>
      <w:r>
        <w:rPr>
          <w:rFonts w:hint="eastAsia"/>
        </w:rPr>
        <w:t>5</w:t>
      </w:r>
      <w:r>
        <w:rPr>
          <w:rFonts w:hint="eastAsia"/>
        </w:rPr>
        <w:t>）车辆运输扬尘控制措施</w:t>
      </w:r>
    </w:p>
    <w:p w:rsidR="006175A6" w:rsidRDefault="009B4BA7">
      <w:pPr>
        <w:ind w:firstLine="480"/>
      </w:pPr>
      <w:r>
        <w:rPr>
          <w:rFonts w:hint="eastAsia"/>
        </w:rPr>
        <w:t>①设置限速标志，同时对路面进行硬化，设置围挡，减少路面扬尘。</w:t>
      </w:r>
    </w:p>
    <w:p w:rsidR="006175A6" w:rsidRDefault="009B4BA7">
      <w:pPr>
        <w:ind w:firstLine="480"/>
      </w:pPr>
      <w:r>
        <w:rPr>
          <w:rFonts w:hint="eastAsia"/>
        </w:rPr>
        <w:t>②每个施工区段配备</w:t>
      </w:r>
      <w:r>
        <w:rPr>
          <w:rFonts w:hint="eastAsia"/>
        </w:rPr>
        <w:t>1</w:t>
      </w:r>
      <w:r>
        <w:rPr>
          <w:rFonts w:hint="eastAsia"/>
        </w:rPr>
        <w:t>台洒水设备，注意洒水降尘；冬春季晴天一般洒水次数在</w:t>
      </w:r>
      <w:r>
        <w:rPr>
          <w:rFonts w:hint="eastAsia"/>
        </w:rPr>
        <w:t>4</w:t>
      </w:r>
      <w:r>
        <w:rPr>
          <w:rFonts w:hint="eastAsia"/>
        </w:rPr>
        <w:t>～</w:t>
      </w:r>
      <w:r>
        <w:rPr>
          <w:rFonts w:hint="eastAsia"/>
        </w:rPr>
        <w:t xml:space="preserve">6 </w:t>
      </w:r>
      <w:r>
        <w:rPr>
          <w:rFonts w:hint="eastAsia"/>
        </w:rPr>
        <w:t>次，夏季一般洒水</w:t>
      </w:r>
      <w:r>
        <w:rPr>
          <w:rFonts w:hint="eastAsia"/>
        </w:rPr>
        <w:t>8</w:t>
      </w:r>
      <w:r>
        <w:rPr>
          <w:rFonts w:hint="eastAsia"/>
        </w:rPr>
        <w:t>～</w:t>
      </w:r>
      <w:r>
        <w:rPr>
          <w:rFonts w:hint="eastAsia"/>
        </w:rPr>
        <w:t xml:space="preserve">10 </w:t>
      </w:r>
      <w:r>
        <w:rPr>
          <w:rFonts w:hint="eastAsia"/>
        </w:rPr>
        <w:t>次，设置</w:t>
      </w:r>
      <w:r>
        <w:rPr>
          <w:rFonts w:hint="eastAsia"/>
        </w:rPr>
        <w:t>1</w:t>
      </w:r>
      <w:r>
        <w:rPr>
          <w:rFonts w:hint="eastAsia"/>
        </w:rPr>
        <w:t>辆洒水车，干燥大风天气情况下洒水频率加密；施工道路采用机械化清扫等低尘作业方式。</w:t>
      </w:r>
    </w:p>
    <w:p w:rsidR="006175A6" w:rsidRDefault="009B4BA7">
      <w:pPr>
        <w:ind w:firstLine="480"/>
      </w:pPr>
      <w:r>
        <w:rPr>
          <w:rFonts w:hint="eastAsia"/>
        </w:rPr>
        <w:t>③渣土运输车辆应采取密闭措施，装卸和运输水泥、砂土、垃圾等易产生扬尘的作业，应当采取遮盖、封闭、喷淋、围挡等措施，防止抛洒、扬尘。运输垃圾、渣土、砂石、土方、灰浆等散装、流体物料的，应当使用符合条件的车辆，并安装卫星定位系统。设置临时仓库。</w:t>
      </w:r>
    </w:p>
    <w:p w:rsidR="006175A6" w:rsidRDefault="009B4BA7">
      <w:pPr>
        <w:ind w:firstLine="480"/>
      </w:pPr>
      <w:r>
        <w:rPr>
          <w:rFonts w:hint="eastAsia"/>
        </w:rPr>
        <w:t>④施工现场出入口位置配备车辆冲洗设施，施工车辆须常清洗，以减少交通扬尘影响，尽量避免施工车辆把泥土带出施工现场。</w:t>
      </w:r>
    </w:p>
    <w:p w:rsidR="006175A6" w:rsidRDefault="009B4BA7">
      <w:pPr>
        <w:ind w:firstLine="480"/>
      </w:pPr>
      <w:r>
        <w:rPr>
          <w:rFonts w:hint="eastAsia"/>
        </w:rPr>
        <w:t>⑤成立公路养护、维修、清扫专业队伍，对公路进行定期养护、维护、清扫；尤其对泥结碎石路面的临时施工公路应加强养护工作，防止路面破碎起尘，保持道路运行正常。</w:t>
      </w:r>
    </w:p>
    <w:p w:rsidR="006175A6" w:rsidRDefault="009B4BA7">
      <w:pPr>
        <w:ind w:firstLine="480"/>
      </w:pPr>
      <w:r>
        <w:rPr>
          <w:rFonts w:hint="eastAsia"/>
        </w:rPr>
        <w:t>根据同类型施工场地类比，采取上述防治措施后可实现达标排放，措施可行。</w:t>
      </w:r>
    </w:p>
    <w:p w:rsidR="006175A6" w:rsidRDefault="009B4BA7">
      <w:pPr>
        <w:pStyle w:val="3"/>
      </w:pPr>
      <w:r>
        <w:rPr>
          <w:rFonts w:hint="eastAsia"/>
        </w:rPr>
        <w:t>燃油废气控制</w:t>
      </w:r>
    </w:p>
    <w:p w:rsidR="006175A6" w:rsidRDefault="009B4BA7">
      <w:pPr>
        <w:ind w:firstLine="480"/>
      </w:pPr>
      <w:r>
        <w:rPr>
          <w:rFonts w:hint="eastAsia"/>
        </w:rPr>
        <w:t>加强大型施工机械和车辆的管理。执行</w:t>
      </w:r>
      <w:r>
        <w:rPr>
          <w:rFonts w:hint="eastAsia"/>
        </w:rPr>
        <w:t>I/M</w:t>
      </w:r>
      <w:r>
        <w:rPr>
          <w:rFonts w:hint="eastAsia"/>
        </w:rPr>
        <w:t>制度（即定期检查维护制度）。承包商所有燃油机械和车辆尾气排放应执行《非道路移动机械用柴油机排气污染物排放限值及测量方法（中国</w:t>
      </w:r>
      <w:r>
        <w:rPr>
          <w:rFonts w:hint="eastAsia"/>
        </w:rPr>
        <w:t>III</w:t>
      </w:r>
      <w:r>
        <w:rPr>
          <w:rFonts w:hint="eastAsia"/>
        </w:rPr>
        <w:t>、</w:t>
      </w:r>
      <w:r>
        <w:rPr>
          <w:rFonts w:hint="eastAsia"/>
        </w:rPr>
        <w:t xml:space="preserve">IV </w:t>
      </w:r>
      <w:r>
        <w:rPr>
          <w:rFonts w:hint="eastAsia"/>
        </w:rPr>
        <w:t>阶段）》（</w:t>
      </w:r>
      <w:r>
        <w:rPr>
          <w:rFonts w:hint="eastAsia"/>
        </w:rPr>
        <w:t>GB20891-2007</w:t>
      </w:r>
      <w:r>
        <w:rPr>
          <w:rFonts w:hint="eastAsia"/>
        </w:rPr>
        <w:t>）和《汽油运输大气污染物排放标准》（</w:t>
      </w:r>
      <w:r>
        <w:rPr>
          <w:rFonts w:hint="eastAsia"/>
        </w:rPr>
        <w:t>GB 20951-2007</w:t>
      </w:r>
      <w:r>
        <w:rPr>
          <w:rFonts w:hint="eastAsia"/>
        </w:rPr>
        <w:t>），若其尾气不能达标排放，必须配置消烟除尘设备；同时施工机械使用优质燃料。严格执行《汽车报废标准》，推行强制更新报废制度。特别是对发动机耗油多、效率低、排放尾气严重超标的老旧车辆，应予更新，现阶段消烟除尘设备可满足项目要求，上述燃油废气控制可行。</w:t>
      </w:r>
    </w:p>
    <w:p w:rsidR="006175A6" w:rsidRDefault="009B4BA7">
      <w:pPr>
        <w:pStyle w:val="3"/>
      </w:pPr>
      <w:r>
        <w:rPr>
          <w:rFonts w:hint="eastAsia"/>
        </w:rPr>
        <w:lastRenderedPageBreak/>
        <w:t>加强大气环境管理</w:t>
      </w:r>
    </w:p>
    <w:p w:rsidR="006175A6" w:rsidRDefault="009B4BA7">
      <w:pPr>
        <w:ind w:firstLine="480"/>
      </w:pPr>
      <w:r>
        <w:rPr>
          <w:rFonts w:hint="eastAsia"/>
        </w:rPr>
        <w:t>1</w:t>
      </w:r>
      <w:r>
        <w:rPr>
          <w:rFonts w:hint="eastAsia"/>
        </w:rPr>
        <w:t>、将施工扬尘污染控制情况纳入建筑企业信用管理系统，作为招投标的重要依据。</w:t>
      </w:r>
    </w:p>
    <w:p w:rsidR="006175A6" w:rsidRDefault="009B4BA7">
      <w:pPr>
        <w:ind w:firstLine="480"/>
      </w:pPr>
      <w:r>
        <w:rPr>
          <w:rFonts w:hint="eastAsia"/>
        </w:rPr>
        <w:t>2</w:t>
      </w:r>
      <w:r>
        <w:rPr>
          <w:rFonts w:hint="eastAsia"/>
        </w:rPr>
        <w:t>、建设单位应当在施工前向县级以上人民政府工程建设有关部门提交施工工地扬尘污染防治方案，并保障施工单位扬尘污染防治专项费用。</w:t>
      </w:r>
    </w:p>
    <w:p w:rsidR="006175A6" w:rsidRDefault="009B4BA7">
      <w:pPr>
        <w:ind w:firstLine="480"/>
      </w:pPr>
      <w:r>
        <w:rPr>
          <w:rFonts w:hint="eastAsia"/>
        </w:rPr>
        <w:t>3</w:t>
      </w:r>
      <w:r>
        <w:rPr>
          <w:rFonts w:hint="eastAsia"/>
        </w:rPr>
        <w:t>、施工单位在施工现场出入口公示扬尘污染控制措施、负责人、环保监督员、扬尘监管主管部门等有关信息，接受社会监督。</w:t>
      </w:r>
    </w:p>
    <w:p w:rsidR="006175A6" w:rsidRDefault="009B4BA7">
      <w:pPr>
        <w:ind w:firstLine="480"/>
      </w:pPr>
      <w:r>
        <w:rPr>
          <w:rFonts w:hint="eastAsia"/>
        </w:rPr>
        <w:t>4</w:t>
      </w:r>
      <w:r>
        <w:rPr>
          <w:rFonts w:hint="eastAsia"/>
        </w:rPr>
        <w:t>、施工过程中严格落实环境监测与环境监理。</w:t>
      </w:r>
    </w:p>
    <w:p w:rsidR="006175A6" w:rsidRDefault="009B4BA7">
      <w:pPr>
        <w:pStyle w:val="2"/>
      </w:pPr>
      <w:bookmarkStart w:id="95" w:name="_Toc80170137"/>
      <w:r>
        <w:rPr>
          <w:rFonts w:hint="eastAsia"/>
        </w:rPr>
        <w:t>噪声污染控制措施</w:t>
      </w:r>
      <w:bookmarkEnd w:id="95"/>
    </w:p>
    <w:p w:rsidR="006175A6" w:rsidRDefault="009B4BA7">
      <w:pPr>
        <w:pStyle w:val="3"/>
      </w:pPr>
      <w:r>
        <w:rPr>
          <w:rFonts w:hint="eastAsia"/>
        </w:rPr>
        <w:t>保护目标</w:t>
      </w:r>
    </w:p>
    <w:p w:rsidR="006175A6" w:rsidRDefault="009B4BA7">
      <w:pPr>
        <w:ind w:firstLine="480"/>
      </w:pPr>
      <w:r>
        <w:rPr>
          <w:rFonts w:hint="eastAsia"/>
        </w:rPr>
        <w:t>施工场地周围的噪声控制执行《建筑施工场界环境噪声排放标准》（</w:t>
      </w:r>
      <w:r>
        <w:rPr>
          <w:rFonts w:hint="eastAsia"/>
        </w:rPr>
        <w:t>GB12523-2011</w:t>
      </w:r>
      <w:r>
        <w:rPr>
          <w:rFonts w:hint="eastAsia"/>
        </w:rPr>
        <w:t>），区域声环境质量执行《声环境质量标准》（</w:t>
      </w:r>
      <w:r>
        <w:rPr>
          <w:rFonts w:hint="eastAsia"/>
        </w:rPr>
        <w:t>GB3096-2008</w:t>
      </w:r>
      <w:r>
        <w:rPr>
          <w:rFonts w:hint="eastAsia"/>
        </w:rPr>
        <w:t>）</w:t>
      </w:r>
      <w:r>
        <w:rPr>
          <w:rFonts w:hint="eastAsia"/>
        </w:rPr>
        <w:t>1</w:t>
      </w:r>
      <w:r>
        <w:rPr>
          <w:rFonts w:hint="eastAsia"/>
        </w:rPr>
        <w:t>类标准。</w:t>
      </w:r>
    </w:p>
    <w:p w:rsidR="006175A6" w:rsidRDefault="009B4BA7">
      <w:pPr>
        <w:ind w:firstLine="480"/>
      </w:pPr>
      <w:r>
        <w:rPr>
          <w:rFonts w:hint="eastAsia"/>
        </w:rPr>
        <w:t>本工程对声环境影响主要集中在施工期，噪声源主要是机械设备运行、爆破作业、砂石加工中的破碎、车辆运行等。噪声的危害可通过声源、传播途径、受体三个环节进行控制，其中对声源的控制是最根本的措施。</w:t>
      </w:r>
    </w:p>
    <w:p w:rsidR="006175A6" w:rsidRDefault="009B4BA7">
      <w:pPr>
        <w:pStyle w:val="3"/>
      </w:pPr>
      <w:r>
        <w:rPr>
          <w:rFonts w:hint="eastAsia"/>
        </w:rPr>
        <w:t>声源控制措施</w:t>
      </w:r>
    </w:p>
    <w:p w:rsidR="006175A6" w:rsidRDefault="009B4BA7">
      <w:pPr>
        <w:ind w:firstLine="480"/>
      </w:pPr>
      <w:r>
        <w:rPr>
          <w:rFonts w:hint="eastAsia"/>
        </w:rPr>
        <w:t>1</w:t>
      </w:r>
      <w:r>
        <w:rPr>
          <w:rFonts w:hint="eastAsia"/>
        </w:rPr>
        <w:t>、通过施工布置、选择环保材料、减震设备、设置隔声间等从源头控制噪声。施工布置时高噪声设备尽量远离居民点和施工人员生活营地等布置；选用低噪声机械设备和工艺，对振动大的机械设备使用减振机座或减振垫，可从根本上降低噪声源强。如砂石料筛分系统采用橡胶筛网、塑料钢板、涂阻尼材料；运用吸声、消声、隔声等技术措施降低施工噪声，对使用中的一些噪声较高的机械，在施工过程中要合理布局其位置；加强施工设备的维护和保养，保持机械润滑，减少运行噪声；封闭施工应在施工场界设置简易围墙。</w:t>
      </w:r>
    </w:p>
    <w:p w:rsidR="006175A6" w:rsidRDefault="009B4BA7">
      <w:pPr>
        <w:ind w:firstLine="480"/>
      </w:pPr>
      <w:r>
        <w:rPr>
          <w:rFonts w:hint="eastAsia"/>
        </w:rPr>
        <w:t>2</w:t>
      </w:r>
      <w:r>
        <w:rPr>
          <w:rFonts w:hint="eastAsia"/>
        </w:rPr>
        <w:t>、合理安排施工时间，控制夜间施工，尽量避免高噪声施工活动在夜间（</w:t>
      </w:r>
      <w:r>
        <w:rPr>
          <w:rFonts w:hint="eastAsia"/>
        </w:rPr>
        <w:t>22:00</w:t>
      </w:r>
      <w:r>
        <w:rPr>
          <w:rFonts w:hint="eastAsia"/>
        </w:rPr>
        <w:t>～次日</w:t>
      </w:r>
      <w:r>
        <w:rPr>
          <w:rFonts w:hint="eastAsia"/>
        </w:rPr>
        <w:t>6:00</w:t>
      </w:r>
      <w:r>
        <w:rPr>
          <w:rFonts w:hint="eastAsia"/>
        </w:rPr>
        <w:t>）进行，尤其是夜间的交通运输，以减小对周围生活区的影响。夜间</w:t>
      </w:r>
      <w:r>
        <w:rPr>
          <w:rFonts w:hint="eastAsia"/>
        </w:rPr>
        <w:t>22</w:t>
      </w:r>
      <w:r>
        <w:rPr>
          <w:rFonts w:hint="eastAsia"/>
        </w:rPr>
        <w:t>：</w:t>
      </w:r>
      <w:r>
        <w:rPr>
          <w:rFonts w:hint="eastAsia"/>
        </w:rPr>
        <w:t xml:space="preserve"> 00</w:t>
      </w:r>
      <w:r>
        <w:rPr>
          <w:rFonts w:hint="eastAsia"/>
        </w:rPr>
        <w:t>～次日</w:t>
      </w:r>
      <w:r>
        <w:rPr>
          <w:rFonts w:hint="eastAsia"/>
        </w:rPr>
        <w:t>7</w:t>
      </w:r>
      <w:r>
        <w:rPr>
          <w:rFonts w:hint="eastAsia"/>
        </w:rPr>
        <w:t>：</w:t>
      </w:r>
      <w:r>
        <w:rPr>
          <w:rFonts w:hint="eastAsia"/>
        </w:rPr>
        <w:t xml:space="preserve">00 </w:t>
      </w:r>
      <w:r>
        <w:rPr>
          <w:rFonts w:hint="eastAsia"/>
        </w:rPr>
        <w:t>避免隧洞爆破。</w:t>
      </w:r>
    </w:p>
    <w:p w:rsidR="006175A6" w:rsidRDefault="009B4BA7">
      <w:pPr>
        <w:ind w:firstLine="480"/>
      </w:pPr>
      <w:r>
        <w:rPr>
          <w:rFonts w:hint="eastAsia"/>
        </w:rPr>
        <w:lastRenderedPageBreak/>
        <w:t>3</w:t>
      </w:r>
      <w:r>
        <w:rPr>
          <w:rFonts w:hint="eastAsia"/>
        </w:rPr>
        <w:t>、严格控制爆破时间、爆破单响药量和投掷方向，夜间禁止爆破工作。减少对石柱村等的影响。对于深孔梯段微差挤压爆破等爆破工程，注意爆破投掷方向，尽量使投掷的正方向避开受影响的敏感点。</w:t>
      </w:r>
    </w:p>
    <w:p w:rsidR="006175A6" w:rsidRDefault="009B4BA7">
      <w:pPr>
        <w:ind w:firstLine="480"/>
      </w:pPr>
      <w:r>
        <w:rPr>
          <w:rFonts w:hint="eastAsia"/>
        </w:rPr>
        <w:t>4</w:t>
      </w:r>
      <w:r>
        <w:rPr>
          <w:rFonts w:hint="eastAsia"/>
        </w:rPr>
        <w:t>、加强交通噪声的管理和控制，进入施工营地和其它非施工作业的车辆，不使用高音喇叭和怪音喇叭，尽量减少鸣笛次数，在居民区和营地附近路段设置限速、禁鸣标牌及减速带等。</w:t>
      </w:r>
    </w:p>
    <w:p w:rsidR="006175A6" w:rsidRDefault="009B4BA7">
      <w:pPr>
        <w:ind w:firstLine="480"/>
      </w:pPr>
      <w:r>
        <w:rPr>
          <w:rFonts w:hint="eastAsia"/>
        </w:rPr>
        <w:t>5</w:t>
      </w:r>
      <w:r>
        <w:rPr>
          <w:rFonts w:hint="eastAsia"/>
        </w:rPr>
        <w:t>、在经过施工生活区和居民区路段时，车辆应适当减速行驶，限速</w:t>
      </w:r>
      <w:r>
        <w:rPr>
          <w:rFonts w:hint="eastAsia"/>
        </w:rPr>
        <w:t>40km/h</w:t>
      </w:r>
      <w:r>
        <w:rPr>
          <w:rFonts w:hint="eastAsia"/>
        </w:rPr>
        <w:t>，并禁鸣高音喇叭；晚上</w:t>
      </w:r>
      <w:r>
        <w:rPr>
          <w:rFonts w:hint="eastAsia"/>
        </w:rPr>
        <w:t>22:00</w:t>
      </w:r>
      <w:r>
        <w:rPr>
          <w:rFonts w:hint="eastAsia"/>
        </w:rPr>
        <w:t>～凌晨</w:t>
      </w:r>
      <w:r>
        <w:rPr>
          <w:rFonts w:hint="eastAsia"/>
        </w:rPr>
        <w:t xml:space="preserve">6:00 </w:t>
      </w:r>
      <w:r>
        <w:rPr>
          <w:rFonts w:hint="eastAsia"/>
        </w:rPr>
        <w:t>不安排车辆运输；加强道路养护和车辆的维修保养，降低机动车身松动、老化发出的噪声。</w:t>
      </w:r>
    </w:p>
    <w:p w:rsidR="006175A6" w:rsidRDefault="009B4BA7">
      <w:pPr>
        <w:pStyle w:val="3"/>
      </w:pPr>
      <w:r>
        <w:rPr>
          <w:rFonts w:hint="eastAsia"/>
        </w:rPr>
        <w:t>传播途径控制措施</w:t>
      </w:r>
    </w:p>
    <w:p w:rsidR="006175A6" w:rsidRDefault="009B4BA7">
      <w:pPr>
        <w:ind w:firstLine="480"/>
      </w:pPr>
      <w:r>
        <w:rPr>
          <w:rFonts w:hint="eastAsia"/>
        </w:rPr>
        <w:t>对拌和站、空压机等高噪声设备尽量安装消声器或采用局部消声罩，使受体和声源之间起到一定的隔离作用，以控制噪声的传播途径，减小噪声对敏感受体的影响。</w:t>
      </w:r>
    </w:p>
    <w:p w:rsidR="006175A6" w:rsidRDefault="009B4BA7">
      <w:pPr>
        <w:ind w:firstLine="480"/>
      </w:pPr>
      <w:r>
        <w:rPr>
          <w:rFonts w:hint="eastAsia"/>
        </w:rPr>
        <w:t>合理安排施工区和办公生活区位置，噪声大的施工机械应尽可能远离办公生活区和居民区。对受施工噪声和交通噪声污染较为严重的集中居民点等噪声敏感点设隔声墙进行噪声防护。</w:t>
      </w:r>
    </w:p>
    <w:p w:rsidR="006175A6" w:rsidRDefault="009B4BA7">
      <w:pPr>
        <w:pStyle w:val="3"/>
      </w:pPr>
      <w:r>
        <w:rPr>
          <w:rFonts w:hint="eastAsia"/>
        </w:rPr>
        <w:t>受体保护措施</w:t>
      </w:r>
    </w:p>
    <w:p w:rsidR="006175A6" w:rsidRDefault="009B4BA7">
      <w:pPr>
        <w:ind w:firstLine="480"/>
      </w:pPr>
      <w:r>
        <w:rPr>
          <w:rFonts w:hint="eastAsia"/>
        </w:rPr>
        <w:t>1</w:t>
      </w:r>
      <w:r>
        <w:rPr>
          <w:rFonts w:hint="eastAsia"/>
        </w:rPr>
        <w:t>、加强劳动保护。改善施工人员的作业条件，高噪声环境下的施工作业人员、每人每天的工作时间不多于</w:t>
      </w:r>
      <w:r>
        <w:rPr>
          <w:rFonts w:hint="eastAsia"/>
        </w:rPr>
        <w:t>6h</w:t>
      </w:r>
      <w:r>
        <w:rPr>
          <w:rFonts w:hint="eastAsia"/>
        </w:rPr>
        <w:t>。给受噪声影响大的施工人员配发噪声防护用具，常用的个人防声用具有耳塞、防声棉、耳罩和头盔等。如柱状耳塞，重量</w:t>
      </w:r>
      <w:r>
        <w:rPr>
          <w:rFonts w:hint="eastAsia"/>
        </w:rPr>
        <w:t>3</w:t>
      </w:r>
      <w:r>
        <w:rPr>
          <w:rFonts w:hint="eastAsia"/>
        </w:rPr>
        <w:t>～</w:t>
      </w:r>
      <w:r>
        <w:rPr>
          <w:rFonts w:hint="eastAsia"/>
        </w:rPr>
        <w:t>5g</w:t>
      </w:r>
      <w:r>
        <w:rPr>
          <w:rFonts w:hint="eastAsia"/>
        </w:rPr>
        <w:t>，噪声衰减可达</w:t>
      </w:r>
      <w:r>
        <w:rPr>
          <w:rFonts w:hint="eastAsia"/>
        </w:rPr>
        <w:t>20</w:t>
      </w:r>
      <w:r>
        <w:rPr>
          <w:rFonts w:hint="eastAsia"/>
        </w:rPr>
        <w:t>～</w:t>
      </w:r>
      <w:r>
        <w:rPr>
          <w:rFonts w:hint="eastAsia"/>
        </w:rPr>
        <w:t>30dB</w:t>
      </w:r>
      <w:r>
        <w:rPr>
          <w:rFonts w:hint="eastAsia"/>
        </w:rPr>
        <w:t>（</w:t>
      </w:r>
      <w:r>
        <w:rPr>
          <w:rFonts w:hint="eastAsia"/>
        </w:rPr>
        <w:t>A</w:t>
      </w:r>
      <w:r>
        <w:rPr>
          <w:rFonts w:hint="eastAsia"/>
        </w:rPr>
        <w:t>）；棉花，重量</w:t>
      </w:r>
      <w:r>
        <w:rPr>
          <w:rFonts w:hint="eastAsia"/>
        </w:rPr>
        <w:t>1</w:t>
      </w:r>
      <w:r>
        <w:rPr>
          <w:rFonts w:hint="eastAsia"/>
        </w:rPr>
        <w:t>～</w:t>
      </w:r>
      <w:r>
        <w:rPr>
          <w:rFonts w:hint="eastAsia"/>
        </w:rPr>
        <w:t>5g</w:t>
      </w:r>
      <w:r>
        <w:rPr>
          <w:rFonts w:hint="eastAsia"/>
        </w:rPr>
        <w:t>，噪声衰减可达</w:t>
      </w:r>
      <w:r>
        <w:rPr>
          <w:rFonts w:hint="eastAsia"/>
        </w:rPr>
        <w:t>5</w:t>
      </w:r>
      <w:r>
        <w:rPr>
          <w:rFonts w:hint="eastAsia"/>
        </w:rPr>
        <w:t>～</w:t>
      </w:r>
      <w:r>
        <w:rPr>
          <w:rFonts w:hint="eastAsia"/>
        </w:rPr>
        <w:t>10dB</w:t>
      </w:r>
      <w:r>
        <w:rPr>
          <w:rFonts w:hint="eastAsia"/>
        </w:rPr>
        <w:t>（</w:t>
      </w:r>
      <w:r>
        <w:rPr>
          <w:rFonts w:hint="eastAsia"/>
        </w:rPr>
        <w:t>A</w:t>
      </w:r>
      <w:r>
        <w:rPr>
          <w:rFonts w:hint="eastAsia"/>
        </w:rPr>
        <w:t>）。</w:t>
      </w:r>
    </w:p>
    <w:p w:rsidR="006175A6" w:rsidRDefault="009B4BA7">
      <w:pPr>
        <w:ind w:firstLine="480"/>
      </w:pPr>
      <w:r>
        <w:rPr>
          <w:rFonts w:hint="eastAsia"/>
        </w:rPr>
        <w:t>2</w:t>
      </w:r>
      <w:r>
        <w:rPr>
          <w:rFonts w:hint="eastAsia"/>
        </w:rPr>
        <w:t>、受本工程施工噪声影响的声环境敏感保护目标与工程位置关系、距离以及工程名称详见</w:t>
      </w:r>
      <w:r>
        <w:rPr>
          <w:rFonts w:hint="eastAsia"/>
        </w:rPr>
        <w:t>6.6</w:t>
      </w:r>
      <w:r>
        <w:rPr>
          <w:rFonts w:hint="eastAsia"/>
        </w:rPr>
        <w:t>章节，建设单位和施工单位在施工期间必须同时在噪声源、传播途径、接受者三个方面采取减缓噪声影响，在声敏感点附近施工必须安装移动式围挡、隔声挡板以减小施工噪声影响。</w:t>
      </w:r>
    </w:p>
    <w:p w:rsidR="006175A6" w:rsidRDefault="009B4BA7">
      <w:pPr>
        <w:ind w:firstLine="480"/>
      </w:pPr>
      <w:r>
        <w:rPr>
          <w:rFonts w:hint="eastAsia"/>
        </w:rPr>
        <w:t>本工程施工点针对高噪声施工机械设置修建临时的围挡、隔声挡板，规划在大坝施工区、施工工厂区布置，初步估算需要购置移动式围挡、隔声挡板</w:t>
      </w:r>
      <w:r>
        <w:rPr>
          <w:rFonts w:hint="eastAsia"/>
        </w:rPr>
        <w:t>200m</w:t>
      </w:r>
      <w:r>
        <w:rPr>
          <w:rFonts w:hint="eastAsia"/>
        </w:rPr>
        <w:t>，</w:t>
      </w:r>
      <w:r>
        <w:rPr>
          <w:rFonts w:hint="eastAsia"/>
        </w:rPr>
        <w:lastRenderedPageBreak/>
        <w:t>每个施工区平均</w:t>
      </w:r>
      <w:r>
        <w:rPr>
          <w:rFonts w:hint="eastAsia"/>
        </w:rPr>
        <w:t>100m</w:t>
      </w:r>
      <w:r>
        <w:rPr>
          <w:rFonts w:hint="eastAsia"/>
        </w:rPr>
        <w:t>，用于施工期间噪声源的声屏障，减少施工噪声影响。</w:t>
      </w:r>
    </w:p>
    <w:p w:rsidR="006175A6" w:rsidRDefault="009B4BA7">
      <w:pPr>
        <w:ind w:firstLine="480"/>
      </w:pPr>
      <w:r>
        <w:rPr>
          <w:rFonts w:hint="eastAsia"/>
        </w:rPr>
        <w:t>3</w:t>
      </w:r>
      <w:r>
        <w:rPr>
          <w:rFonts w:hint="eastAsia"/>
        </w:rPr>
        <w:t>、噪声影响补偿金</w:t>
      </w:r>
    </w:p>
    <w:p w:rsidR="006175A6" w:rsidRDefault="009B4BA7">
      <w:pPr>
        <w:ind w:firstLine="480"/>
      </w:pPr>
      <w:r>
        <w:rPr>
          <w:rFonts w:hint="eastAsia"/>
        </w:rPr>
        <w:t>针对受工程噪声影响的村庄，为缓施工机械噪声对这些环境敏感目标的影响，在采取必要的围挡、隔声挡板和限速等噪声控制措施阻止噪声传播之后，对受建筑物和堤防工程施工噪声影响较大的居民可采取发放一定的噪声影响补偿金方式进行安抚。</w:t>
      </w:r>
    </w:p>
    <w:p w:rsidR="006175A6" w:rsidRDefault="009B4BA7">
      <w:pPr>
        <w:pStyle w:val="2"/>
      </w:pPr>
      <w:bookmarkStart w:id="96" w:name="_Toc80170138"/>
      <w:r>
        <w:rPr>
          <w:rFonts w:hint="eastAsia"/>
        </w:rPr>
        <w:t>固体废物处理与处置措施</w:t>
      </w:r>
      <w:bookmarkEnd w:id="96"/>
    </w:p>
    <w:p w:rsidR="006175A6" w:rsidRDefault="009B4BA7">
      <w:pPr>
        <w:pStyle w:val="3"/>
      </w:pPr>
      <w:r>
        <w:rPr>
          <w:rFonts w:hint="eastAsia"/>
        </w:rPr>
        <w:t>施工弃渣</w:t>
      </w:r>
    </w:p>
    <w:p w:rsidR="006175A6" w:rsidRDefault="009B4BA7">
      <w:pPr>
        <w:ind w:firstLine="480"/>
      </w:pPr>
      <w:r>
        <w:rPr>
          <w:rFonts w:hint="eastAsia"/>
        </w:rPr>
        <w:t>本工程共产生弃渣量</w:t>
      </w:r>
      <w:r>
        <w:rPr>
          <w:rFonts w:hint="eastAsia"/>
        </w:rPr>
        <w:t>32.84</w:t>
      </w:r>
      <w:r>
        <w:rPr>
          <w:rFonts w:hint="eastAsia"/>
        </w:rPr>
        <w:t>万</w:t>
      </w:r>
      <w:r>
        <w:rPr>
          <w:rFonts w:hint="eastAsia"/>
        </w:rPr>
        <w:t>m</w:t>
      </w:r>
      <w:r>
        <w:rPr>
          <w:rFonts w:hint="eastAsia"/>
          <w:vertAlign w:val="superscript"/>
        </w:rPr>
        <w:t>3</w:t>
      </w:r>
      <w:r>
        <w:rPr>
          <w:rFonts w:hint="eastAsia"/>
        </w:rPr>
        <w:t>。其中永久弃渣</w:t>
      </w:r>
      <w:r>
        <w:rPr>
          <w:rFonts w:hint="eastAsia"/>
        </w:rPr>
        <w:t xml:space="preserve"> 27.09 </w:t>
      </w:r>
      <w:r>
        <w:rPr>
          <w:rFonts w:hint="eastAsia"/>
        </w:rPr>
        <w:t>万</w:t>
      </w:r>
      <w:r>
        <w:rPr>
          <w:rFonts w:hint="eastAsia"/>
        </w:rPr>
        <w:t xml:space="preserve"> m</w:t>
      </w:r>
      <w:r>
        <w:rPr>
          <w:rFonts w:hint="eastAsia"/>
        </w:rPr>
        <w:t>³，临时弃渣</w:t>
      </w:r>
      <w:r>
        <w:rPr>
          <w:rFonts w:hint="eastAsia"/>
        </w:rPr>
        <w:t>5.75</w:t>
      </w:r>
      <w:r>
        <w:rPr>
          <w:rFonts w:hint="eastAsia"/>
        </w:rPr>
        <w:t>万</w:t>
      </w:r>
      <w:r>
        <w:rPr>
          <w:rFonts w:hint="eastAsia"/>
        </w:rPr>
        <w:t>m</w:t>
      </w:r>
      <w:r>
        <w:rPr>
          <w:rFonts w:hint="eastAsia"/>
        </w:rPr>
        <w:t>³。施工设计尽量考虑永临结合、挖填结合，多余土方堆存于弃渣场。</w:t>
      </w:r>
    </w:p>
    <w:p w:rsidR="006175A6" w:rsidRDefault="009B4BA7">
      <w:pPr>
        <w:ind w:firstLine="480"/>
      </w:pPr>
      <w:r>
        <w:rPr>
          <w:rFonts w:hint="eastAsia"/>
        </w:rPr>
        <w:t>施工弃渣就近运往弃渣场，工程出渣必须及时运输至指定渣场集中堆放，不得沿途随意倾倒，更不能将弃渣向河道内倾倒，运输车辆在运渣过程中不得让弃渣随意散落。渣场做好平整、覆土、排水、挡护和绿化等水土保持措施。弃渣场使用前应进行表层耕作土剥离，堆弃碴土应分块交替进行，以便将石碴堆放下部，后清除的弃渣场块表土和开挖好土直接覆盖在已堆满的场块上，施工结束后及时进行迹地恢复，不会造成不可恢复的破坏，措施可行。</w:t>
      </w:r>
    </w:p>
    <w:p w:rsidR="006175A6" w:rsidRDefault="009B4BA7">
      <w:pPr>
        <w:ind w:firstLine="480"/>
      </w:pPr>
      <w:r>
        <w:rPr>
          <w:rFonts w:hint="eastAsia"/>
        </w:rPr>
        <w:t>施工期间污水处理产生沉泥采用反铲挖砂机定期清理，在干化场干化后运往弃渣场处置，处理措施可行。</w:t>
      </w:r>
    </w:p>
    <w:p w:rsidR="006175A6" w:rsidRDefault="009B4BA7">
      <w:pPr>
        <w:pStyle w:val="3"/>
      </w:pPr>
      <w:r>
        <w:rPr>
          <w:rFonts w:hint="eastAsia"/>
        </w:rPr>
        <w:t>建筑垃圾</w:t>
      </w:r>
    </w:p>
    <w:p w:rsidR="006175A6" w:rsidRDefault="009B4BA7">
      <w:pPr>
        <w:ind w:firstLine="480"/>
      </w:pPr>
      <w:r>
        <w:rPr>
          <w:rFonts w:hint="eastAsia"/>
        </w:rPr>
        <w:t>（</w:t>
      </w:r>
      <w:r>
        <w:rPr>
          <w:rFonts w:hint="eastAsia"/>
        </w:rPr>
        <w:t>1</w:t>
      </w:r>
      <w:r>
        <w:rPr>
          <w:rFonts w:hint="eastAsia"/>
        </w:rPr>
        <w:t>）妥善处置清库垃圾，进行卫生清除和消毒，避免二次污染；</w:t>
      </w:r>
    </w:p>
    <w:p w:rsidR="006175A6" w:rsidRDefault="009B4BA7">
      <w:pPr>
        <w:ind w:firstLine="480"/>
      </w:pPr>
      <w:r>
        <w:rPr>
          <w:rFonts w:hint="eastAsia"/>
        </w:rPr>
        <w:t>（</w:t>
      </w:r>
      <w:r>
        <w:rPr>
          <w:rFonts w:hint="eastAsia"/>
        </w:rPr>
        <w:t>2</w:t>
      </w:r>
      <w:r>
        <w:rPr>
          <w:rFonts w:hint="eastAsia"/>
        </w:rPr>
        <w:t>）废铁、废钢筋等生产废料可回收利用，应指定专人负责回收利用；</w:t>
      </w:r>
    </w:p>
    <w:p w:rsidR="006175A6" w:rsidRDefault="009B4BA7">
      <w:pPr>
        <w:ind w:firstLine="480"/>
      </w:pPr>
      <w:r>
        <w:rPr>
          <w:rFonts w:hint="eastAsia"/>
        </w:rPr>
        <w:t>（</w:t>
      </w:r>
      <w:r>
        <w:rPr>
          <w:rFonts w:hint="eastAsia"/>
        </w:rPr>
        <w:t>3</w:t>
      </w:r>
      <w:r>
        <w:rPr>
          <w:rFonts w:hint="eastAsia"/>
        </w:rPr>
        <w:t>）建筑垃圾应分类堆放，能回收利用的尽量回收利用，建筑物改建拆除的建筑废料尽量粉碎后作为新建构筑物的填充料使用，也可以用作新建道路的建材使用。</w:t>
      </w:r>
    </w:p>
    <w:p w:rsidR="006175A6" w:rsidRDefault="009B4BA7">
      <w:pPr>
        <w:ind w:firstLine="480"/>
      </w:pPr>
      <w:r>
        <w:rPr>
          <w:rFonts w:hint="eastAsia"/>
        </w:rPr>
        <w:t>（</w:t>
      </w:r>
      <w:r>
        <w:rPr>
          <w:rFonts w:hint="eastAsia"/>
        </w:rPr>
        <w:t>4</w:t>
      </w:r>
      <w:r>
        <w:rPr>
          <w:rFonts w:hint="eastAsia"/>
        </w:rPr>
        <w:t>）按照兴山县城管局渣土管理所要求进行处置。</w:t>
      </w:r>
    </w:p>
    <w:p w:rsidR="006175A6" w:rsidRDefault="009B4BA7">
      <w:pPr>
        <w:pStyle w:val="3"/>
      </w:pPr>
      <w:r>
        <w:rPr>
          <w:rFonts w:hint="eastAsia"/>
        </w:rPr>
        <w:t>生活垃圾</w:t>
      </w:r>
    </w:p>
    <w:p w:rsidR="006175A6" w:rsidRDefault="009B4BA7">
      <w:pPr>
        <w:ind w:firstLine="480"/>
      </w:pPr>
      <w:r>
        <w:rPr>
          <w:rFonts w:hint="eastAsia"/>
        </w:rPr>
        <w:t>根据施工营地布置情况，在坝址右岸机电标施工营地、土建标施工营地、金</w:t>
      </w:r>
      <w:r>
        <w:rPr>
          <w:rFonts w:hint="eastAsia"/>
        </w:rPr>
        <w:lastRenderedPageBreak/>
        <w:t>结标施工营地分别设置</w:t>
      </w:r>
      <w:r>
        <w:rPr>
          <w:rFonts w:hint="eastAsia"/>
        </w:rPr>
        <w:t xml:space="preserve"> 1 </w:t>
      </w:r>
      <w:r>
        <w:rPr>
          <w:rFonts w:hint="eastAsia"/>
        </w:rPr>
        <w:t>处临时垃圾站，用于日常垃圾的堆放，并在各施工营地及施工厂区设置垃圾桶，计划共布置</w:t>
      </w:r>
      <w:r>
        <w:rPr>
          <w:rFonts w:hint="eastAsia"/>
        </w:rPr>
        <w:t xml:space="preserve"> 20 </w:t>
      </w:r>
      <w:r>
        <w:rPr>
          <w:rFonts w:hint="eastAsia"/>
        </w:rPr>
        <w:t>个，整个施工区由施工单位安排专人负责施工人员生活区日常生活垃圾的清扫工作，并配套必要的清扫工具。</w:t>
      </w:r>
    </w:p>
    <w:p w:rsidR="006175A6" w:rsidRDefault="009B4BA7">
      <w:pPr>
        <w:ind w:firstLine="480"/>
      </w:pPr>
      <w:r>
        <w:rPr>
          <w:rFonts w:hint="eastAsia"/>
        </w:rPr>
        <w:t>垃圾清运结合工程运输车辆进行定期清运，每周清运</w:t>
      </w:r>
      <w:r>
        <w:rPr>
          <w:rFonts w:hint="eastAsia"/>
        </w:rPr>
        <w:t>3</w:t>
      </w:r>
      <w:r>
        <w:rPr>
          <w:rFonts w:hint="eastAsia"/>
        </w:rPr>
        <w:t>～</w:t>
      </w:r>
      <w:r>
        <w:rPr>
          <w:rFonts w:hint="eastAsia"/>
        </w:rPr>
        <w:t>4</w:t>
      </w:r>
      <w:r>
        <w:rPr>
          <w:rFonts w:hint="eastAsia"/>
        </w:rPr>
        <w:t>次，清运的垃圾应运至垃圾填埋场，防止苍蝇蚊虫孳生。</w:t>
      </w:r>
    </w:p>
    <w:p w:rsidR="006175A6" w:rsidRDefault="009B4BA7">
      <w:pPr>
        <w:ind w:firstLine="480"/>
      </w:pPr>
      <w:r>
        <w:rPr>
          <w:rFonts w:hint="eastAsia"/>
        </w:rPr>
        <w:t>运行期间电站管理生活应设置一简易垃圾站，以方便常驻人员倾倒生活垃圾，</w:t>
      </w:r>
      <w:r>
        <w:rPr>
          <w:rFonts w:hint="eastAsia"/>
        </w:rPr>
        <w:t xml:space="preserve"> </w:t>
      </w:r>
      <w:r>
        <w:rPr>
          <w:rFonts w:hint="eastAsia"/>
        </w:rPr>
        <w:t>为防止垃圾腐烂及蚊蝇滋生，每周至少清运</w:t>
      </w:r>
      <w:r>
        <w:rPr>
          <w:rFonts w:hint="eastAsia"/>
        </w:rPr>
        <w:t>1</w:t>
      </w:r>
      <w:r>
        <w:rPr>
          <w:rFonts w:hint="eastAsia"/>
        </w:rPr>
        <w:t>次。</w:t>
      </w:r>
    </w:p>
    <w:p w:rsidR="006175A6" w:rsidRDefault="009B4BA7">
      <w:pPr>
        <w:pStyle w:val="2"/>
      </w:pPr>
      <w:bookmarkStart w:id="97" w:name="_Toc80170139"/>
      <w:r>
        <w:rPr>
          <w:rFonts w:hint="eastAsia"/>
        </w:rPr>
        <w:t>土壤环境保护措施</w:t>
      </w:r>
      <w:bookmarkEnd w:id="97"/>
    </w:p>
    <w:p w:rsidR="006175A6" w:rsidRDefault="009B4BA7">
      <w:pPr>
        <w:ind w:firstLine="480"/>
      </w:pPr>
      <w:r>
        <w:rPr>
          <w:rFonts w:hint="eastAsia"/>
        </w:rPr>
        <w:t>目前库外移民安置区有大量的中低产田，项目建设导致部分耕地淹没，故此提出以下退化中低产田土壤改造措施：</w:t>
      </w:r>
    </w:p>
    <w:p w:rsidR="006175A6" w:rsidRDefault="009B4BA7">
      <w:pPr>
        <w:ind w:firstLine="480"/>
      </w:pPr>
      <w:r>
        <w:rPr>
          <w:rFonts w:hint="eastAsia"/>
        </w:rPr>
        <w:t>（</w:t>
      </w:r>
      <w:r>
        <w:rPr>
          <w:rFonts w:hint="eastAsia"/>
        </w:rPr>
        <w:t>1</w:t>
      </w:r>
      <w:r>
        <w:rPr>
          <w:rFonts w:hint="eastAsia"/>
        </w:rPr>
        <w:t>）梯田。一般梯田可拦蓄坡面径流</w:t>
      </w:r>
      <w:r>
        <w:rPr>
          <w:rFonts w:hint="eastAsia"/>
        </w:rPr>
        <w:t xml:space="preserve"> 70~90%</w:t>
      </w:r>
      <w:r>
        <w:rPr>
          <w:rFonts w:hint="eastAsia"/>
        </w:rPr>
        <w:t>。坡地修成梯田并结合培肥，土壤水分增加</w:t>
      </w:r>
      <w:r>
        <w:rPr>
          <w:rFonts w:hint="eastAsia"/>
        </w:rPr>
        <w:t>4~12%</w:t>
      </w:r>
      <w:r>
        <w:rPr>
          <w:rFonts w:hint="eastAsia"/>
        </w:rPr>
        <w:t>，土壤有机质可增至</w:t>
      </w:r>
      <w:r>
        <w:rPr>
          <w:rFonts w:hint="eastAsia"/>
        </w:rPr>
        <w:t>1.07%</w:t>
      </w:r>
      <w:r>
        <w:rPr>
          <w:rFonts w:hint="eastAsia"/>
        </w:rPr>
        <w:t>，全氮可增至</w:t>
      </w:r>
      <w:r>
        <w:rPr>
          <w:rFonts w:hint="eastAsia"/>
        </w:rPr>
        <w:t xml:space="preserve"> 0.085%</w:t>
      </w:r>
      <w:r>
        <w:rPr>
          <w:rFonts w:hint="eastAsia"/>
        </w:rPr>
        <w:t>，有效磷达到</w:t>
      </w:r>
      <w:r>
        <w:rPr>
          <w:rFonts w:hint="eastAsia"/>
        </w:rPr>
        <w:t>8mg/kg</w:t>
      </w:r>
      <w:r>
        <w:rPr>
          <w:rFonts w:hint="eastAsia"/>
        </w:rPr>
        <w:t>以上。</w:t>
      </w:r>
    </w:p>
    <w:p w:rsidR="006175A6" w:rsidRDefault="009B4BA7">
      <w:pPr>
        <w:ind w:firstLine="480"/>
      </w:pPr>
      <w:r>
        <w:rPr>
          <w:rFonts w:hint="eastAsia"/>
        </w:rPr>
        <w:t>（</w:t>
      </w:r>
      <w:r>
        <w:rPr>
          <w:rFonts w:hint="eastAsia"/>
        </w:rPr>
        <w:t>2</w:t>
      </w:r>
      <w:r>
        <w:rPr>
          <w:rFonts w:hint="eastAsia"/>
        </w:rPr>
        <w:t>）水土保持耕作。缓坡地主要采用等高耕作、开沟起垅。应用疏密不同、生长时间不等的作物与牧草间套种，增加植被覆盖度以保持水土；地膜覆盖，防止水土流失和蒸发，提高低温。</w:t>
      </w:r>
    </w:p>
    <w:p w:rsidR="006175A6" w:rsidRDefault="009B4BA7">
      <w:pPr>
        <w:ind w:firstLine="480"/>
      </w:pPr>
      <w:r>
        <w:rPr>
          <w:rFonts w:hint="eastAsia"/>
        </w:rPr>
        <w:t>（</w:t>
      </w:r>
      <w:r>
        <w:rPr>
          <w:rFonts w:hint="eastAsia"/>
        </w:rPr>
        <w:t>3</w:t>
      </w:r>
      <w:r>
        <w:rPr>
          <w:rFonts w:hint="eastAsia"/>
        </w:rPr>
        <w:t>）推广少耕深松耕法，提高土壤抗蚀抗旱能力；推行粮草等高带状间作等。</w:t>
      </w:r>
    </w:p>
    <w:p w:rsidR="006175A6" w:rsidRDefault="009B4BA7">
      <w:pPr>
        <w:ind w:firstLine="480"/>
      </w:pPr>
      <w:r>
        <w:rPr>
          <w:rFonts w:hint="eastAsia"/>
        </w:rPr>
        <w:t>（</w:t>
      </w:r>
      <w:r>
        <w:rPr>
          <w:rFonts w:hint="eastAsia"/>
        </w:rPr>
        <w:t>4</w:t>
      </w:r>
      <w:r>
        <w:rPr>
          <w:rFonts w:hint="eastAsia"/>
        </w:rPr>
        <w:t>）聚土改土垄作栽培。集改土、培肥、防蚀、抗旱、排渍、连续增产增收为一体，用养兼顾的立体种植体系。</w:t>
      </w:r>
    </w:p>
    <w:p w:rsidR="006175A6" w:rsidRDefault="009B4BA7">
      <w:pPr>
        <w:pStyle w:val="2"/>
      </w:pPr>
      <w:bookmarkStart w:id="98" w:name="_Toc80170140"/>
      <w:r>
        <w:rPr>
          <w:rFonts w:hint="eastAsia"/>
        </w:rPr>
        <w:t>人群健康保护措施</w:t>
      </w:r>
      <w:bookmarkEnd w:id="98"/>
    </w:p>
    <w:p w:rsidR="006175A6" w:rsidRDefault="009B4BA7">
      <w:pPr>
        <w:pStyle w:val="3"/>
      </w:pPr>
      <w:r>
        <w:rPr>
          <w:rFonts w:hint="eastAsia"/>
        </w:rPr>
        <w:t>工程卫生防护</w:t>
      </w:r>
    </w:p>
    <w:p w:rsidR="006175A6" w:rsidRDefault="009B4BA7">
      <w:pPr>
        <w:ind w:firstLine="480"/>
      </w:pPr>
      <w:r>
        <w:rPr>
          <w:rFonts w:hint="eastAsia"/>
        </w:rPr>
        <w:t>在施工期间的卫生防护主要针对施工人员。重点防止施工人员传染病的流行，阻止将库区没有的传染病病原体携入而致使疾病流行。</w:t>
      </w:r>
    </w:p>
    <w:p w:rsidR="006175A6" w:rsidRDefault="00E97427">
      <w:pPr>
        <w:ind w:firstLine="480"/>
      </w:pPr>
      <w:r>
        <w:rPr>
          <w:rFonts w:hint="eastAsia"/>
        </w:rPr>
        <w:t>（</w:t>
      </w:r>
      <w:r w:rsidR="009B4BA7">
        <w:rPr>
          <w:rFonts w:hint="eastAsia"/>
        </w:rPr>
        <w:t>1</w:t>
      </w:r>
      <w:r>
        <w:rPr>
          <w:rFonts w:hint="eastAsia"/>
        </w:rPr>
        <w:t>）</w:t>
      </w:r>
      <w:r w:rsidR="009B4BA7">
        <w:rPr>
          <w:rFonts w:hint="eastAsia"/>
        </w:rPr>
        <w:t>施工区饮用水的消毒处理和管理。试行集中式供水。宜选择水质好、水量足，便于防护的水域作饮用水源。水源应远离粪窑、厕所、污水渗坑和畜圈等污染源，保持周围环境卫生，定期进行水质监测和饮用水消毒，防止工地介水</w:t>
      </w:r>
      <w:r w:rsidR="009B4BA7">
        <w:rPr>
          <w:rFonts w:hint="eastAsia"/>
        </w:rPr>
        <w:lastRenderedPageBreak/>
        <w:t>传染病的爆发流行；</w:t>
      </w:r>
    </w:p>
    <w:p w:rsidR="006175A6" w:rsidRDefault="00E97427">
      <w:pPr>
        <w:ind w:firstLine="480"/>
      </w:pPr>
      <w:r>
        <w:rPr>
          <w:rFonts w:hint="eastAsia"/>
        </w:rPr>
        <w:t>（</w:t>
      </w:r>
      <w:r w:rsidR="009B4BA7">
        <w:rPr>
          <w:rFonts w:hint="eastAsia"/>
        </w:rPr>
        <w:t>2</w:t>
      </w:r>
      <w:r>
        <w:rPr>
          <w:rFonts w:hint="eastAsia"/>
        </w:rPr>
        <w:t>）</w:t>
      </w:r>
      <w:r w:rsidR="009B4BA7">
        <w:rPr>
          <w:rFonts w:hint="eastAsia"/>
        </w:rPr>
        <w:t>消除蚊、蝇、鼠、螨等媒介生物的孳生条件，采取药物或物理方法灭蚊、蝇、鼠、螨；</w:t>
      </w:r>
    </w:p>
    <w:p w:rsidR="006175A6" w:rsidRDefault="00E97427">
      <w:pPr>
        <w:ind w:firstLine="480"/>
      </w:pPr>
      <w:r>
        <w:rPr>
          <w:rFonts w:hint="eastAsia"/>
        </w:rPr>
        <w:t>（</w:t>
      </w:r>
      <w:r w:rsidR="009B4BA7">
        <w:rPr>
          <w:rFonts w:hint="eastAsia"/>
        </w:rPr>
        <w:t>3</w:t>
      </w:r>
      <w:r>
        <w:rPr>
          <w:rFonts w:hint="eastAsia"/>
        </w:rPr>
        <w:t>）</w:t>
      </w:r>
      <w:r w:rsidR="009B4BA7">
        <w:rPr>
          <w:rFonts w:hint="eastAsia"/>
        </w:rPr>
        <w:t>定期对施工人员和库周居民进行体检，施工人员</w:t>
      </w:r>
      <w:r>
        <w:rPr>
          <w:rFonts w:hint="eastAsia"/>
        </w:rPr>
        <w:t>（</w:t>
      </w:r>
      <w:r w:rsidR="009B4BA7">
        <w:rPr>
          <w:rFonts w:hint="eastAsia"/>
        </w:rPr>
        <w:t>全部</w:t>
      </w:r>
      <w:r>
        <w:rPr>
          <w:rFonts w:hint="eastAsia"/>
        </w:rPr>
        <w:t>）</w:t>
      </w:r>
      <w:r w:rsidR="009B4BA7">
        <w:rPr>
          <w:rFonts w:hint="eastAsia"/>
        </w:rPr>
        <w:t>每半年一次，库周居民每年一次</w:t>
      </w:r>
      <w:r>
        <w:rPr>
          <w:rFonts w:hint="eastAsia"/>
        </w:rPr>
        <w:t>（</w:t>
      </w:r>
      <w:r w:rsidR="009B4BA7">
        <w:rPr>
          <w:rFonts w:hint="eastAsia"/>
        </w:rPr>
        <w:t>按</w:t>
      </w:r>
      <w:r w:rsidR="009B4BA7">
        <w:rPr>
          <w:rFonts w:hint="eastAsia"/>
        </w:rPr>
        <w:t xml:space="preserve">1/3 </w:t>
      </w:r>
      <w:r w:rsidR="009B4BA7">
        <w:rPr>
          <w:rFonts w:hint="eastAsia"/>
        </w:rPr>
        <w:t>的比例抽查</w:t>
      </w:r>
      <w:r>
        <w:rPr>
          <w:rFonts w:hint="eastAsia"/>
        </w:rPr>
        <w:t>）</w:t>
      </w:r>
      <w:r w:rsidR="009B4BA7">
        <w:rPr>
          <w:rFonts w:hint="eastAsia"/>
        </w:rPr>
        <w:t>，落实施工人员的预防服药、预防接种工作；</w:t>
      </w:r>
    </w:p>
    <w:p w:rsidR="006175A6" w:rsidRDefault="00E97427">
      <w:pPr>
        <w:ind w:firstLine="480"/>
      </w:pPr>
      <w:r>
        <w:rPr>
          <w:rFonts w:hint="eastAsia"/>
        </w:rPr>
        <w:t>（</w:t>
      </w:r>
      <w:r w:rsidR="009B4BA7">
        <w:rPr>
          <w:rFonts w:hint="eastAsia"/>
        </w:rPr>
        <w:t>4</w:t>
      </w:r>
      <w:r>
        <w:rPr>
          <w:rFonts w:hint="eastAsia"/>
        </w:rPr>
        <w:t>）</w:t>
      </w:r>
      <w:r w:rsidR="009B4BA7">
        <w:rPr>
          <w:rFonts w:hint="eastAsia"/>
        </w:rPr>
        <w:t>合理配置医务人员和防疫人员，监理方便的医疗卫生设施，做到疾病的早预防、早发现、早隔离，及时治疗，彻底治愈；</w:t>
      </w:r>
    </w:p>
    <w:p w:rsidR="006175A6" w:rsidRDefault="00E97427">
      <w:pPr>
        <w:ind w:firstLine="480"/>
      </w:pPr>
      <w:r>
        <w:rPr>
          <w:rFonts w:hint="eastAsia"/>
        </w:rPr>
        <w:t>（</w:t>
      </w:r>
      <w:r w:rsidR="009B4BA7">
        <w:rPr>
          <w:rFonts w:hint="eastAsia"/>
        </w:rPr>
        <w:t>5</w:t>
      </w:r>
      <w:r>
        <w:rPr>
          <w:rFonts w:hint="eastAsia"/>
        </w:rPr>
        <w:t>）</w:t>
      </w:r>
      <w:r w:rsidR="009B4BA7">
        <w:rPr>
          <w:rFonts w:hint="eastAsia"/>
        </w:rPr>
        <w:t>做好卫生宣传、教育，是施工人员养成良好的卫生习惯和生活习惯。</w:t>
      </w:r>
    </w:p>
    <w:p w:rsidR="006175A6" w:rsidRDefault="009B4BA7">
      <w:pPr>
        <w:pStyle w:val="3"/>
      </w:pPr>
      <w:r>
        <w:rPr>
          <w:rFonts w:hint="eastAsia"/>
        </w:rPr>
        <w:t>库底卫生清理</w:t>
      </w:r>
    </w:p>
    <w:p w:rsidR="006175A6" w:rsidRDefault="009B4BA7">
      <w:pPr>
        <w:ind w:firstLine="480"/>
      </w:pPr>
      <w:r>
        <w:rPr>
          <w:rFonts w:hint="eastAsia"/>
        </w:rPr>
        <w:t>库底卫生清理决定着水库及其下游河段水质和生物资源有效、合理开发利用的能力和深度，也是控制蓄水后传染病流行的必要措施。</w:t>
      </w:r>
    </w:p>
    <w:p w:rsidR="006175A6" w:rsidRDefault="009B4BA7">
      <w:pPr>
        <w:ind w:firstLine="480"/>
      </w:pPr>
      <w:r>
        <w:rPr>
          <w:rFonts w:hint="eastAsia"/>
        </w:rPr>
        <w:t>在水库蓄水前一年应严格按照《水利水电工程水库库底清理设计规范》（</w:t>
      </w:r>
      <w:r>
        <w:t>SL 644-2014</w:t>
      </w:r>
      <w:r>
        <w:rPr>
          <w:rFonts w:hint="eastAsia"/>
        </w:rPr>
        <w:t>）等有关规定对水库盆底进行彻底清理，即对库区杂草、树木、枝叶、粪坑、垃圾、杂物以及构筑物等进行清除外运处理，构筑物和草木残留高度分别不得高出地面</w:t>
      </w:r>
      <w:r>
        <w:rPr>
          <w:rFonts w:hint="eastAsia"/>
        </w:rPr>
        <w:t xml:space="preserve">0.5m </w:t>
      </w:r>
      <w:r>
        <w:rPr>
          <w:rFonts w:hint="eastAsia"/>
        </w:rPr>
        <w:t>和</w:t>
      </w:r>
      <w:r>
        <w:rPr>
          <w:rFonts w:hint="eastAsia"/>
        </w:rPr>
        <w:t>0.3m</w:t>
      </w:r>
      <w:r>
        <w:rPr>
          <w:rFonts w:hint="eastAsia"/>
        </w:rPr>
        <w:t>，尽可能做到平齐地面砍伐草木；对可能有感染性和传染性的污染物必须在地方防疫部门指导下进行卫生防疫专门清理，就地消毒净化，严格处理处置、严防扩散。库区全部清理工作应在水库蓄水前</w:t>
      </w:r>
      <w:r>
        <w:rPr>
          <w:rFonts w:hint="eastAsia"/>
        </w:rPr>
        <w:t>3</w:t>
      </w:r>
      <w:r>
        <w:rPr>
          <w:rFonts w:hint="eastAsia"/>
        </w:rPr>
        <w:t>个月完成，并报请验收。经验收认可后方能下闸蓄水。</w:t>
      </w:r>
    </w:p>
    <w:p w:rsidR="006175A6" w:rsidRDefault="00E97427">
      <w:pPr>
        <w:ind w:firstLine="480"/>
      </w:pPr>
      <w:r>
        <w:rPr>
          <w:rFonts w:hint="eastAsia"/>
        </w:rPr>
        <w:t>（</w:t>
      </w:r>
      <w:r w:rsidR="009B4BA7">
        <w:rPr>
          <w:rFonts w:hint="eastAsia"/>
        </w:rPr>
        <w:t>1</w:t>
      </w:r>
      <w:r>
        <w:rPr>
          <w:rFonts w:hint="eastAsia"/>
        </w:rPr>
        <w:t>）</w:t>
      </w:r>
      <w:r w:rsidR="009B4BA7">
        <w:rPr>
          <w:rFonts w:hint="eastAsia"/>
        </w:rPr>
        <w:t>污物清理</w:t>
      </w:r>
    </w:p>
    <w:p w:rsidR="006175A6" w:rsidRDefault="009B4BA7">
      <w:pPr>
        <w:ind w:firstLine="480"/>
      </w:pPr>
      <w:r>
        <w:rPr>
          <w:rFonts w:hint="eastAsia"/>
        </w:rPr>
        <w:t>垃圾场、粪堆等的污染物及被污染土壤的处理，可将各种污物连同下面的脏土一道挖出</w:t>
      </w:r>
      <w:r w:rsidR="00E97427">
        <w:rPr>
          <w:rFonts w:hint="eastAsia"/>
        </w:rPr>
        <w:t>（</w:t>
      </w:r>
      <w:r>
        <w:rPr>
          <w:rFonts w:hint="eastAsia"/>
        </w:rPr>
        <w:t>至净土为止</w:t>
      </w:r>
      <w:r w:rsidR="00E97427">
        <w:rPr>
          <w:rFonts w:hint="eastAsia"/>
        </w:rPr>
        <w:t>）</w:t>
      </w:r>
      <w:r>
        <w:rPr>
          <w:rFonts w:hint="eastAsia"/>
        </w:rPr>
        <w:t>，结合施肥运出库外利用或处理。在库内清理时除利用自然净化外，应配合进行药物消毒。对于污染的脏土应翻晒</w:t>
      </w:r>
      <w:r>
        <w:rPr>
          <w:rFonts w:hint="eastAsia"/>
        </w:rPr>
        <w:t>3~4</w:t>
      </w:r>
      <w:r>
        <w:rPr>
          <w:rFonts w:hint="eastAsia"/>
        </w:rPr>
        <w:t>次，每次晒</w:t>
      </w:r>
      <w:r>
        <w:rPr>
          <w:rFonts w:hint="eastAsia"/>
        </w:rPr>
        <w:t>5</w:t>
      </w:r>
      <w:r>
        <w:rPr>
          <w:rFonts w:hint="eastAsia"/>
        </w:rPr>
        <w:t>天。污水沟、渗坑及积肥池中的五米可以掏出晒干后作肥料，污水坑洼用净土填平、夯实。</w:t>
      </w:r>
    </w:p>
    <w:p w:rsidR="006175A6" w:rsidRDefault="00E97427">
      <w:pPr>
        <w:ind w:firstLine="480"/>
      </w:pPr>
      <w:r>
        <w:rPr>
          <w:rFonts w:hint="eastAsia"/>
        </w:rPr>
        <w:t>（</w:t>
      </w:r>
      <w:r w:rsidR="009B4BA7">
        <w:rPr>
          <w:rFonts w:hint="eastAsia"/>
        </w:rPr>
        <w:t>2</w:t>
      </w:r>
      <w:r>
        <w:rPr>
          <w:rFonts w:hint="eastAsia"/>
        </w:rPr>
        <w:t>）</w:t>
      </w:r>
      <w:r w:rsidR="009B4BA7">
        <w:rPr>
          <w:rFonts w:hint="eastAsia"/>
        </w:rPr>
        <w:t>建筑物清理</w:t>
      </w:r>
    </w:p>
    <w:p w:rsidR="006175A6" w:rsidRDefault="009B4BA7">
      <w:pPr>
        <w:ind w:firstLine="480"/>
      </w:pPr>
      <w:r>
        <w:rPr>
          <w:rFonts w:hint="eastAsia"/>
        </w:rPr>
        <w:t>为了防止水库受污染，在淹没区和浸没区，所有建筑物均应进行拆除。</w:t>
      </w:r>
    </w:p>
    <w:p w:rsidR="006175A6" w:rsidRDefault="00E97427">
      <w:pPr>
        <w:ind w:firstLine="480"/>
      </w:pPr>
      <w:r>
        <w:rPr>
          <w:rFonts w:hint="eastAsia"/>
        </w:rPr>
        <w:t>（</w:t>
      </w:r>
      <w:r w:rsidR="009B4BA7">
        <w:rPr>
          <w:rFonts w:hint="eastAsia"/>
        </w:rPr>
        <w:t>3</w:t>
      </w:r>
      <w:r>
        <w:rPr>
          <w:rFonts w:hint="eastAsia"/>
        </w:rPr>
        <w:t>）</w:t>
      </w:r>
      <w:r w:rsidR="009B4BA7">
        <w:rPr>
          <w:rFonts w:hint="eastAsia"/>
        </w:rPr>
        <w:t>坟地清理</w:t>
      </w:r>
    </w:p>
    <w:p w:rsidR="006175A6" w:rsidRDefault="009B4BA7">
      <w:pPr>
        <w:ind w:firstLine="480"/>
      </w:pPr>
      <w:r>
        <w:rPr>
          <w:rFonts w:hint="eastAsia"/>
        </w:rPr>
        <w:t>水库区内的一切坟墓和死畜掩埋场都应迁出淹没线以外。</w:t>
      </w:r>
    </w:p>
    <w:p w:rsidR="006175A6" w:rsidRDefault="00E97427">
      <w:pPr>
        <w:ind w:firstLine="480"/>
      </w:pPr>
      <w:r>
        <w:rPr>
          <w:rFonts w:hint="eastAsia"/>
        </w:rPr>
        <w:lastRenderedPageBreak/>
        <w:t>（</w:t>
      </w:r>
      <w:r w:rsidR="009B4BA7">
        <w:rPr>
          <w:rFonts w:hint="eastAsia"/>
        </w:rPr>
        <w:t>4</w:t>
      </w:r>
      <w:r>
        <w:rPr>
          <w:rFonts w:hint="eastAsia"/>
        </w:rPr>
        <w:t>）</w:t>
      </w:r>
      <w:r w:rsidR="009B4BA7">
        <w:rPr>
          <w:rFonts w:hint="eastAsia"/>
        </w:rPr>
        <w:t>植被清除</w:t>
      </w:r>
    </w:p>
    <w:p w:rsidR="006175A6" w:rsidRDefault="009B4BA7">
      <w:pPr>
        <w:ind w:firstLine="480"/>
      </w:pPr>
      <w:r>
        <w:rPr>
          <w:rFonts w:hint="eastAsia"/>
        </w:rPr>
        <w:t>水库蓄水后，未加清除的枯枝落叶能在水中分解，增加水的有机物浓度，促进藻类的生长繁殖，是水质产生臭味，并降低库水的自净能力。因此蓄水前应尽可能地清除淹没线以下的植被。</w:t>
      </w:r>
    </w:p>
    <w:p w:rsidR="006175A6" w:rsidRDefault="009B4BA7">
      <w:pPr>
        <w:ind w:firstLine="480"/>
      </w:pPr>
      <w:r>
        <w:rPr>
          <w:rFonts w:hint="eastAsia"/>
        </w:rPr>
        <w:t>①校核洪水位</w:t>
      </w:r>
      <w:r>
        <w:rPr>
          <w:rFonts w:hint="eastAsia"/>
        </w:rPr>
        <w:t>2245m</w:t>
      </w:r>
      <w:r>
        <w:rPr>
          <w:rFonts w:hint="eastAsia"/>
        </w:rPr>
        <w:t>以下的森林及零星树木，应尽可能齐地面砍伐并清运外运，残留树桩不得高出地面</w:t>
      </w:r>
      <w:r>
        <w:rPr>
          <w:rFonts w:hint="eastAsia"/>
        </w:rPr>
        <w:t>0.3m</w:t>
      </w:r>
      <w:r>
        <w:rPr>
          <w:rFonts w:hint="eastAsia"/>
        </w:rPr>
        <w:t>。</w:t>
      </w:r>
    </w:p>
    <w:p w:rsidR="006175A6" w:rsidRDefault="009B4BA7">
      <w:pPr>
        <w:ind w:firstLine="480"/>
      </w:pPr>
      <w:r>
        <w:rPr>
          <w:rFonts w:hint="eastAsia"/>
        </w:rPr>
        <w:t>②林木砍伐残余的枝桠、枯木、灌木丛以及秸秆、泥炭等易漂浮的物质，在水库蓄水前，应就地烧毁或采取防漂措施。</w:t>
      </w:r>
    </w:p>
    <w:p w:rsidR="006175A6" w:rsidRDefault="009B4BA7">
      <w:pPr>
        <w:pStyle w:val="2"/>
      </w:pPr>
      <w:bookmarkStart w:id="99" w:name="_Toc80170141"/>
      <w:r>
        <w:rPr>
          <w:rFonts w:hint="eastAsia"/>
        </w:rPr>
        <w:t>移民安置环境保护措施</w:t>
      </w:r>
      <w:bookmarkEnd w:id="99"/>
    </w:p>
    <w:p w:rsidR="006175A6" w:rsidRDefault="009B4BA7">
      <w:pPr>
        <w:ind w:firstLine="480"/>
      </w:pPr>
      <w:r>
        <w:rPr>
          <w:rFonts w:hint="eastAsia"/>
        </w:rPr>
        <w:t>工程移民安置主要为生产安置，安置区不产生生活污水、生活垃圾等，移民安置过程中注意制止因移民安置、生产开发等引起的滥砍乱伐、毁林开荒等不良现象发生，充分注意对现有森林的保护，尽量减少对现有森林植被的过度利用和破坏。</w:t>
      </w:r>
    </w:p>
    <w:p w:rsidR="006175A6" w:rsidRDefault="009B4BA7">
      <w:pPr>
        <w:ind w:firstLine="480"/>
      </w:pPr>
      <w:r>
        <w:rPr>
          <w:rFonts w:hint="eastAsia"/>
        </w:rPr>
        <w:t>通过多种途径在移民安置区广泛开展保护陆生生物的宣传，采用广播、电视、墙报和黑板报、张贴标语、散发宣传单等多种形式，在涉及乡镇宣传有关野生动植物的知识及保护的意义，保护陆生生物的栖息环境。</w:t>
      </w:r>
    </w:p>
    <w:p w:rsidR="008375F7" w:rsidRDefault="008375F7">
      <w:pPr>
        <w:ind w:firstLine="480"/>
      </w:pPr>
    </w:p>
    <w:p w:rsidR="008375F7" w:rsidRDefault="008375F7">
      <w:pPr>
        <w:ind w:firstLine="480"/>
      </w:pPr>
    </w:p>
    <w:p w:rsidR="008375F7" w:rsidRDefault="008375F7">
      <w:pPr>
        <w:ind w:firstLine="48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100" w:name="_Toc80170142"/>
      <w:r>
        <w:rPr>
          <w:rFonts w:hint="eastAsia"/>
        </w:rPr>
        <w:lastRenderedPageBreak/>
        <w:t>环境监测与管理</w:t>
      </w:r>
      <w:bookmarkEnd w:id="100"/>
    </w:p>
    <w:p w:rsidR="006175A6" w:rsidRDefault="009B4BA7">
      <w:pPr>
        <w:pStyle w:val="2"/>
      </w:pPr>
      <w:bookmarkStart w:id="101" w:name="_Toc80170143"/>
      <w:r>
        <w:rPr>
          <w:rFonts w:hint="eastAsia"/>
        </w:rPr>
        <w:t>环境管理</w:t>
      </w:r>
      <w:bookmarkEnd w:id="101"/>
    </w:p>
    <w:p w:rsidR="006175A6" w:rsidRDefault="009B4BA7">
      <w:pPr>
        <w:pStyle w:val="3"/>
      </w:pPr>
      <w:r>
        <w:rPr>
          <w:rFonts w:hint="eastAsia"/>
        </w:rPr>
        <w:t>环境管理机构设置与职责</w:t>
      </w:r>
    </w:p>
    <w:p w:rsidR="006175A6" w:rsidRDefault="009B4BA7">
      <w:pPr>
        <w:ind w:firstLine="480"/>
      </w:pPr>
      <w:r>
        <w:rPr>
          <w:rFonts w:hint="eastAsia"/>
        </w:rPr>
        <w:t>根据国家环境保护管理的规定，应设置工程环境保护管理机构。环境保护管理机构是工程管理机构的重要组成部分，在业务上接受当地环境保护部门的指导。</w:t>
      </w:r>
    </w:p>
    <w:p w:rsidR="006175A6" w:rsidRDefault="009B4BA7">
      <w:pPr>
        <w:ind w:firstLine="480"/>
      </w:pPr>
      <w:r>
        <w:rPr>
          <w:rFonts w:hint="eastAsia"/>
        </w:rPr>
        <w:t>1</w:t>
      </w:r>
      <w:r>
        <w:rPr>
          <w:rFonts w:hint="eastAsia"/>
        </w:rPr>
        <w:t>、管理机构的组织形式</w:t>
      </w:r>
    </w:p>
    <w:p w:rsidR="006175A6" w:rsidRDefault="009B4BA7">
      <w:pPr>
        <w:ind w:firstLine="480"/>
      </w:pPr>
      <w:r>
        <w:rPr>
          <w:rFonts w:hint="eastAsia"/>
        </w:rPr>
        <w:t>为保证各项环境保护措施的有效实施，环境保护管理机构在工程筹建期开始组建环境管理办公室。</w:t>
      </w:r>
    </w:p>
    <w:p w:rsidR="006175A6" w:rsidRDefault="009B4BA7">
      <w:pPr>
        <w:ind w:firstLine="480"/>
      </w:pPr>
      <w:r>
        <w:rPr>
          <w:rFonts w:hint="eastAsia"/>
        </w:rPr>
        <w:t>2</w:t>
      </w:r>
      <w:r>
        <w:rPr>
          <w:rFonts w:hint="eastAsia"/>
        </w:rPr>
        <w:t>、环境保护管理办公室及下属科（室）职责</w:t>
      </w:r>
    </w:p>
    <w:p w:rsidR="006175A6" w:rsidRDefault="009B4BA7">
      <w:pPr>
        <w:ind w:firstLine="480"/>
      </w:pPr>
      <w:r>
        <w:rPr>
          <w:rFonts w:hint="eastAsia"/>
        </w:rPr>
        <w:t>通过调查研究，组织拟定适合本工程特点的环境保护方针和经济技术政策。组织编制工程环境保护总体规划和年度计划，组织规划和计划的全面实施，搞好环境保护年度预决算，配合财务部门对环境保护资金进行计划管理。</w:t>
      </w:r>
    </w:p>
    <w:p w:rsidR="006175A6" w:rsidRDefault="009B4BA7">
      <w:pPr>
        <w:ind w:firstLine="480"/>
      </w:pPr>
      <w:r>
        <w:rPr>
          <w:rFonts w:hint="eastAsia"/>
        </w:rPr>
        <w:t>组织有关部门制定工程环境保护的各项专题规划和实施计划与措施，保证将各种环保措施纳入各项目的最终设计中，并得到落实。</w:t>
      </w:r>
    </w:p>
    <w:p w:rsidR="006175A6" w:rsidRDefault="009B4BA7">
      <w:pPr>
        <w:ind w:firstLine="480"/>
      </w:pPr>
      <w:r>
        <w:rPr>
          <w:rFonts w:hint="eastAsia"/>
        </w:rPr>
        <w:t>依法对工程环境进行执法监督、检查，检查工程环境保护设施的运行。环境保护措施的执行情况应作为检查、验收工程质量的一项重要内容。</w:t>
      </w:r>
    </w:p>
    <w:p w:rsidR="006175A6" w:rsidRDefault="009B4BA7">
      <w:pPr>
        <w:ind w:firstLine="480"/>
      </w:pPr>
      <w:r>
        <w:rPr>
          <w:rFonts w:hint="eastAsia"/>
        </w:rPr>
        <w:t>组织环境管理技术培训、鉴定和推广环境保护的先进技术和经验，开展技术交流和研讨。组织开展工程环境保护专业培训，提高人员素质水平。</w:t>
      </w:r>
    </w:p>
    <w:p w:rsidR="006175A6" w:rsidRDefault="009B4BA7">
      <w:pPr>
        <w:ind w:firstLine="480"/>
      </w:pPr>
      <w:r>
        <w:rPr>
          <w:rFonts w:hint="eastAsia"/>
        </w:rPr>
        <w:t>搞好环境保护宣传工作，组织必要的普及教育，提高有关人员的环境保护意识。完善内部规章制度，搞好环境管理的日常工作，做好档案资料和资料收集整理等工作。完成领导小组交办的各项任务。</w:t>
      </w:r>
    </w:p>
    <w:p w:rsidR="006175A6" w:rsidRDefault="009B4BA7">
      <w:pPr>
        <w:pStyle w:val="3"/>
      </w:pPr>
      <w:r>
        <w:rPr>
          <w:rFonts w:hint="eastAsia"/>
        </w:rPr>
        <w:t>项目各阶段的环境管理任务</w:t>
      </w:r>
    </w:p>
    <w:p w:rsidR="006175A6" w:rsidRDefault="009B4BA7">
      <w:pPr>
        <w:ind w:firstLine="480"/>
      </w:pPr>
      <w:r>
        <w:rPr>
          <w:rFonts w:hint="eastAsia"/>
        </w:rPr>
        <w:t>1</w:t>
      </w:r>
      <w:r>
        <w:rPr>
          <w:rFonts w:hint="eastAsia"/>
        </w:rPr>
        <w:t>、筹建期环境管理任务</w:t>
      </w:r>
    </w:p>
    <w:p w:rsidR="006175A6" w:rsidRDefault="009B4BA7">
      <w:pPr>
        <w:ind w:firstLine="480"/>
      </w:pPr>
      <w:r>
        <w:rPr>
          <w:rFonts w:hint="eastAsia"/>
        </w:rPr>
        <w:t>（</w:t>
      </w:r>
      <w:r>
        <w:rPr>
          <w:rFonts w:hint="eastAsia"/>
        </w:rPr>
        <w:t>1</w:t>
      </w:r>
      <w:r>
        <w:rPr>
          <w:rFonts w:hint="eastAsia"/>
        </w:rPr>
        <w:t>）审核工程环境影响评价成果，并把本工程环境影响报告书有关环保措施列入工程最终设计文件。</w:t>
      </w:r>
    </w:p>
    <w:p w:rsidR="006175A6" w:rsidRDefault="009B4BA7">
      <w:pPr>
        <w:ind w:firstLine="480"/>
      </w:pPr>
      <w:r>
        <w:rPr>
          <w:rFonts w:hint="eastAsia"/>
        </w:rPr>
        <w:t>（</w:t>
      </w:r>
      <w:r>
        <w:rPr>
          <w:rFonts w:hint="eastAsia"/>
        </w:rPr>
        <w:t>2</w:t>
      </w:r>
      <w:r>
        <w:rPr>
          <w:rFonts w:hint="eastAsia"/>
        </w:rPr>
        <w:t>）招标文件及合同文件中必须包括环境保护条款。</w:t>
      </w:r>
    </w:p>
    <w:p w:rsidR="006175A6" w:rsidRDefault="009B4BA7">
      <w:pPr>
        <w:ind w:firstLine="480"/>
      </w:pPr>
      <w:r>
        <w:rPr>
          <w:rFonts w:hint="eastAsia"/>
        </w:rPr>
        <w:t>（</w:t>
      </w:r>
      <w:r>
        <w:rPr>
          <w:rFonts w:hint="eastAsia"/>
        </w:rPr>
        <w:t>3</w:t>
      </w:r>
      <w:r>
        <w:rPr>
          <w:rFonts w:hint="eastAsia"/>
        </w:rPr>
        <w:t>）筹建环境管理机构。</w:t>
      </w:r>
    </w:p>
    <w:p w:rsidR="006175A6" w:rsidRDefault="009B4BA7">
      <w:pPr>
        <w:ind w:firstLine="480"/>
      </w:pPr>
      <w:r>
        <w:rPr>
          <w:rFonts w:hint="eastAsia"/>
        </w:rPr>
        <w:lastRenderedPageBreak/>
        <w:t>（</w:t>
      </w:r>
      <w:r>
        <w:rPr>
          <w:rFonts w:hint="eastAsia"/>
        </w:rPr>
        <w:t>4</w:t>
      </w:r>
      <w:r>
        <w:rPr>
          <w:rFonts w:hint="eastAsia"/>
        </w:rPr>
        <w:t>）进行环境管理人员培训。</w:t>
      </w:r>
    </w:p>
    <w:p w:rsidR="006175A6" w:rsidRDefault="009B4BA7">
      <w:pPr>
        <w:ind w:firstLine="480"/>
      </w:pPr>
      <w:r>
        <w:rPr>
          <w:rFonts w:hint="eastAsia"/>
        </w:rPr>
        <w:t>2</w:t>
      </w:r>
      <w:r>
        <w:rPr>
          <w:rFonts w:hint="eastAsia"/>
        </w:rPr>
        <w:t>、施工期环境管理任务</w:t>
      </w:r>
    </w:p>
    <w:p w:rsidR="006175A6" w:rsidRDefault="009B4BA7">
      <w:pPr>
        <w:ind w:firstLine="480"/>
      </w:pPr>
      <w:r>
        <w:rPr>
          <w:rFonts w:hint="eastAsia"/>
        </w:rPr>
        <w:t>（</w:t>
      </w:r>
      <w:r>
        <w:rPr>
          <w:rFonts w:hint="eastAsia"/>
        </w:rPr>
        <w:t>1</w:t>
      </w:r>
      <w:r>
        <w:rPr>
          <w:rFonts w:hint="eastAsia"/>
        </w:rPr>
        <w:t>）移民环境管理</w:t>
      </w:r>
    </w:p>
    <w:p w:rsidR="006175A6" w:rsidRDefault="009B4BA7">
      <w:pPr>
        <w:ind w:firstLine="480"/>
      </w:pPr>
      <w:r>
        <w:rPr>
          <w:rFonts w:hint="eastAsia"/>
        </w:rPr>
        <w:t>环境管理办公室协同环境监理单位共同负责监督移民实施规划中环保措施的实施，定期对安置区移民及当地居民的社会经济状况、公共卫生状况、文教、生态影响等进行调查、监测、评价、报告，防止各种环境问题的产生。</w:t>
      </w:r>
    </w:p>
    <w:p w:rsidR="006175A6" w:rsidRDefault="009B4BA7">
      <w:pPr>
        <w:ind w:firstLine="480"/>
      </w:pPr>
      <w:r>
        <w:rPr>
          <w:rFonts w:hint="eastAsia"/>
        </w:rPr>
        <w:t>（</w:t>
      </w:r>
      <w:r>
        <w:rPr>
          <w:rFonts w:hint="eastAsia"/>
        </w:rPr>
        <w:t>2</w:t>
      </w:r>
      <w:r>
        <w:rPr>
          <w:rFonts w:hint="eastAsia"/>
        </w:rPr>
        <w:t>）施工区环境管理</w:t>
      </w:r>
    </w:p>
    <w:p w:rsidR="006175A6" w:rsidRDefault="009B4BA7">
      <w:pPr>
        <w:ind w:firstLine="480"/>
      </w:pPr>
      <w:r>
        <w:rPr>
          <w:rFonts w:hint="eastAsia"/>
        </w:rPr>
        <w:t>为减轻施工活动造成的环境污染，保障施工人员的身体健康，保证工程顺利进行，应特别加强施工区环境管理工作。</w:t>
      </w:r>
    </w:p>
    <w:p w:rsidR="006175A6" w:rsidRDefault="009B4BA7">
      <w:pPr>
        <w:ind w:firstLine="480"/>
      </w:pPr>
      <w:r>
        <w:rPr>
          <w:rFonts w:hint="eastAsia"/>
        </w:rPr>
        <w:t>按照国家有关环保法规和工程的环保规定，统一管理施工区环境保护工作。监督承包商对于环保合同条款的执行情况，并负责解释环保条款。对重大环境问题提出处理意见和报告，通过工程总监理工程师责成有关单位限期纠正。</w:t>
      </w:r>
    </w:p>
    <w:p w:rsidR="006175A6" w:rsidRDefault="009B4BA7">
      <w:pPr>
        <w:ind w:firstLine="480"/>
      </w:pPr>
      <w:r>
        <w:rPr>
          <w:rFonts w:hint="eastAsia"/>
        </w:rPr>
        <w:t>发现并掌握工程施工中的环境问题。对某些环境指标，下达监测指令。对监测结果进行分析研究，并提出环境保护改善方案。</w:t>
      </w:r>
    </w:p>
    <w:p w:rsidR="006175A6" w:rsidRDefault="009B4BA7">
      <w:pPr>
        <w:ind w:firstLine="480"/>
      </w:pPr>
      <w:r>
        <w:rPr>
          <w:rFonts w:hint="eastAsia"/>
        </w:rPr>
        <w:t>参加施工技术方案和施工进度计划的审查会议，就环保方面提出改进意见。审查承包商提出的可能造成污染的施工材料、设备清单及其所列环保指标。对现场出现的环境问题及处理结果作出记录，每月由环境管理办公室提交月报表，并根据积累的有关资料整理环境管理档案。</w:t>
      </w:r>
    </w:p>
    <w:p w:rsidR="006175A6" w:rsidRDefault="009B4BA7">
      <w:pPr>
        <w:ind w:firstLine="480"/>
      </w:pPr>
      <w:r>
        <w:rPr>
          <w:rFonts w:hint="eastAsia"/>
        </w:rPr>
        <w:t>3</w:t>
      </w:r>
      <w:r>
        <w:rPr>
          <w:rFonts w:hint="eastAsia"/>
        </w:rPr>
        <w:t>、运行期环境管理任务</w:t>
      </w:r>
    </w:p>
    <w:p w:rsidR="006175A6" w:rsidRDefault="009B4BA7">
      <w:pPr>
        <w:ind w:firstLine="480"/>
      </w:pPr>
      <w:r>
        <w:rPr>
          <w:rFonts w:hint="eastAsia"/>
        </w:rPr>
        <w:t>水库运行阶段环境管理的主要任务是保护地表水水质和生态环境，加强管理，预防水污染和生态环境破坏、环境地质及事故的产生。</w:t>
      </w:r>
    </w:p>
    <w:p w:rsidR="006175A6" w:rsidRDefault="009B4BA7">
      <w:pPr>
        <w:ind w:firstLine="480"/>
      </w:pPr>
      <w:r>
        <w:rPr>
          <w:rFonts w:hint="eastAsia"/>
        </w:rPr>
        <w:t>运行阶段环境保护管理是工程管理的重要组成部分，是工程环境保护工作能够有效实施的关键。运行期环境保护管理的主要内容包括制订环境管理目标、设置环境保护机构、制订环境管理任务、确定并执行环境管理计划等等。</w:t>
      </w:r>
    </w:p>
    <w:p w:rsidR="006175A6" w:rsidRDefault="009B4BA7">
      <w:pPr>
        <w:ind w:firstLine="480"/>
      </w:pPr>
      <w:r>
        <w:rPr>
          <w:rFonts w:hint="eastAsia"/>
        </w:rPr>
        <w:t>运行期设立环境保护办公室，负责水质及生态监测工作的委托，以及监测资料的整编与报送，保证监测成果质量。同时，还应密切注意水质及生态环境的变化动态，防止水污染、生态环境破坏、环境地质灾害等事故的发生。</w:t>
      </w:r>
    </w:p>
    <w:p w:rsidR="006175A6" w:rsidRDefault="009B4BA7">
      <w:pPr>
        <w:pStyle w:val="2"/>
      </w:pPr>
      <w:bookmarkStart w:id="102" w:name="_Toc80170144"/>
      <w:r>
        <w:rPr>
          <w:rFonts w:hint="eastAsia"/>
        </w:rPr>
        <w:lastRenderedPageBreak/>
        <w:t>环境监理</w:t>
      </w:r>
      <w:bookmarkEnd w:id="102"/>
    </w:p>
    <w:p w:rsidR="006175A6" w:rsidRDefault="009B4BA7">
      <w:pPr>
        <w:pStyle w:val="3"/>
      </w:pPr>
      <w:r>
        <w:rPr>
          <w:rFonts w:hint="eastAsia"/>
        </w:rPr>
        <w:t>监理目的与任务</w:t>
      </w:r>
    </w:p>
    <w:p w:rsidR="006175A6" w:rsidRDefault="009B4BA7">
      <w:pPr>
        <w:ind w:firstLine="480"/>
      </w:pPr>
      <w:r>
        <w:rPr>
          <w:rFonts w:hint="eastAsia"/>
        </w:rPr>
        <w:t>工程建设环境监理是工程监理的重要组成部分，应贯穿工程建设全过程。工程建设环境监理工作的主要目的是在施工期间对工程所有施工单位的环境保护工作进行监督、检查和管理。</w:t>
      </w:r>
    </w:p>
    <w:p w:rsidR="006175A6" w:rsidRDefault="009B4BA7">
      <w:pPr>
        <w:ind w:firstLine="480"/>
      </w:pPr>
      <w:r>
        <w:rPr>
          <w:rFonts w:hint="eastAsia"/>
        </w:rPr>
        <w:t>环境监理工程师受业主的委托，主要在工程建设期和拆迁安置过程中对所有实施环保项目的专业部门及工程项目承包商的环境保护工作进行监督、检查、管理。</w:t>
      </w:r>
    </w:p>
    <w:p w:rsidR="006175A6" w:rsidRDefault="009B4BA7">
      <w:pPr>
        <w:ind w:firstLine="480"/>
      </w:pPr>
      <w:r>
        <w:rPr>
          <w:rFonts w:hint="eastAsia"/>
        </w:rPr>
        <w:t>工程建设环境监理的任务包括：</w:t>
      </w:r>
    </w:p>
    <w:p w:rsidR="006175A6" w:rsidRDefault="009B4BA7">
      <w:pPr>
        <w:ind w:firstLine="480"/>
      </w:pPr>
      <w:r>
        <w:rPr>
          <w:rFonts w:hint="eastAsia"/>
        </w:rPr>
        <w:t>1</w:t>
      </w:r>
      <w:r>
        <w:rPr>
          <w:rFonts w:hint="eastAsia"/>
        </w:rPr>
        <w:t>、质量控制：按照国家或地方环境标准和招标文件中的环境保护条款，根据建设单位的要求，在工程施工期间通过现场监督等方式，监督承包商履行合同规定，防止生态破坏和水土流失，防止水污染、空气污染、噪声污染等，并及时处理工程施工中出现的污染问题。</w:t>
      </w:r>
    </w:p>
    <w:p w:rsidR="006175A6" w:rsidRDefault="009B4BA7">
      <w:pPr>
        <w:ind w:firstLine="480"/>
      </w:pPr>
      <w:r>
        <w:rPr>
          <w:rFonts w:hint="eastAsia"/>
        </w:rPr>
        <w:t>2</w:t>
      </w:r>
      <w:r>
        <w:rPr>
          <w:rFonts w:hint="eastAsia"/>
        </w:rPr>
        <w:t>、信息管理：及时了解和收集掌握施工区和拆迁安置点各类信息，并对信息进行分类、反馈、处理和储存管理，便于管理决策和协调工程建设各有关参与方的环境保护工作；及时掌握工程区环境状况，解决施工和拆迁安置过程中造成的环境纠纷；对工程项目承包商的环境月报、季报进行审核，提出审查、修改意见。</w:t>
      </w:r>
    </w:p>
    <w:p w:rsidR="006175A6" w:rsidRDefault="009B4BA7">
      <w:pPr>
        <w:ind w:firstLine="480"/>
      </w:pPr>
      <w:r>
        <w:rPr>
          <w:rFonts w:hint="eastAsia"/>
        </w:rPr>
        <w:t>3</w:t>
      </w:r>
      <w:r>
        <w:rPr>
          <w:rFonts w:hint="eastAsia"/>
        </w:rPr>
        <w:t>、组织协调工作：协助环保部门，对环境工程建设质量、施工进度、投资的合理使用、环保设施运行等进行监督管理，确保各项措施落到实处，发挥实效；此外，还应协调业主与承包商、业主与设计方、与工程建设各有关部门之间的关系。</w:t>
      </w:r>
    </w:p>
    <w:p w:rsidR="006175A6" w:rsidRDefault="009B4BA7">
      <w:pPr>
        <w:pStyle w:val="3"/>
      </w:pPr>
      <w:r>
        <w:rPr>
          <w:rFonts w:hint="eastAsia"/>
        </w:rPr>
        <w:t>监理内容</w:t>
      </w:r>
    </w:p>
    <w:p w:rsidR="006175A6" w:rsidRDefault="009B4BA7">
      <w:pPr>
        <w:ind w:firstLine="480"/>
      </w:pPr>
      <w:r>
        <w:rPr>
          <w:rFonts w:hint="eastAsia"/>
        </w:rPr>
        <w:t>1</w:t>
      </w:r>
      <w:r>
        <w:rPr>
          <w:rFonts w:hint="eastAsia"/>
        </w:rPr>
        <w:t>、编制环境监理计划，拟定环境监理项目和内容；</w:t>
      </w:r>
    </w:p>
    <w:p w:rsidR="006175A6" w:rsidRDefault="009B4BA7">
      <w:pPr>
        <w:ind w:firstLine="480"/>
      </w:pPr>
      <w:r>
        <w:rPr>
          <w:rFonts w:hint="eastAsia"/>
        </w:rPr>
        <w:t>2</w:t>
      </w:r>
      <w:r>
        <w:rPr>
          <w:rFonts w:hint="eastAsia"/>
        </w:rPr>
        <w:t>、负责审核施工招投标文件中环保条款内容；</w:t>
      </w:r>
    </w:p>
    <w:p w:rsidR="006175A6" w:rsidRDefault="009B4BA7">
      <w:pPr>
        <w:ind w:firstLine="480"/>
      </w:pPr>
      <w:r>
        <w:rPr>
          <w:rFonts w:hint="eastAsia"/>
        </w:rPr>
        <w:t>3</w:t>
      </w:r>
      <w:r>
        <w:rPr>
          <w:rFonts w:hint="eastAsia"/>
        </w:rPr>
        <w:t>、结合调查监测资料，全面监督和检查各施工单位环境保护措施实施情况和实施效果；</w:t>
      </w:r>
    </w:p>
    <w:p w:rsidR="006175A6" w:rsidRDefault="009B4BA7">
      <w:pPr>
        <w:ind w:firstLine="480"/>
      </w:pPr>
      <w:r>
        <w:rPr>
          <w:rFonts w:hint="eastAsia"/>
        </w:rPr>
        <w:t>4</w:t>
      </w:r>
      <w:r>
        <w:rPr>
          <w:rFonts w:hint="eastAsia"/>
        </w:rPr>
        <w:t>、全面监督检查施工单位负责的渣场、施工迹地的处理等水保措施的实施</w:t>
      </w:r>
      <w:r>
        <w:rPr>
          <w:rFonts w:hint="eastAsia"/>
        </w:rPr>
        <w:lastRenderedPageBreak/>
        <w:t>效果；</w:t>
      </w:r>
    </w:p>
    <w:p w:rsidR="006175A6" w:rsidRDefault="009B4BA7">
      <w:pPr>
        <w:ind w:firstLine="480"/>
      </w:pPr>
      <w:r>
        <w:rPr>
          <w:rFonts w:hint="eastAsia"/>
        </w:rPr>
        <w:t>5</w:t>
      </w:r>
      <w:r>
        <w:rPr>
          <w:rFonts w:hint="eastAsia"/>
        </w:rPr>
        <w:t>、负责落实环境监测的实施，审核有关环境报表，根据水质、环境空气、噪声等监测结果，对工程施工及管理提出相应要求，尽量减少工程施工给环境带来的不利影响；</w:t>
      </w:r>
    </w:p>
    <w:p w:rsidR="006175A6" w:rsidRDefault="009B4BA7">
      <w:pPr>
        <w:ind w:firstLine="480"/>
      </w:pPr>
      <w:r>
        <w:rPr>
          <w:rFonts w:hint="eastAsia"/>
        </w:rPr>
        <w:t>6</w:t>
      </w:r>
      <w:r>
        <w:rPr>
          <w:rFonts w:hint="eastAsia"/>
        </w:rPr>
        <w:t>、在日常工作中做好监理记录及监理报告，参与竣工验收。</w:t>
      </w:r>
    </w:p>
    <w:p w:rsidR="006175A6" w:rsidRDefault="009B4BA7">
      <w:pPr>
        <w:pStyle w:val="3"/>
      </w:pPr>
      <w:r>
        <w:rPr>
          <w:rFonts w:hint="eastAsia"/>
        </w:rPr>
        <w:t>环境监理机构及程序</w:t>
      </w:r>
    </w:p>
    <w:p w:rsidR="006175A6" w:rsidRDefault="009B4BA7">
      <w:pPr>
        <w:ind w:firstLine="480"/>
      </w:pPr>
      <w:r>
        <w:rPr>
          <w:rFonts w:hint="eastAsia"/>
        </w:rPr>
        <w:t>环境监理既是环境管理的重要组成部分，又具有相对的独立性，因此应成立独立的环境监理机构，由具有相应监理资质的单位承担监理任务。依照监理机构合同条款及国家环境保护法律、法规、政策要求，根据环境监测数据及巡查结果，监督、审查和评估施工单位各项环保措施执行情况，及时发现、纠正违反合同环保条款及国家环保要求的施工行为。</w:t>
      </w:r>
    </w:p>
    <w:p w:rsidR="006175A6" w:rsidRDefault="009B4BA7">
      <w:pPr>
        <w:pStyle w:val="3"/>
      </w:pPr>
      <w:r>
        <w:rPr>
          <w:rFonts w:hint="eastAsia"/>
        </w:rPr>
        <w:t>环境监理的措施</w:t>
      </w:r>
    </w:p>
    <w:p w:rsidR="006175A6" w:rsidRDefault="009B4BA7">
      <w:pPr>
        <w:ind w:firstLine="480"/>
      </w:pPr>
      <w:r>
        <w:rPr>
          <w:rFonts w:hint="eastAsia"/>
        </w:rPr>
        <w:t>1</w:t>
      </w:r>
      <w:r>
        <w:rPr>
          <w:rFonts w:hint="eastAsia"/>
        </w:rPr>
        <w:t>、建立健全完善的环境监理保障组织体系环境监理工作具备双重性，从其相对独立性而言，必须设置专职的机构和配备专业素质较高的专职工程师。</w:t>
      </w:r>
    </w:p>
    <w:p w:rsidR="006175A6" w:rsidRDefault="009B4BA7">
      <w:pPr>
        <w:ind w:firstLine="480"/>
      </w:pPr>
      <w:r>
        <w:rPr>
          <w:rFonts w:hint="eastAsia"/>
        </w:rPr>
        <w:t>2</w:t>
      </w:r>
      <w:r>
        <w:rPr>
          <w:rFonts w:hint="eastAsia"/>
        </w:rPr>
        <w:t>、制订相关的环境保护管理办法及实施细则。</w:t>
      </w:r>
    </w:p>
    <w:p w:rsidR="006175A6" w:rsidRDefault="009B4BA7">
      <w:pPr>
        <w:ind w:firstLine="480"/>
      </w:pPr>
      <w:r>
        <w:rPr>
          <w:rFonts w:hint="eastAsia"/>
        </w:rPr>
        <w:t>3</w:t>
      </w:r>
      <w:r>
        <w:rPr>
          <w:rFonts w:hint="eastAsia"/>
        </w:rPr>
        <w:t>、建立了完善的环境监理工作制度。</w:t>
      </w:r>
    </w:p>
    <w:p w:rsidR="006175A6" w:rsidRDefault="009B4BA7">
      <w:pPr>
        <w:ind w:firstLine="480"/>
      </w:pPr>
      <w:r>
        <w:rPr>
          <w:rFonts w:hint="eastAsia"/>
        </w:rPr>
        <w:t>主要的工作制度有：</w:t>
      </w:r>
    </w:p>
    <w:p w:rsidR="006175A6" w:rsidRDefault="009B4BA7">
      <w:pPr>
        <w:ind w:firstLine="480"/>
      </w:pPr>
      <w:r>
        <w:rPr>
          <w:rFonts w:hint="eastAsia"/>
        </w:rPr>
        <w:t>（</w:t>
      </w:r>
      <w:r>
        <w:rPr>
          <w:rFonts w:hint="eastAsia"/>
        </w:rPr>
        <w:t>1</w:t>
      </w:r>
      <w:r>
        <w:rPr>
          <w:rFonts w:hint="eastAsia"/>
        </w:rPr>
        <w:t>）工作记录制度，即“监理日志”。描述巡视检查情况、环境问题，分析问题发生的原因及责任单位，初步处理意见等。</w:t>
      </w:r>
    </w:p>
    <w:p w:rsidR="006175A6" w:rsidRDefault="009B4BA7">
      <w:pPr>
        <w:ind w:firstLine="480"/>
      </w:pPr>
      <w:r>
        <w:rPr>
          <w:rFonts w:hint="eastAsia"/>
        </w:rPr>
        <w:t>（</w:t>
      </w:r>
      <w:r>
        <w:rPr>
          <w:rFonts w:hint="eastAsia"/>
        </w:rPr>
        <w:t>2</w:t>
      </w:r>
      <w:r>
        <w:rPr>
          <w:rFonts w:hint="eastAsia"/>
        </w:rPr>
        <w:t>）报告制度。这是沟通上下内外的重要渠道和传递信息的方法。包括环境监理工程师的“月报”，工程师的“季度报告”和“半年进度评估报告”以及工程承包商的“环境月报”。</w:t>
      </w:r>
    </w:p>
    <w:p w:rsidR="006175A6" w:rsidRDefault="009B4BA7">
      <w:pPr>
        <w:ind w:firstLine="480"/>
      </w:pPr>
      <w:r>
        <w:rPr>
          <w:rFonts w:hint="eastAsia"/>
        </w:rPr>
        <w:t>（</w:t>
      </w:r>
      <w:r>
        <w:rPr>
          <w:rFonts w:hint="eastAsia"/>
        </w:rPr>
        <w:t>3</w:t>
      </w:r>
      <w:r>
        <w:rPr>
          <w:rFonts w:hint="eastAsia"/>
        </w:rPr>
        <w:t>）文件通知制度。环境监理工程师与工程承包商之间只是工作上的关系，双方应办事宜都是通过文件函递和确认。当工况紧急时先行口头通知，事后仍需以书面文件递交确认。</w:t>
      </w:r>
    </w:p>
    <w:p w:rsidR="006175A6" w:rsidRDefault="009B4BA7">
      <w:pPr>
        <w:ind w:firstLine="480"/>
      </w:pPr>
      <w:r>
        <w:rPr>
          <w:rFonts w:hint="eastAsia"/>
        </w:rPr>
        <w:t>（</w:t>
      </w:r>
      <w:r>
        <w:rPr>
          <w:rFonts w:hint="eastAsia"/>
        </w:rPr>
        <w:t>4</w:t>
      </w:r>
      <w:r>
        <w:rPr>
          <w:rFonts w:hint="eastAsia"/>
        </w:rPr>
        <w:t>）环境例会制度。每月召开一次环境保护会议，回顾总结一个月来的环境保护工作情况。召集工程承包商、工程师、环境监理工程师等在一起商讨研究，提出存在问题及整改要求，统一思想，形成实施方案。</w:t>
      </w:r>
    </w:p>
    <w:p w:rsidR="006175A6" w:rsidRDefault="009B4BA7">
      <w:pPr>
        <w:pStyle w:val="2"/>
      </w:pPr>
      <w:bookmarkStart w:id="103" w:name="_Toc80170145"/>
      <w:r>
        <w:rPr>
          <w:rFonts w:hint="eastAsia"/>
        </w:rPr>
        <w:lastRenderedPageBreak/>
        <w:t>环境监测</w:t>
      </w:r>
      <w:bookmarkEnd w:id="103"/>
    </w:p>
    <w:p w:rsidR="006175A6" w:rsidRDefault="009B4BA7">
      <w:pPr>
        <w:ind w:firstLine="480"/>
      </w:pPr>
      <w:r>
        <w:rPr>
          <w:rFonts w:hint="eastAsia"/>
        </w:rPr>
        <w:t>两河口水库工程环境监测的主要任务，是对施工期和运行初期对施工区域水质、空气质量、声环境、生态环境、人群健康等进行监测，为工程施工期和运行期环境保护和管理提供依据。</w:t>
      </w:r>
    </w:p>
    <w:p w:rsidR="006175A6" w:rsidRDefault="009B4BA7">
      <w:pPr>
        <w:ind w:firstLine="480"/>
      </w:pPr>
      <w:r>
        <w:rPr>
          <w:rFonts w:hint="eastAsia"/>
        </w:rPr>
        <w:t>环境监测是建设项目环境保护管理的基本手段和基础，为保证各项环保措施的落实，环境监测应委托具有环境监测资质的单位实施。</w:t>
      </w:r>
    </w:p>
    <w:p w:rsidR="006175A6" w:rsidRDefault="009B4BA7">
      <w:pPr>
        <w:ind w:firstLine="480"/>
      </w:pPr>
      <w:r>
        <w:rPr>
          <w:rFonts w:hint="eastAsia"/>
        </w:rPr>
        <w:t>环境监测应遵循如下原则：</w:t>
      </w:r>
    </w:p>
    <w:p w:rsidR="006175A6" w:rsidRDefault="009B4BA7">
      <w:pPr>
        <w:ind w:firstLine="480"/>
      </w:pPr>
      <w:r>
        <w:rPr>
          <w:rFonts w:hint="eastAsia"/>
        </w:rPr>
        <w:t>1</w:t>
      </w:r>
      <w:r>
        <w:rPr>
          <w:rFonts w:hint="eastAsia"/>
        </w:rPr>
        <w:t>、结合工程建设及运行特点，针对生态环境保护的具体要求，选择与工程影响有关的环境因子作为监测、调查与观测对象，经分析确认与工程影响无关的环境因子则不作专门的监测。</w:t>
      </w:r>
    </w:p>
    <w:p w:rsidR="006175A6" w:rsidRDefault="009B4BA7">
      <w:pPr>
        <w:ind w:firstLine="480"/>
      </w:pPr>
      <w:r>
        <w:rPr>
          <w:rFonts w:hint="eastAsia"/>
        </w:rPr>
        <w:t>2</w:t>
      </w:r>
      <w:r>
        <w:rPr>
          <w:rFonts w:hint="eastAsia"/>
        </w:rPr>
        <w:t>、监测成果应能及时、全面和系统地反映工程影响涉及区生态环境的变化，监测断面与观测点的设置既能对环境因子起到监控作用，满足相应专业的技术要求，同时应充分利用地方现有环境监测机构、技术人员及装备和现有常规水质监测成果，以节约资金和便于管理。</w:t>
      </w:r>
    </w:p>
    <w:p w:rsidR="006175A6" w:rsidRDefault="009B4BA7">
      <w:pPr>
        <w:pStyle w:val="3"/>
      </w:pPr>
      <w:r>
        <w:rPr>
          <w:rFonts w:hint="eastAsia"/>
        </w:rPr>
        <w:t>施工期环境监测</w:t>
      </w:r>
    </w:p>
    <w:p w:rsidR="006175A6" w:rsidRDefault="009B4BA7">
      <w:pPr>
        <w:ind w:firstLine="480"/>
      </w:pPr>
      <w:r>
        <w:rPr>
          <w:rFonts w:hint="eastAsia"/>
        </w:rPr>
        <w:t>1</w:t>
      </w:r>
      <w:r>
        <w:rPr>
          <w:rFonts w:hint="eastAsia"/>
        </w:rPr>
        <w:t>、水质监测</w:t>
      </w:r>
    </w:p>
    <w:p w:rsidR="006175A6" w:rsidRDefault="009B4BA7">
      <w:pPr>
        <w:ind w:firstLine="480"/>
      </w:pPr>
      <w:r>
        <w:rPr>
          <w:rFonts w:hint="eastAsia"/>
        </w:rPr>
        <w:t>（</w:t>
      </w:r>
      <w:r>
        <w:rPr>
          <w:rFonts w:hint="eastAsia"/>
        </w:rPr>
        <w:t>1</w:t>
      </w:r>
      <w:r>
        <w:rPr>
          <w:rFonts w:hint="eastAsia"/>
        </w:rPr>
        <w:t>）地表水监测</w:t>
      </w:r>
    </w:p>
    <w:p w:rsidR="006175A6" w:rsidRDefault="009B4BA7">
      <w:pPr>
        <w:ind w:firstLine="480"/>
      </w:pPr>
      <w:r>
        <w:rPr>
          <w:rFonts w:hint="eastAsia"/>
        </w:rPr>
        <w:t>监测位置：坝址上下游各布置</w:t>
      </w:r>
      <w:r>
        <w:rPr>
          <w:rFonts w:hint="eastAsia"/>
        </w:rPr>
        <w:t>1</w:t>
      </w:r>
      <w:r>
        <w:rPr>
          <w:rFonts w:hint="eastAsia"/>
        </w:rPr>
        <w:t>个。</w:t>
      </w:r>
    </w:p>
    <w:p w:rsidR="006175A6" w:rsidRDefault="009B4BA7">
      <w:pPr>
        <w:ind w:firstLine="480"/>
      </w:pPr>
      <w:r>
        <w:rPr>
          <w:rFonts w:hint="eastAsia"/>
        </w:rPr>
        <w:t>监测项目：按照《地表水环境质量标准》（</w:t>
      </w:r>
      <w:r>
        <w:rPr>
          <w:rFonts w:hint="eastAsia"/>
        </w:rPr>
        <w:t>GB/T14848</w:t>
      </w:r>
      <w:r>
        <w:rPr>
          <w:rFonts w:hint="eastAsia"/>
        </w:rPr>
        <w:t>—</w:t>
      </w:r>
      <w:r>
        <w:rPr>
          <w:rFonts w:hint="eastAsia"/>
        </w:rPr>
        <w:t>93</w:t>
      </w:r>
      <w:r>
        <w:rPr>
          <w:rFonts w:hint="eastAsia"/>
        </w:rPr>
        <w:t>），</w:t>
      </w:r>
      <w:r>
        <w:rPr>
          <w:rFonts w:hint="eastAsia"/>
        </w:rPr>
        <w:t>pH</w:t>
      </w:r>
      <w:r>
        <w:rPr>
          <w:rFonts w:hint="eastAsia"/>
        </w:rPr>
        <w:t>、水温、悬浮物、溶解氧、五日生化需氧量、高锰酸盐指数、氨氮、硝酸盐、总氮、总磷、铜、锌、铅、铬（六价）、氰化物、镉、石油类、挥发酚、砷、汞、粪大肠菌群、硫酸盐、氯化物共</w:t>
      </w:r>
      <w:r>
        <w:rPr>
          <w:rFonts w:hint="eastAsia"/>
        </w:rPr>
        <w:t xml:space="preserve">23 </w:t>
      </w:r>
      <w:r>
        <w:rPr>
          <w:rFonts w:hint="eastAsia"/>
        </w:rPr>
        <w:t>项。</w:t>
      </w:r>
    </w:p>
    <w:p w:rsidR="006175A6" w:rsidRDefault="009B4BA7">
      <w:pPr>
        <w:ind w:firstLine="480"/>
      </w:pPr>
      <w:r>
        <w:rPr>
          <w:rFonts w:hint="eastAsia"/>
        </w:rPr>
        <w:t>监测频率：施工期间，每季度监测</w:t>
      </w:r>
      <w:r>
        <w:rPr>
          <w:rFonts w:hint="eastAsia"/>
        </w:rPr>
        <w:t>1</w:t>
      </w:r>
      <w:r>
        <w:rPr>
          <w:rFonts w:hint="eastAsia"/>
        </w:rPr>
        <w:t>次。</w:t>
      </w:r>
    </w:p>
    <w:p w:rsidR="006175A6" w:rsidRDefault="009B4BA7">
      <w:pPr>
        <w:ind w:firstLine="480"/>
      </w:pPr>
      <w:r>
        <w:rPr>
          <w:rFonts w:hint="eastAsia"/>
        </w:rPr>
        <w:t>（</w:t>
      </w:r>
      <w:r>
        <w:rPr>
          <w:rFonts w:hint="eastAsia"/>
        </w:rPr>
        <w:t>2</w:t>
      </w:r>
      <w:r>
        <w:rPr>
          <w:rFonts w:hint="eastAsia"/>
        </w:rPr>
        <w:t>）地下水水质监测</w:t>
      </w:r>
    </w:p>
    <w:p w:rsidR="006175A6" w:rsidRDefault="009B4BA7">
      <w:pPr>
        <w:ind w:firstLine="480"/>
      </w:pPr>
      <w:r>
        <w:rPr>
          <w:rFonts w:hint="eastAsia"/>
        </w:rPr>
        <w:t>监测点位：在工程坝址附近的石柱村出露泉水布置</w:t>
      </w:r>
      <w:r>
        <w:rPr>
          <w:rFonts w:hint="eastAsia"/>
        </w:rPr>
        <w:t>1</w:t>
      </w:r>
      <w:r>
        <w:rPr>
          <w:rFonts w:hint="eastAsia"/>
        </w:rPr>
        <w:t>个监测点位。</w:t>
      </w:r>
    </w:p>
    <w:p w:rsidR="006175A6" w:rsidRDefault="009B4BA7">
      <w:pPr>
        <w:ind w:firstLine="480"/>
      </w:pPr>
      <w:r>
        <w:rPr>
          <w:rFonts w:hint="eastAsia"/>
        </w:rPr>
        <w:t>监测因子：水位、</w:t>
      </w:r>
      <w:r>
        <w:rPr>
          <w:rFonts w:hint="eastAsia"/>
        </w:rPr>
        <w:t>pH</w:t>
      </w:r>
      <w:r>
        <w:rPr>
          <w:rFonts w:hint="eastAsia"/>
        </w:rPr>
        <w:t>、总硬度、高锰酸盐指数、氨氮、硝酸盐氮、亚硝酸盐氮、砷、汞、氟化物、氯化物。</w:t>
      </w:r>
    </w:p>
    <w:p w:rsidR="006175A6" w:rsidRDefault="009B4BA7">
      <w:pPr>
        <w:ind w:firstLine="480"/>
      </w:pPr>
      <w:r>
        <w:rPr>
          <w:rFonts w:hint="eastAsia"/>
        </w:rPr>
        <w:t>监测频次：施工期每</w:t>
      </w:r>
      <w:r>
        <w:rPr>
          <w:rFonts w:hint="eastAsia"/>
        </w:rPr>
        <w:t>3</w:t>
      </w:r>
      <w:r>
        <w:rPr>
          <w:rFonts w:hint="eastAsia"/>
        </w:rPr>
        <w:t>个月监测</w:t>
      </w:r>
      <w:r>
        <w:rPr>
          <w:rFonts w:hint="eastAsia"/>
        </w:rPr>
        <w:t>1</w:t>
      </w:r>
      <w:r>
        <w:rPr>
          <w:rFonts w:hint="eastAsia"/>
        </w:rPr>
        <w:t>次。</w:t>
      </w:r>
    </w:p>
    <w:p w:rsidR="006175A6" w:rsidRDefault="009B4BA7">
      <w:pPr>
        <w:ind w:firstLine="480"/>
      </w:pPr>
      <w:r>
        <w:rPr>
          <w:rFonts w:hint="eastAsia"/>
        </w:rPr>
        <w:lastRenderedPageBreak/>
        <w:t>2</w:t>
      </w:r>
      <w:r>
        <w:rPr>
          <w:rFonts w:hint="eastAsia"/>
        </w:rPr>
        <w:t>、环境空气质量监测</w:t>
      </w:r>
    </w:p>
    <w:p w:rsidR="006175A6" w:rsidRDefault="009B4BA7">
      <w:pPr>
        <w:ind w:firstLine="480"/>
      </w:pPr>
      <w:r>
        <w:rPr>
          <w:rFonts w:hint="eastAsia"/>
        </w:rPr>
        <w:t>监测位置：施工区设</w:t>
      </w:r>
      <w:r>
        <w:rPr>
          <w:rFonts w:hint="eastAsia"/>
        </w:rPr>
        <w:t>1</w:t>
      </w:r>
      <w:r>
        <w:rPr>
          <w:rFonts w:hint="eastAsia"/>
        </w:rPr>
        <w:t>个，共</w:t>
      </w:r>
      <w:r>
        <w:rPr>
          <w:rFonts w:hint="eastAsia"/>
        </w:rPr>
        <w:t>1</w:t>
      </w:r>
      <w:r>
        <w:rPr>
          <w:rFonts w:hint="eastAsia"/>
        </w:rPr>
        <w:t>个监测点。</w:t>
      </w:r>
    </w:p>
    <w:p w:rsidR="006175A6" w:rsidRDefault="009B4BA7">
      <w:pPr>
        <w:ind w:firstLine="480"/>
      </w:pPr>
      <w:r>
        <w:rPr>
          <w:rFonts w:hint="eastAsia"/>
        </w:rPr>
        <w:t>监测项目：根据施工期产生主要污染物和空气质量的控制指标，监测项目确定为总悬浮颗粒，同时实测主要气象要素气温、风速和风向。</w:t>
      </w:r>
    </w:p>
    <w:p w:rsidR="006175A6" w:rsidRDefault="009B4BA7">
      <w:pPr>
        <w:ind w:firstLine="480"/>
      </w:pPr>
      <w:r>
        <w:rPr>
          <w:rFonts w:hint="eastAsia"/>
        </w:rPr>
        <w:t>监测频率：考虑到库区环境空气质量较好，而且周边居民较少，因此，施工期的废气监测采用非连续性监测，施工进场前监测</w:t>
      </w:r>
      <w:r>
        <w:rPr>
          <w:rFonts w:hint="eastAsia"/>
        </w:rPr>
        <w:t xml:space="preserve">1 </w:t>
      </w:r>
      <w:r>
        <w:rPr>
          <w:rFonts w:hint="eastAsia"/>
        </w:rPr>
        <w:t>次，每年的施工高峰期监测</w:t>
      </w:r>
      <w:r>
        <w:rPr>
          <w:rFonts w:hint="eastAsia"/>
        </w:rPr>
        <w:t>1</w:t>
      </w:r>
      <w:r>
        <w:rPr>
          <w:rFonts w:hint="eastAsia"/>
        </w:rPr>
        <w:t>次。</w:t>
      </w:r>
    </w:p>
    <w:p w:rsidR="006175A6" w:rsidRDefault="009B4BA7">
      <w:pPr>
        <w:ind w:firstLine="480"/>
      </w:pPr>
      <w:r>
        <w:rPr>
          <w:rFonts w:hint="eastAsia"/>
        </w:rPr>
        <w:t>监测方法：按原国家环境保护局《环境监测技术规范》的规定方法执行。</w:t>
      </w:r>
    </w:p>
    <w:p w:rsidR="006175A6" w:rsidRDefault="009B4BA7">
      <w:pPr>
        <w:ind w:firstLine="480"/>
      </w:pPr>
      <w:r>
        <w:rPr>
          <w:rFonts w:hint="eastAsia"/>
        </w:rPr>
        <w:t>3</w:t>
      </w:r>
      <w:r>
        <w:rPr>
          <w:rFonts w:hint="eastAsia"/>
        </w:rPr>
        <w:t>、环境噪声监测</w:t>
      </w:r>
    </w:p>
    <w:p w:rsidR="006175A6" w:rsidRDefault="009B4BA7">
      <w:pPr>
        <w:ind w:firstLine="480"/>
      </w:pPr>
      <w:r>
        <w:rPr>
          <w:rFonts w:hint="eastAsia"/>
        </w:rPr>
        <w:t>监测位置：在施工区砂石料加工系统场地、施工人员生活区各布置</w:t>
      </w:r>
      <w:r>
        <w:rPr>
          <w:rFonts w:hint="eastAsia"/>
        </w:rPr>
        <w:t xml:space="preserve">1 </w:t>
      </w:r>
      <w:r>
        <w:rPr>
          <w:rFonts w:hint="eastAsia"/>
        </w:rPr>
        <w:t>个监测点。</w:t>
      </w:r>
    </w:p>
    <w:p w:rsidR="006175A6" w:rsidRDefault="009B4BA7">
      <w:pPr>
        <w:ind w:firstLine="480"/>
      </w:pPr>
      <w:r>
        <w:rPr>
          <w:rFonts w:hint="eastAsia"/>
        </w:rPr>
        <w:t>监测项目：昼间、夜间等效连续</w:t>
      </w:r>
      <w:r>
        <w:rPr>
          <w:rFonts w:hint="eastAsia"/>
        </w:rPr>
        <w:t>A</w:t>
      </w:r>
      <w:r>
        <w:rPr>
          <w:rFonts w:hint="eastAsia"/>
        </w:rPr>
        <w:t>声级</w:t>
      </w:r>
    </w:p>
    <w:p w:rsidR="006175A6" w:rsidRDefault="009B4BA7">
      <w:pPr>
        <w:ind w:firstLine="480"/>
      </w:pPr>
      <w:r>
        <w:rPr>
          <w:rFonts w:hint="eastAsia"/>
        </w:rPr>
        <w:t>监测频率：监测频次及监测技术要求：施工进场前监测</w:t>
      </w:r>
      <w:r>
        <w:rPr>
          <w:rFonts w:hint="eastAsia"/>
        </w:rPr>
        <w:t>1</w:t>
      </w:r>
      <w:r>
        <w:rPr>
          <w:rFonts w:hint="eastAsia"/>
        </w:rPr>
        <w:t>期，每年施工高峰期监测</w:t>
      </w:r>
      <w:r>
        <w:rPr>
          <w:rFonts w:hint="eastAsia"/>
        </w:rPr>
        <w:t>1</w:t>
      </w:r>
      <w:r>
        <w:rPr>
          <w:rFonts w:hint="eastAsia"/>
        </w:rPr>
        <w:t>期，按照《环境监测技术规范》的要求，每次连续测量</w:t>
      </w:r>
      <w:r>
        <w:rPr>
          <w:rFonts w:hint="eastAsia"/>
        </w:rPr>
        <w:t xml:space="preserve">2 </w:t>
      </w:r>
      <w:r>
        <w:rPr>
          <w:rFonts w:hint="eastAsia"/>
        </w:rPr>
        <w:t>天，每天测量</w:t>
      </w:r>
      <w:r>
        <w:rPr>
          <w:rFonts w:hint="eastAsia"/>
        </w:rPr>
        <w:t>4</w:t>
      </w:r>
      <w:r>
        <w:rPr>
          <w:rFonts w:hint="eastAsia"/>
        </w:rPr>
        <w:t>次，昼夜各</w:t>
      </w:r>
      <w:r>
        <w:rPr>
          <w:rFonts w:hint="eastAsia"/>
        </w:rPr>
        <w:t>2</w:t>
      </w:r>
      <w:r>
        <w:rPr>
          <w:rFonts w:hint="eastAsia"/>
        </w:rPr>
        <w:t>次。</w:t>
      </w:r>
    </w:p>
    <w:p w:rsidR="006175A6" w:rsidRDefault="009B4BA7">
      <w:pPr>
        <w:ind w:firstLine="480"/>
      </w:pPr>
      <w:r>
        <w:rPr>
          <w:rFonts w:hint="eastAsia"/>
        </w:rPr>
        <w:t>4</w:t>
      </w:r>
      <w:r>
        <w:rPr>
          <w:rFonts w:hint="eastAsia"/>
        </w:rPr>
        <w:t>、水土流失</w:t>
      </w:r>
    </w:p>
    <w:p w:rsidR="006175A6" w:rsidRDefault="009B4BA7">
      <w:pPr>
        <w:ind w:firstLine="480"/>
      </w:pPr>
      <w:r>
        <w:rPr>
          <w:rFonts w:hint="eastAsia"/>
        </w:rPr>
        <w:t>本工程水土保持监测内容、地点及监测频率均按主管部门批复的《两河口水库工程水土保持方案报告书》的要求进行。</w:t>
      </w:r>
    </w:p>
    <w:p w:rsidR="006175A6" w:rsidRDefault="009B4BA7">
      <w:pPr>
        <w:ind w:firstLine="480"/>
      </w:pPr>
      <w:r>
        <w:rPr>
          <w:rFonts w:hint="eastAsia"/>
        </w:rPr>
        <w:t>5</w:t>
      </w:r>
      <w:r>
        <w:rPr>
          <w:rFonts w:hint="eastAsia"/>
        </w:rPr>
        <w:t>、陆生生态调查监测</w:t>
      </w:r>
    </w:p>
    <w:p w:rsidR="006175A6" w:rsidRDefault="009B4BA7">
      <w:pPr>
        <w:ind w:firstLine="480"/>
      </w:pPr>
      <w:r>
        <w:rPr>
          <w:rFonts w:hint="eastAsia"/>
        </w:rPr>
        <w:t>①调查范围</w:t>
      </w:r>
    </w:p>
    <w:p w:rsidR="006175A6" w:rsidRDefault="009B4BA7">
      <w:pPr>
        <w:ind w:firstLine="480"/>
      </w:pPr>
      <w:r>
        <w:rPr>
          <w:rFonts w:hint="eastAsia"/>
        </w:rPr>
        <w:t>工程施工征地红线外延</w:t>
      </w:r>
      <w:r>
        <w:rPr>
          <w:rFonts w:hint="eastAsia"/>
        </w:rPr>
        <w:t>500m</w:t>
      </w:r>
      <w:r>
        <w:rPr>
          <w:rFonts w:hint="eastAsia"/>
        </w:rPr>
        <w:t>、弃渣场、料场外延</w:t>
      </w:r>
      <w:r>
        <w:rPr>
          <w:rFonts w:hint="eastAsia"/>
        </w:rPr>
        <w:t xml:space="preserve">200m </w:t>
      </w:r>
      <w:r>
        <w:rPr>
          <w:rFonts w:hint="eastAsia"/>
        </w:rPr>
        <w:t>范围之内，在各点位根据陆生生物组成设置固定样线</w:t>
      </w:r>
      <w:r>
        <w:rPr>
          <w:rFonts w:hint="eastAsia"/>
        </w:rPr>
        <w:t>2</w:t>
      </w:r>
      <w:r>
        <w:rPr>
          <w:rFonts w:hint="eastAsia"/>
        </w:rPr>
        <w:t>～</w:t>
      </w:r>
      <w:r>
        <w:rPr>
          <w:rFonts w:hint="eastAsia"/>
        </w:rPr>
        <w:t xml:space="preserve">3 </w:t>
      </w:r>
      <w:r>
        <w:rPr>
          <w:rFonts w:hint="eastAsia"/>
        </w:rPr>
        <w:t>条，根据各样线群落面积确定设置的样地数量，着重调查植物的垂直和水平分布、植物物种，统计兽类、鸟类、两栖类、爬行类的物种出现率。</w:t>
      </w:r>
    </w:p>
    <w:p w:rsidR="006175A6" w:rsidRDefault="009B4BA7">
      <w:pPr>
        <w:ind w:firstLine="480"/>
      </w:pPr>
      <w:r>
        <w:rPr>
          <w:rFonts w:hint="eastAsia"/>
        </w:rPr>
        <w:t>②调查内容</w:t>
      </w:r>
    </w:p>
    <w:p w:rsidR="006175A6" w:rsidRDefault="009B4BA7">
      <w:pPr>
        <w:ind w:firstLine="480"/>
      </w:pPr>
      <w:r>
        <w:rPr>
          <w:rFonts w:hint="eastAsia"/>
        </w:rPr>
        <w:t>调查动植物区系组成、分布及其特点、种群数量、生物多样性的变化，植被恢复措施执行情况。重点是施工征地红线范围内的动植物组成、植被破坏及覆盖率等。</w:t>
      </w:r>
    </w:p>
    <w:p w:rsidR="006175A6" w:rsidRDefault="009B4BA7">
      <w:pPr>
        <w:ind w:firstLine="480"/>
      </w:pPr>
      <w:r>
        <w:rPr>
          <w:rFonts w:hint="eastAsia"/>
        </w:rPr>
        <w:t>③监测频率及时间</w:t>
      </w:r>
    </w:p>
    <w:p w:rsidR="006175A6" w:rsidRDefault="009B4BA7">
      <w:pPr>
        <w:ind w:firstLine="480"/>
      </w:pPr>
      <w:r>
        <w:rPr>
          <w:rFonts w:hint="eastAsia"/>
        </w:rPr>
        <w:lastRenderedPageBreak/>
        <w:t>根据本工程施工规划及进度安排，在水库蓄水前调查一次。</w:t>
      </w:r>
    </w:p>
    <w:p w:rsidR="006175A6" w:rsidRDefault="009B4BA7">
      <w:pPr>
        <w:ind w:firstLine="480"/>
      </w:pPr>
      <w:r>
        <w:rPr>
          <w:rFonts w:hint="eastAsia"/>
        </w:rPr>
        <w:t>6</w:t>
      </w:r>
      <w:r>
        <w:rPr>
          <w:rFonts w:hint="eastAsia"/>
        </w:rPr>
        <w:t>、水生生物调查监测</w:t>
      </w:r>
    </w:p>
    <w:p w:rsidR="006175A6" w:rsidRDefault="009B4BA7">
      <w:pPr>
        <w:ind w:firstLine="480"/>
      </w:pPr>
      <w:r>
        <w:rPr>
          <w:rFonts w:hint="eastAsia"/>
        </w:rPr>
        <w:t>①调查断面布设</w:t>
      </w:r>
    </w:p>
    <w:p w:rsidR="006175A6" w:rsidRDefault="009B4BA7">
      <w:pPr>
        <w:ind w:firstLine="480"/>
      </w:pPr>
      <w:r>
        <w:rPr>
          <w:rFonts w:hint="eastAsia"/>
        </w:rPr>
        <w:t>水生生物监测规划布设</w:t>
      </w:r>
      <w:r>
        <w:rPr>
          <w:rFonts w:hint="eastAsia"/>
        </w:rPr>
        <w:t>2</w:t>
      </w:r>
      <w:r>
        <w:rPr>
          <w:rFonts w:hint="eastAsia"/>
        </w:rPr>
        <w:t>个监测断面，即在库尾、坝址处各布设一个断面。鱼类资源调查以区域性调查为主，调查范围库尾至水库坝址前。</w:t>
      </w:r>
    </w:p>
    <w:p w:rsidR="006175A6" w:rsidRDefault="009B4BA7">
      <w:pPr>
        <w:ind w:firstLine="480"/>
      </w:pPr>
      <w:r>
        <w:rPr>
          <w:rFonts w:hint="eastAsia"/>
        </w:rPr>
        <w:t>②调查内容</w:t>
      </w:r>
    </w:p>
    <w:p w:rsidR="006175A6" w:rsidRDefault="009B4BA7">
      <w:pPr>
        <w:ind w:firstLine="480"/>
      </w:pPr>
      <w:r>
        <w:rPr>
          <w:rFonts w:hint="eastAsia"/>
        </w:rPr>
        <w:t>调查本河段水生生物及鱼类的种群（或种类）、现存量（包括生物量、数量或密度）、优势种、地区分布、生态习性、经济价值等，重点调查施工活动对国家保护鱼类以及特有和珍稀鱼类的影响。</w:t>
      </w:r>
    </w:p>
    <w:p w:rsidR="006175A6" w:rsidRDefault="009B4BA7">
      <w:pPr>
        <w:ind w:firstLine="480"/>
      </w:pPr>
      <w:r>
        <w:rPr>
          <w:rFonts w:hint="eastAsia"/>
        </w:rPr>
        <w:t>③监测频率及时间</w:t>
      </w:r>
    </w:p>
    <w:p w:rsidR="006175A6" w:rsidRDefault="009B4BA7">
      <w:pPr>
        <w:ind w:firstLine="480"/>
      </w:pPr>
      <w:r>
        <w:rPr>
          <w:rFonts w:hint="eastAsia"/>
        </w:rPr>
        <w:t>本工程施工期内每年开展</w:t>
      </w:r>
      <w:r>
        <w:rPr>
          <w:rFonts w:hint="eastAsia"/>
        </w:rPr>
        <w:t>1</w:t>
      </w:r>
      <w:r>
        <w:rPr>
          <w:rFonts w:hint="eastAsia"/>
        </w:rPr>
        <w:t>期</w:t>
      </w:r>
      <w:r>
        <w:rPr>
          <w:rFonts w:hint="eastAsia"/>
        </w:rPr>
        <w:t>2</w:t>
      </w:r>
      <w:r>
        <w:rPr>
          <w:rFonts w:hint="eastAsia"/>
        </w:rPr>
        <w:t>次监测。</w:t>
      </w:r>
    </w:p>
    <w:p w:rsidR="006175A6" w:rsidRDefault="009B4BA7">
      <w:pPr>
        <w:pStyle w:val="3"/>
      </w:pPr>
      <w:r>
        <w:rPr>
          <w:rFonts w:hint="eastAsia"/>
        </w:rPr>
        <w:t>营运期环境监测</w:t>
      </w:r>
    </w:p>
    <w:p w:rsidR="006175A6" w:rsidRDefault="009B4BA7">
      <w:pPr>
        <w:ind w:firstLine="480"/>
      </w:pPr>
      <w:r>
        <w:rPr>
          <w:rFonts w:hint="eastAsia"/>
        </w:rPr>
        <w:t>1</w:t>
      </w:r>
      <w:r>
        <w:rPr>
          <w:rFonts w:hint="eastAsia"/>
        </w:rPr>
        <w:t>、水质监测</w:t>
      </w:r>
    </w:p>
    <w:p w:rsidR="006175A6" w:rsidRDefault="009B4BA7">
      <w:pPr>
        <w:ind w:firstLine="480"/>
      </w:pPr>
      <w:r>
        <w:rPr>
          <w:rFonts w:hint="eastAsia"/>
        </w:rPr>
        <w:t>（</w:t>
      </w:r>
      <w:r>
        <w:rPr>
          <w:rFonts w:hint="eastAsia"/>
        </w:rPr>
        <w:t>1</w:t>
      </w:r>
      <w:r>
        <w:rPr>
          <w:rFonts w:hint="eastAsia"/>
        </w:rPr>
        <w:t>）地表水监测</w:t>
      </w:r>
    </w:p>
    <w:p w:rsidR="006175A6" w:rsidRDefault="009B4BA7">
      <w:pPr>
        <w:ind w:firstLine="480"/>
      </w:pPr>
      <w:r>
        <w:rPr>
          <w:rFonts w:hint="eastAsia"/>
        </w:rPr>
        <w:t>监测位置：为了掌握水库建成后水质状况，确保饮用水水源水质，拟在库尾和坝址取水口处设置</w:t>
      </w:r>
      <w:r>
        <w:rPr>
          <w:rFonts w:hint="eastAsia"/>
        </w:rPr>
        <w:t>2</w:t>
      </w:r>
      <w:r>
        <w:rPr>
          <w:rFonts w:hint="eastAsia"/>
        </w:rPr>
        <w:t>个监测断面。</w:t>
      </w:r>
    </w:p>
    <w:p w:rsidR="006175A6" w:rsidRDefault="009B4BA7">
      <w:pPr>
        <w:ind w:firstLine="480"/>
      </w:pPr>
      <w:r>
        <w:rPr>
          <w:rFonts w:hint="eastAsia"/>
        </w:rPr>
        <w:t>监测项目：按照《地表水环境质量标准》（</w:t>
      </w:r>
      <w:r>
        <w:rPr>
          <w:rFonts w:hint="eastAsia"/>
        </w:rPr>
        <w:t>GB/T14848</w:t>
      </w:r>
      <w:r>
        <w:rPr>
          <w:rFonts w:hint="eastAsia"/>
        </w:rPr>
        <w:t>—</w:t>
      </w:r>
      <w:r>
        <w:rPr>
          <w:rFonts w:hint="eastAsia"/>
        </w:rPr>
        <w:t>93</w:t>
      </w:r>
      <w:r>
        <w:rPr>
          <w:rFonts w:hint="eastAsia"/>
        </w:rPr>
        <w:t>），测水温、</w:t>
      </w:r>
      <w:r>
        <w:rPr>
          <w:rFonts w:hint="eastAsia"/>
        </w:rPr>
        <w:t>pH</w:t>
      </w:r>
      <w:r>
        <w:rPr>
          <w:rFonts w:hint="eastAsia"/>
        </w:rPr>
        <w:t>、溶解氧、高锰酸盐指数、化学需氧量、五日生化需氧量、氨氮、总氮、总磷、铜、锌、氟化物、硒、砷、汞、镉、铬（六价）、铅、氰化物、挥发酚、石油类、阴离子表面活性剂、硫化物、粪大肠菌群、硫酸盐、氯化物、硝酸盐、铁、锰、三氯甲烷、四氯化碳、三氯乙烯、四氯乙烯、甲醛、苯、甲苯、乙苯、二甲苯、苯乙烯、异丙苯、氯苯、</w:t>
      </w:r>
      <w:r>
        <w:rPr>
          <w:rFonts w:hint="eastAsia"/>
        </w:rPr>
        <w:t>1.2-</w:t>
      </w:r>
      <w:r>
        <w:rPr>
          <w:rFonts w:hint="eastAsia"/>
        </w:rPr>
        <w:t>二氯苯、</w:t>
      </w:r>
      <w:r>
        <w:rPr>
          <w:rFonts w:hint="eastAsia"/>
        </w:rPr>
        <w:t>1.4-</w:t>
      </w:r>
      <w:r>
        <w:rPr>
          <w:rFonts w:hint="eastAsia"/>
        </w:rPr>
        <w:t>二氯苯、三氯苯、硝基苯、二硝基苯、硝基氯苯、邻苯二甲酸二丁酯、邻苯二甲酸（</w:t>
      </w:r>
      <w:r>
        <w:rPr>
          <w:rFonts w:hint="eastAsia"/>
        </w:rPr>
        <w:t>2-</w:t>
      </w:r>
      <w:r>
        <w:rPr>
          <w:rFonts w:hint="eastAsia"/>
        </w:rPr>
        <w:t>乙基己基）酯、滴滴涕、林丹、阿特拉津、苯并（</w:t>
      </w:r>
      <w:r>
        <w:rPr>
          <w:rFonts w:hint="eastAsia"/>
        </w:rPr>
        <w:t>a</w:t>
      </w:r>
      <w:r>
        <w:rPr>
          <w:rFonts w:hint="eastAsia"/>
        </w:rPr>
        <w:t>）芘、钼、钴、铍、硼、锑、镍、钡、钒、铊、叶绿素</w:t>
      </w:r>
      <w:r>
        <w:rPr>
          <w:rFonts w:hint="eastAsia"/>
        </w:rPr>
        <w:t>a</w:t>
      </w:r>
      <w:r>
        <w:rPr>
          <w:rFonts w:hint="eastAsia"/>
        </w:rPr>
        <w:t>、透明度等。</w:t>
      </w:r>
    </w:p>
    <w:p w:rsidR="006175A6" w:rsidRDefault="009B4BA7">
      <w:pPr>
        <w:ind w:firstLine="480"/>
      </w:pPr>
      <w:r>
        <w:rPr>
          <w:rFonts w:hint="eastAsia"/>
        </w:rPr>
        <w:t>监测频率：水库运行期</w:t>
      </w:r>
      <w:r>
        <w:rPr>
          <w:rFonts w:hint="eastAsia"/>
        </w:rPr>
        <w:t xml:space="preserve">5 </w:t>
      </w:r>
      <w:r>
        <w:rPr>
          <w:rFonts w:hint="eastAsia"/>
        </w:rPr>
        <w:t>年内连续监测，每个月监测</w:t>
      </w:r>
      <w:r>
        <w:rPr>
          <w:rFonts w:hint="eastAsia"/>
        </w:rPr>
        <w:t xml:space="preserve">1 </w:t>
      </w:r>
      <w:r>
        <w:rPr>
          <w:rFonts w:hint="eastAsia"/>
        </w:rPr>
        <w:t>次，水质稳定后可以按照功能区划和饮用水水源地相关规定例行监测。</w:t>
      </w:r>
    </w:p>
    <w:p w:rsidR="006175A6" w:rsidRDefault="009B4BA7">
      <w:pPr>
        <w:ind w:firstLine="480"/>
      </w:pPr>
      <w:r>
        <w:rPr>
          <w:rFonts w:hint="eastAsia"/>
        </w:rPr>
        <w:t>（</w:t>
      </w:r>
      <w:r>
        <w:rPr>
          <w:rFonts w:hint="eastAsia"/>
        </w:rPr>
        <w:t>2</w:t>
      </w:r>
      <w:r>
        <w:rPr>
          <w:rFonts w:hint="eastAsia"/>
        </w:rPr>
        <w:t>）地下水水质监测</w:t>
      </w:r>
    </w:p>
    <w:p w:rsidR="006175A6" w:rsidRDefault="009B4BA7">
      <w:pPr>
        <w:ind w:firstLine="480"/>
      </w:pPr>
      <w:r>
        <w:rPr>
          <w:rFonts w:hint="eastAsia"/>
        </w:rPr>
        <w:t>监测点位：根据水文地质条件和地表水对下游影响特征，在下游设置</w:t>
      </w:r>
      <w:r>
        <w:rPr>
          <w:rFonts w:hint="eastAsia"/>
        </w:rPr>
        <w:t>1</w:t>
      </w:r>
      <w:r>
        <w:rPr>
          <w:rFonts w:hint="eastAsia"/>
        </w:rPr>
        <w:t>个监</w:t>
      </w:r>
      <w:r>
        <w:rPr>
          <w:rFonts w:hint="eastAsia"/>
        </w:rPr>
        <w:lastRenderedPageBreak/>
        <w:t>测点位进行监测。</w:t>
      </w:r>
    </w:p>
    <w:p w:rsidR="006175A6" w:rsidRDefault="009B4BA7">
      <w:pPr>
        <w:ind w:firstLine="480"/>
      </w:pPr>
      <w:r>
        <w:rPr>
          <w:rFonts w:hint="eastAsia"/>
        </w:rPr>
        <w:t>监测因子：地下水水位、水温、色度、浑浊度、悬浮性固体、溶解性固体、嗅味、</w:t>
      </w:r>
      <w:r>
        <w:rPr>
          <w:rFonts w:hint="eastAsia"/>
        </w:rPr>
        <w:t>pH</w:t>
      </w:r>
      <w:r>
        <w:rPr>
          <w:rFonts w:hint="eastAsia"/>
        </w:rPr>
        <w:t>值、溶解氧、硬度、碱度、酸度、金属、氮、磷、硫、氟化物、化学耗氧量、生化耗氧量、酚类及细菌指标。</w:t>
      </w:r>
    </w:p>
    <w:p w:rsidR="006175A6" w:rsidRDefault="009B4BA7">
      <w:pPr>
        <w:ind w:firstLine="480"/>
      </w:pPr>
      <w:r>
        <w:rPr>
          <w:rFonts w:hint="eastAsia"/>
        </w:rPr>
        <w:t>监测频次：水库运行期连续监测三年。地下水水位每月</w:t>
      </w:r>
      <w:r>
        <w:rPr>
          <w:rFonts w:hint="eastAsia"/>
        </w:rPr>
        <w:t>1</w:t>
      </w:r>
      <w:r>
        <w:rPr>
          <w:rFonts w:hint="eastAsia"/>
        </w:rPr>
        <w:t>次，丰水季节增加观测频次每月</w:t>
      </w:r>
      <w:r>
        <w:t>2</w:t>
      </w:r>
      <w:r>
        <w:rPr>
          <w:rFonts w:hint="eastAsia"/>
        </w:rPr>
        <w:t>次，共</w:t>
      </w:r>
      <w:r>
        <w:t>45</w:t>
      </w:r>
      <w:r>
        <w:rPr>
          <w:rFonts w:hint="eastAsia"/>
        </w:rPr>
        <w:t>点</w:t>
      </w:r>
      <w:r>
        <w:t>∙</w:t>
      </w:r>
      <w:r>
        <w:rPr>
          <w:rFonts w:hint="eastAsia"/>
        </w:rPr>
        <w:t>次。地下水水质采样监测每年</w:t>
      </w:r>
      <w:r>
        <w:t xml:space="preserve">3 </w:t>
      </w:r>
      <w:r>
        <w:rPr>
          <w:rFonts w:hint="eastAsia"/>
        </w:rPr>
        <w:t>次，时间选择在枯、平、丰水期，共</w:t>
      </w:r>
      <w:r>
        <w:t>9</w:t>
      </w:r>
      <w:r>
        <w:rPr>
          <w:rFonts w:hint="eastAsia"/>
        </w:rPr>
        <w:t>点</w:t>
      </w:r>
      <w:r>
        <w:rPr>
          <w:rFonts w:hint="eastAsia"/>
        </w:rPr>
        <w:t>.</w:t>
      </w:r>
      <w:r>
        <w:rPr>
          <w:rFonts w:hint="eastAsia"/>
        </w:rPr>
        <w:t>次，水质稳定后可以按照功能区划和饮用水水源地相关规定例行监测。</w:t>
      </w:r>
    </w:p>
    <w:p w:rsidR="006175A6" w:rsidRDefault="009B4BA7">
      <w:pPr>
        <w:ind w:firstLine="480"/>
      </w:pPr>
      <w:r>
        <w:t>2</w:t>
      </w:r>
      <w:r>
        <w:rPr>
          <w:rFonts w:hint="eastAsia"/>
        </w:rPr>
        <w:t>、陆生生态监测</w:t>
      </w:r>
    </w:p>
    <w:p w:rsidR="006175A6" w:rsidRDefault="009B4BA7">
      <w:pPr>
        <w:ind w:firstLine="480"/>
      </w:pPr>
      <w:r>
        <w:rPr>
          <w:rFonts w:hint="eastAsia"/>
        </w:rPr>
        <w:t>①调查范围</w:t>
      </w:r>
    </w:p>
    <w:p w:rsidR="006175A6" w:rsidRDefault="009B4BA7">
      <w:pPr>
        <w:ind w:firstLine="480"/>
      </w:pPr>
      <w:r>
        <w:rPr>
          <w:rFonts w:hint="eastAsia"/>
        </w:rPr>
        <w:t>调查范围为库区、工程施工占地区以及输水管渠区，各点位设置固定调查样线</w:t>
      </w:r>
      <w:r>
        <w:rPr>
          <w:rFonts w:hint="eastAsia"/>
        </w:rPr>
        <w:t>3~5</w:t>
      </w:r>
      <w:r>
        <w:rPr>
          <w:rFonts w:hint="eastAsia"/>
        </w:rPr>
        <w:t>条，各样线设置固定乔木、灌木和草本样方</w:t>
      </w:r>
      <w:r>
        <w:rPr>
          <w:rFonts w:hint="eastAsia"/>
        </w:rPr>
        <w:t>3~5</w:t>
      </w:r>
      <w:r>
        <w:rPr>
          <w:rFonts w:hint="eastAsia"/>
        </w:rPr>
        <w:t>个，两栖类和小型兽类也将设置一定数量的样方进行调查。</w:t>
      </w:r>
    </w:p>
    <w:p w:rsidR="006175A6" w:rsidRDefault="009B4BA7">
      <w:pPr>
        <w:ind w:firstLine="480"/>
      </w:pPr>
      <w:r>
        <w:rPr>
          <w:rFonts w:hint="eastAsia"/>
        </w:rPr>
        <w:t>②调查内容</w:t>
      </w:r>
    </w:p>
    <w:p w:rsidR="006175A6" w:rsidRDefault="009B4BA7">
      <w:pPr>
        <w:ind w:firstLine="480"/>
      </w:pPr>
      <w:r>
        <w:rPr>
          <w:rFonts w:hint="eastAsia"/>
        </w:rPr>
        <w:t>调查陆生动植物区系组成、分布及其特点、种群数量、生物多样性的变化，植被恢复措施执行情况。</w:t>
      </w:r>
    </w:p>
    <w:p w:rsidR="006175A6" w:rsidRDefault="009B4BA7">
      <w:pPr>
        <w:ind w:firstLine="480"/>
      </w:pPr>
      <w:r>
        <w:rPr>
          <w:rFonts w:hint="eastAsia"/>
        </w:rPr>
        <w:t>不同区域调查的侧重点有所不同：工程建设影响区主要对各种临时占地区、办公及生产生活区、新建公路两侧、渣场等区域的植被恢复措施执行情况、效果及植被覆盖率等情况进行观测和监测。库周区主要对库区涉及乡镇的受淹植被、陆生植被覆盖情况进行观测与监测。</w:t>
      </w:r>
    </w:p>
    <w:p w:rsidR="006175A6" w:rsidRDefault="009B4BA7">
      <w:pPr>
        <w:ind w:firstLine="480"/>
      </w:pPr>
      <w:r>
        <w:rPr>
          <w:rFonts w:hint="eastAsia"/>
        </w:rPr>
        <w:t>③监测频率及时间</w:t>
      </w:r>
    </w:p>
    <w:p w:rsidR="006175A6" w:rsidRDefault="009B4BA7">
      <w:pPr>
        <w:ind w:firstLine="480"/>
      </w:pPr>
      <w:r>
        <w:rPr>
          <w:rFonts w:hint="eastAsia"/>
        </w:rPr>
        <w:t>水库运行后第</w:t>
      </w:r>
      <w:r>
        <w:rPr>
          <w:rFonts w:hint="eastAsia"/>
        </w:rPr>
        <w:t>2</w:t>
      </w:r>
      <w:r>
        <w:rPr>
          <w:rFonts w:hint="eastAsia"/>
        </w:rPr>
        <w:t>年和第</w:t>
      </w:r>
      <w:r>
        <w:rPr>
          <w:rFonts w:hint="eastAsia"/>
        </w:rPr>
        <w:t>5</w:t>
      </w:r>
      <w:r>
        <w:rPr>
          <w:rFonts w:hint="eastAsia"/>
        </w:rPr>
        <w:t>年各调查</w:t>
      </w:r>
      <w:r>
        <w:rPr>
          <w:rFonts w:hint="eastAsia"/>
        </w:rPr>
        <w:t>1</w:t>
      </w:r>
      <w:r>
        <w:rPr>
          <w:rFonts w:hint="eastAsia"/>
        </w:rPr>
        <w:t>次。</w:t>
      </w:r>
    </w:p>
    <w:p w:rsidR="006175A6" w:rsidRDefault="009B4BA7">
      <w:pPr>
        <w:ind w:firstLine="480"/>
      </w:pPr>
      <w:r>
        <w:rPr>
          <w:rFonts w:hint="eastAsia"/>
        </w:rPr>
        <w:t>3</w:t>
      </w:r>
      <w:r>
        <w:rPr>
          <w:rFonts w:hint="eastAsia"/>
        </w:rPr>
        <w:t>、水生生态调查</w:t>
      </w:r>
    </w:p>
    <w:p w:rsidR="006175A6" w:rsidRDefault="009B4BA7">
      <w:pPr>
        <w:ind w:firstLine="480"/>
      </w:pPr>
      <w:r>
        <w:rPr>
          <w:rFonts w:hint="eastAsia"/>
        </w:rPr>
        <w:t>①调查断面布设：按照典型性、代表性原则在库尾、库中和坝上</w:t>
      </w:r>
      <w:r>
        <w:rPr>
          <w:rFonts w:hint="eastAsia"/>
        </w:rPr>
        <w:t>100m</w:t>
      </w:r>
      <w:r>
        <w:rPr>
          <w:rFonts w:hint="eastAsia"/>
        </w:rPr>
        <w:t>处以及下游干渠进行调查。共计</w:t>
      </w:r>
      <w:r>
        <w:rPr>
          <w:rFonts w:hint="eastAsia"/>
        </w:rPr>
        <w:t xml:space="preserve">4 </w:t>
      </w:r>
      <w:r>
        <w:rPr>
          <w:rFonts w:hint="eastAsia"/>
        </w:rPr>
        <w:t>处调查点。</w:t>
      </w:r>
    </w:p>
    <w:p w:rsidR="006175A6" w:rsidRDefault="009B4BA7">
      <w:pPr>
        <w:ind w:firstLine="480"/>
      </w:pPr>
      <w:r>
        <w:rPr>
          <w:rFonts w:hint="eastAsia"/>
        </w:rPr>
        <w:t>②调查内容：①对于水生植物、水生浮游动物、底栖动物而言，主要调查区系组成及特点，种类密度及生物量；②对于鱼类的调查，主要是水库运行后库区、下游河道及河口地区的鱼类区系组成及其分布特点、种群数量和渔获量等内容。</w:t>
      </w:r>
    </w:p>
    <w:p w:rsidR="006175A6" w:rsidRDefault="009B4BA7">
      <w:pPr>
        <w:ind w:firstLine="480"/>
      </w:pPr>
      <w:r>
        <w:rPr>
          <w:rFonts w:hint="eastAsia"/>
        </w:rPr>
        <w:t>③调查频率及时间：水库运行后连续三年，每年调查</w:t>
      </w:r>
      <w:r>
        <w:rPr>
          <w:rFonts w:hint="eastAsia"/>
        </w:rPr>
        <w:t>1</w:t>
      </w:r>
      <w:r>
        <w:rPr>
          <w:rFonts w:hint="eastAsia"/>
        </w:rPr>
        <w:t>次，共</w:t>
      </w:r>
      <w:r>
        <w:rPr>
          <w:rFonts w:hint="eastAsia"/>
        </w:rPr>
        <w:t>3</w:t>
      </w:r>
      <w:r>
        <w:rPr>
          <w:rFonts w:hint="eastAsia"/>
        </w:rPr>
        <w:t>次，共计</w:t>
      </w:r>
      <w:r>
        <w:rPr>
          <w:rFonts w:hint="eastAsia"/>
        </w:rPr>
        <w:lastRenderedPageBreak/>
        <w:t>12</w:t>
      </w:r>
      <w:r>
        <w:rPr>
          <w:rFonts w:hint="eastAsia"/>
        </w:rPr>
        <w:t>点•次。</w:t>
      </w:r>
    </w:p>
    <w:p w:rsidR="006175A6" w:rsidRDefault="009B4BA7">
      <w:pPr>
        <w:ind w:firstLine="480"/>
      </w:pPr>
      <w:r>
        <w:rPr>
          <w:rFonts w:hint="eastAsia"/>
        </w:rPr>
        <w:t>调查方法：采用野外调查、走访和资料收集等方法。</w:t>
      </w:r>
    </w:p>
    <w:p w:rsidR="006175A6" w:rsidRDefault="009B4BA7">
      <w:pPr>
        <w:pStyle w:val="2"/>
      </w:pPr>
      <w:bookmarkStart w:id="104" w:name="_Toc80170146"/>
      <w:r>
        <w:rPr>
          <w:rFonts w:hint="eastAsia"/>
        </w:rPr>
        <w:t>环保竣工验收</w:t>
      </w:r>
      <w:bookmarkEnd w:id="104"/>
    </w:p>
    <w:p w:rsidR="006175A6" w:rsidRDefault="009B4BA7">
      <w:pPr>
        <w:ind w:firstLine="480"/>
      </w:pPr>
      <w:r>
        <w:rPr>
          <w:rFonts w:hint="eastAsia"/>
        </w:rPr>
        <w:t>根据《建设项目环境保护管理条例》建设项目竣工环境保护验收取消行政许可，改为建设单位自主验收，进一步强化了建设单位的环境保护“三同时”主体责任。</w:t>
      </w:r>
    </w:p>
    <w:p w:rsidR="006175A6" w:rsidRDefault="009B4BA7">
      <w:pPr>
        <w:ind w:firstLine="480"/>
      </w:pPr>
      <w:r>
        <w:rPr>
          <w:rFonts w:hint="eastAsia"/>
        </w:rPr>
        <w:t>本项目竣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三同时”落实情况，编制竣工环境保护验收报告。</w:t>
      </w:r>
    </w:p>
    <w:p w:rsidR="006175A6" w:rsidRDefault="009B4BA7">
      <w:pPr>
        <w:ind w:firstLine="480"/>
      </w:pPr>
      <w:r>
        <w:rPr>
          <w:rFonts w:hint="eastAsia"/>
        </w:rPr>
        <w:t>验收表编制完成后，建设单位应组织成立验收工作组。验收工作组由建设单位、设计单位、施工单位、环境影响报告书（表）编制机构、验收报告编制机构等单位代表和专业技术专家组成。</w:t>
      </w:r>
    </w:p>
    <w:p w:rsidR="006175A6" w:rsidRDefault="009B4BA7">
      <w:pPr>
        <w:ind w:firstLine="480"/>
      </w:pPr>
      <w:r>
        <w:rPr>
          <w:rFonts w:hint="eastAsia"/>
        </w:rPr>
        <w:t>验收工作组应当严格依照国家有关法律法规、建设项目竣工环境保护验收技术规范、建设项目环境影响报告书（表）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验收工作组现场检查可以参照我部《关于印发建设项目竣工环境保护验收现场检查及审查要点的通知》（环办〔</w:t>
      </w:r>
      <w:r>
        <w:rPr>
          <w:rFonts w:hint="eastAsia"/>
        </w:rPr>
        <w:t>2015</w:t>
      </w:r>
      <w:r>
        <w:rPr>
          <w:rFonts w:hint="eastAsia"/>
        </w:rPr>
        <w:t>〕</w:t>
      </w:r>
      <w:r w:rsidR="000E4DE0">
        <w:rPr>
          <w:rFonts w:hint="eastAsia"/>
        </w:rPr>
        <w:t>113</w:t>
      </w:r>
      <w:r>
        <w:rPr>
          <w:rFonts w:hint="eastAsia"/>
        </w:rPr>
        <w:t>号）执行。本工程的“三同时”环境保护验</w:t>
      </w:r>
      <w:r w:rsidRPr="00846DC7">
        <w:rPr>
          <w:rFonts w:hint="eastAsia"/>
        </w:rPr>
        <w:t>收具体要求见</w:t>
      </w:r>
      <w:r w:rsidR="00846DC7" w:rsidRPr="00846DC7">
        <w:rPr>
          <w:rFonts w:hint="eastAsia"/>
        </w:rPr>
        <w:t>下表。</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9.4</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“三同时”环境保护验收一览表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72"/>
        <w:gridCol w:w="1768"/>
        <w:gridCol w:w="3576"/>
        <w:gridCol w:w="1525"/>
      </w:tblGrid>
      <w:tr w:rsidR="008375F7" w:rsidRPr="00450510" w:rsidTr="00450510">
        <w:trPr>
          <w:trHeight w:val="340"/>
          <w:jc w:val="center"/>
        </w:trPr>
        <w:tc>
          <w:tcPr>
            <w:tcW w:w="406" w:type="pct"/>
            <w:vAlign w:val="center"/>
            <w:hideMark/>
          </w:tcPr>
          <w:p w:rsidR="008375F7" w:rsidRPr="00450510" w:rsidRDefault="008375F7" w:rsidP="00846DC7">
            <w:pPr>
              <w:pStyle w:val="TableParagraph"/>
              <w:rPr>
                <w:rFonts w:ascii="Times New Roman" w:hAnsi="Times New Roman" w:cs="Times New Roman"/>
                <w:bCs/>
                <w:sz w:val="21"/>
                <w:szCs w:val="21"/>
              </w:rPr>
            </w:pPr>
            <w:r w:rsidRPr="00450510">
              <w:rPr>
                <w:rFonts w:ascii="Times New Roman" w:hAnsi="Times New Roman" w:cs="Times New Roman"/>
                <w:bCs/>
                <w:sz w:val="21"/>
                <w:szCs w:val="21"/>
              </w:rPr>
              <w:t>阶段</w:t>
            </w:r>
          </w:p>
        </w:tc>
        <w:tc>
          <w:tcPr>
            <w:tcW w:w="464" w:type="pct"/>
            <w:vAlign w:val="center"/>
            <w:hideMark/>
          </w:tcPr>
          <w:p w:rsidR="008375F7" w:rsidRPr="00450510" w:rsidRDefault="008375F7" w:rsidP="00846DC7">
            <w:pPr>
              <w:pStyle w:val="TableParagraph"/>
              <w:rPr>
                <w:rFonts w:ascii="Times New Roman" w:hAnsi="Times New Roman" w:cs="Times New Roman"/>
                <w:bCs/>
                <w:sz w:val="21"/>
                <w:szCs w:val="21"/>
              </w:rPr>
            </w:pPr>
            <w:r w:rsidRPr="00450510">
              <w:rPr>
                <w:rFonts w:ascii="Times New Roman" w:hAnsi="Times New Roman" w:cs="Times New Roman"/>
                <w:bCs/>
                <w:sz w:val="21"/>
                <w:szCs w:val="21"/>
              </w:rPr>
              <w:t>环境要素</w:t>
            </w:r>
          </w:p>
        </w:tc>
        <w:tc>
          <w:tcPr>
            <w:tcW w:w="1063" w:type="pct"/>
            <w:vAlign w:val="center"/>
            <w:hideMark/>
          </w:tcPr>
          <w:p w:rsidR="008375F7" w:rsidRPr="00450510" w:rsidRDefault="008375F7" w:rsidP="00846DC7">
            <w:pPr>
              <w:pStyle w:val="TableParagraph"/>
              <w:rPr>
                <w:rFonts w:ascii="Times New Roman" w:hAnsi="Times New Roman" w:cs="Times New Roman"/>
                <w:bCs/>
                <w:sz w:val="21"/>
                <w:szCs w:val="21"/>
              </w:rPr>
            </w:pPr>
            <w:r w:rsidRPr="00450510">
              <w:rPr>
                <w:rFonts w:ascii="Times New Roman" w:hAnsi="Times New Roman" w:cs="Times New Roman"/>
                <w:bCs/>
                <w:sz w:val="21"/>
                <w:szCs w:val="21"/>
              </w:rPr>
              <w:t>环境问题</w:t>
            </w:r>
          </w:p>
        </w:tc>
        <w:tc>
          <w:tcPr>
            <w:tcW w:w="2150" w:type="pct"/>
            <w:vAlign w:val="center"/>
            <w:hideMark/>
          </w:tcPr>
          <w:p w:rsidR="008375F7" w:rsidRPr="00450510" w:rsidRDefault="008375F7" w:rsidP="00846DC7">
            <w:pPr>
              <w:pStyle w:val="TableParagraph"/>
              <w:rPr>
                <w:rFonts w:ascii="Times New Roman" w:hAnsi="Times New Roman" w:cs="Times New Roman"/>
                <w:bCs/>
                <w:sz w:val="21"/>
                <w:szCs w:val="21"/>
              </w:rPr>
            </w:pPr>
            <w:r w:rsidRPr="00450510">
              <w:rPr>
                <w:rFonts w:ascii="Times New Roman" w:hAnsi="Times New Roman" w:cs="Times New Roman"/>
                <w:bCs/>
                <w:sz w:val="21"/>
                <w:szCs w:val="21"/>
              </w:rPr>
              <w:t>环保措施</w:t>
            </w:r>
          </w:p>
        </w:tc>
        <w:tc>
          <w:tcPr>
            <w:tcW w:w="917" w:type="pct"/>
            <w:vAlign w:val="center"/>
            <w:hideMark/>
          </w:tcPr>
          <w:p w:rsidR="008375F7" w:rsidRPr="00450510" w:rsidRDefault="008375F7" w:rsidP="00846DC7">
            <w:pPr>
              <w:pStyle w:val="TableParagraph"/>
              <w:rPr>
                <w:rFonts w:ascii="Times New Roman" w:hAnsi="Times New Roman" w:cs="Times New Roman"/>
                <w:bCs/>
                <w:sz w:val="21"/>
                <w:szCs w:val="21"/>
              </w:rPr>
            </w:pPr>
            <w:r w:rsidRPr="00450510">
              <w:rPr>
                <w:rFonts w:ascii="Times New Roman" w:hAnsi="Times New Roman" w:cs="Times New Roman"/>
                <w:bCs/>
                <w:sz w:val="21"/>
                <w:szCs w:val="21"/>
              </w:rPr>
              <w:t>验收标准</w:t>
            </w:r>
          </w:p>
        </w:tc>
      </w:tr>
      <w:tr w:rsidR="008375F7" w:rsidRPr="00450510" w:rsidTr="00450510">
        <w:trPr>
          <w:trHeight w:val="340"/>
          <w:jc w:val="center"/>
        </w:trPr>
        <w:tc>
          <w:tcPr>
            <w:tcW w:w="406" w:type="pct"/>
            <w:vMerge w:val="restar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基建工程</w:t>
            </w:r>
          </w:p>
        </w:tc>
        <w:tc>
          <w:tcPr>
            <w:tcW w:w="464" w:type="pct"/>
            <w:vMerge w:val="restar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大气</w:t>
            </w: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施工爆破废气、粉尘</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6"/>
                <w:sz w:val="21"/>
                <w:szCs w:val="21"/>
                <w:lang w:eastAsia="zh-CN"/>
              </w:rPr>
              <w:t>浅孔松动爆破或预裂爆破，洒水抑尘和湿式作业</w:t>
            </w:r>
          </w:p>
        </w:tc>
        <w:tc>
          <w:tcPr>
            <w:tcW w:w="917" w:type="pct"/>
            <w:vMerge w:val="restart"/>
            <w:vAlign w:val="center"/>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砂石加工粉尘</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喷雾洒水、破碎车间密闭</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混凝土拌合粉尘</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洒水降尘</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机械燃油废气</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无组织排放</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生活燃料废气</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无组织排放</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交通运输扬尘</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洒水降尘</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rPr>
            </w:pPr>
          </w:p>
        </w:tc>
        <w:tc>
          <w:tcPr>
            <w:tcW w:w="464" w:type="pct"/>
            <w:vMerge w:val="restar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地表水</w:t>
            </w: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石料加工废水</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沉淀池处理后循环利用</w:t>
            </w:r>
          </w:p>
        </w:tc>
        <w:tc>
          <w:tcPr>
            <w:tcW w:w="917" w:type="pct"/>
            <w:vMerge w:val="restart"/>
            <w:vAlign w:val="center"/>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3"/>
                <w:sz w:val="21"/>
                <w:szCs w:val="21"/>
                <w:lang w:eastAsia="zh-CN"/>
              </w:rPr>
              <w:t>满足设计要求，</w:t>
            </w:r>
            <w:r w:rsidRPr="00450510">
              <w:rPr>
                <w:rFonts w:ascii="Times New Roman" w:hAnsi="Times New Roman" w:cs="Times New Roman"/>
                <w:spacing w:val="-3"/>
                <w:sz w:val="21"/>
                <w:szCs w:val="21"/>
                <w:lang w:eastAsia="zh-CN"/>
              </w:rPr>
              <w:t xml:space="preserve"> </w:t>
            </w:r>
            <w:r w:rsidRPr="00450510">
              <w:rPr>
                <w:rFonts w:ascii="Times New Roman" w:hAnsi="Times New Roman" w:cs="Times New Roman"/>
                <w:spacing w:val="-3"/>
                <w:sz w:val="21"/>
                <w:szCs w:val="21"/>
                <w:lang w:eastAsia="zh-CN"/>
              </w:rPr>
              <w:t>能够正常投运，</w:t>
            </w:r>
            <w:r w:rsidRPr="00450510">
              <w:rPr>
                <w:rFonts w:ascii="Times New Roman" w:hAnsi="Times New Roman" w:cs="Times New Roman"/>
                <w:spacing w:val="-3"/>
                <w:sz w:val="21"/>
                <w:szCs w:val="21"/>
                <w:lang w:eastAsia="zh-CN"/>
              </w:rPr>
              <w:t xml:space="preserve"> </w:t>
            </w:r>
            <w:r w:rsidRPr="00450510">
              <w:rPr>
                <w:rFonts w:ascii="Times New Roman" w:hAnsi="Times New Roman" w:cs="Times New Roman"/>
                <w:sz w:val="21"/>
                <w:szCs w:val="21"/>
                <w:lang w:eastAsia="zh-CN"/>
              </w:rPr>
              <w:t>处理回用于本</w:t>
            </w:r>
            <w:r w:rsidRPr="00450510">
              <w:rPr>
                <w:rFonts w:ascii="Times New Roman" w:hAnsi="Times New Roman" w:cs="Times New Roman"/>
                <w:sz w:val="21"/>
                <w:szCs w:val="21"/>
                <w:lang w:eastAsia="zh-CN"/>
              </w:rPr>
              <w:t xml:space="preserve"> </w:t>
            </w:r>
            <w:r w:rsidRPr="00450510">
              <w:rPr>
                <w:rFonts w:ascii="Times New Roman" w:hAnsi="Times New Roman" w:cs="Times New Roman"/>
                <w:sz w:val="21"/>
                <w:szCs w:val="21"/>
                <w:lang w:eastAsia="zh-CN"/>
              </w:rPr>
              <w:t>系统，不排放</w:t>
            </w: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混凝土拌合废水</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中和池</w:t>
            </w:r>
            <w:r w:rsidRPr="00450510">
              <w:rPr>
                <w:rFonts w:ascii="Times New Roman" w:hAnsi="Times New Roman" w:cs="Times New Roman"/>
                <w:sz w:val="21"/>
                <w:szCs w:val="21"/>
                <w:lang w:eastAsia="zh-CN"/>
              </w:rPr>
              <w:t>+</w:t>
            </w:r>
            <w:r w:rsidRPr="00450510">
              <w:rPr>
                <w:rFonts w:ascii="Times New Roman" w:hAnsi="Times New Roman" w:cs="Times New Roman"/>
                <w:sz w:val="21"/>
                <w:szCs w:val="21"/>
                <w:lang w:eastAsia="zh-CN"/>
              </w:rPr>
              <w:t>沉淀池处理后循环利用</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基坑废水</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投加混凝剂和助凝剂处理后上清液循环利用</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施工机械冲洗废水</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隔油沉淀处理后循环利用或洒水</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生活污水</w:t>
            </w:r>
          </w:p>
        </w:tc>
        <w:tc>
          <w:tcPr>
            <w:tcW w:w="2150" w:type="pct"/>
            <w:vAlign w:val="center"/>
            <w:hideMark/>
          </w:tcPr>
          <w:p w:rsidR="008375F7" w:rsidRPr="00450510" w:rsidRDefault="008375F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地埋式一体化污水处理设施处理后用于农灌</w:t>
            </w:r>
          </w:p>
        </w:tc>
        <w:tc>
          <w:tcPr>
            <w:tcW w:w="917"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满足设计要求，</w:t>
            </w:r>
          </w:p>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能够正常投运</w:t>
            </w: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restar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地下水</w:t>
            </w: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水库渗漏防治</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加强帷幕灌浆处理</w:t>
            </w:r>
          </w:p>
        </w:tc>
        <w:tc>
          <w:tcPr>
            <w:tcW w:w="917" w:type="pct"/>
            <w:vMerge w:val="restart"/>
            <w:vAlign w:val="center"/>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满足设计要求，</w:t>
            </w:r>
            <w:r w:rsidRPr="00450510">
              <w:rPr>
                <w:rFonts w:ascii="Times New Roman" w:hAnsi="Times New Roman" w:cs="Times New Roman"/>
                <w:sz w:val="21"/>
                <w:szCs w:val="21"/>
                <w:lang w:eastAsia="zh-CN"/>
              </w:rPr>
              <w:t xml:space="preserve"> </w:t>
            </w:r>
            <w:r w:rsidRPr="00450510">
              <w:rPr>
                <w:rFonts w:ascii="Times New Roman" w:hAnsi="Times New Roman" w:cs="Times New Roman"/>
                <w:sz w:val="21"/>
                <w:szCs w:val="21"/>
                <w:lang w:eastAsia="zh-CN"/>
              </w:rPr>
              <w:t>能够正常投运</w:t>
            </w: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水库浸没影响</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对需迁移的</w:t>
            </w:r>
            <w:r w:rsidR="00450510">
              <w:rPr>
                <w:rFonts w:ascii="Times New Roman" w:hAnsi="Times New Roman" w:cs="Times New Roman" w:hint="eastAsia"/>
                <w:sz w:val="21"/>
                <w:szCs w:val="21"/>
                <w:lang w:eastAsia="zh-CN"/>
              </w:rPr>
              <w:t>耕地</w:t>
            </w:r>
            <w:r w:rsidRPr="00450510">
              <w:rPr>
                <w:rFonts w:ascii="Times New Roman" w:hAnsi="Times New Roman" w:cs="Times New Roman"/>
                <w:sz w:val="21"/>
                <w:szCs w:val="21"/>
                <w:lang w:eastAsia="zh-CN"/>
              </w:rPr>
              <w:t>进行一次性补偿处理</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库岸稳定保护措施</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4"/>
                <w:sz w:val="21"/>
                <w:szCs w:val="21"/>
                <w:lang w:eastAsia="zh-CN"/>
              </w:rPr>
              <w:t>水库蓄水前需对该范围进行加固处理，在</w:t>
            </w:r>
            <w:r w:rsidRPr="00450510">
              <w:rPr>
                <w:rFonts w:ascii="Times New Roman" w:hAnsi="Times New Roman" w:cs="Times New Roman"/>
                <w:spacing w:val="-9"/>
                <w:sz w:val="21"/>
                <w:szCs w:val="21"/>
                <w:lang w:eastAsia="zh-CN"/>
              </w:rPr>
              <w:t>正常蓄水位降至死水位、暴雨、边坡排水</w:t>
            </w:r>
            <w:r w:rsidRPr="00450510">
              <w:rPr>
                <w:rFonts w:ascii="Times New Roman" w:hAnsi="Times New Roman" w:cs="Times New Roman"/>
                <w:spacing w:val="-13"/>
                <w:sz w:val="21"/>
                <w:szCs w:val="21"/>
                <w:lang w:eastAsia="zh-CN"/>
              </w:rPr>
              <w:t>时效及地震发生的情况下，加强对该不稳</w:t>
            </w:r>
          </w:p>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地体的监测和库区库岸巡视</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导流隧洞施工保护</w:t>
            </w:r>
          </w:p>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措施</w:t>
            </w:r>
          </w:p>
        </w:tc>
        <w:tc>
          <w:tcPr>
            <w:tcW w:w="2150" w:type="pct"/>
            <w:vAlign w:val="center"/>
            <w:hideMark/>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全洞进行钢筋混凝土砼衬砌</w:t>
            </w:r>
          </w:p>
        </w:tc>
        <w:tc>
          <w:tcPr>
            <w:tcW w:w="917"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r>
      <w:tr w:rsidR="008375F7" w:rsidRPr="00450510" w:rsidTr="00450510">
        <w:trPr>
          <w:trHeight w:val="340"/>
          <w:jc w:val="center"/>
        </w:trPr>
        <w:tc>
          <w:tcPr>
            <w:tcW w:w="406"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375F7" w:rsidRPr="00450510" w:rsidRDefault="008375F7" w:rsidP="00846DC7">
            <w:pPr>
              <w:widowControl/>
              <w:autoSpaceDE/>
              <w:autoSpaceDN/>
              <w:spacing w:line="240" w:lineRule="auto"/>
              <w:ind w:firstLineChars="0" w:firstLine="0"/>
              <w:jc w:val="center"/>
              <w:rPr>
                <w:sz w:val="21"/>
                <w:lang w:eastAsia="zh-CN"/>
              </w:rPr>
            </w:pPr>
          </w:p>
        </w:tc>
        <w:tc>
          <w:tcPr>
            <w:tcW w:w="1063" w:type="pct"/>
            <w:vAlign w:val="center"/>
          </w:tcPr>
          <w:p w:rsidR="008375F7" w:rsidRPr="00450510" w:rsidRDefault="008375F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w:t>
            </w:r>
          </w:p>
        </w:tc>
        <w:tc>
          <w:tcPr>
            <w:tcW w:w="2150" w:type="pct"/>
            <w:vAlign w:val="center"/>
          </w:tcPr>
          <w:p w:rsidR="008375F7" w:rsidRPr="00450510" w:rsidRDefault="008375F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施工前开展地下水监测</w:t>
            </w:r>
          </w:p>
        </w:tc>
        <w:tc>
          <w:tcPr>
            <w:tcW w:w="917" w:type="pct"/>
            <w:vAlign w:val="center"/>
            <w:hideMark/>
          </w:tcPr>
          <w:p w:rsidR="008375F7" w:rsidRPr="00450510" w:rsidRDefault="008375F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满足本报告提出监测内容要求</w:t>
            </w:r>
          </w:p>
        </w:tc>
      </w:tr>
      <w:tr w:rsidR="00846DC7" w:rsidRPr="00450510" w:rsidTr="00450510">
        <w:trPr>
          <w:trHeight w:val="340"/>
          <w:jc w:val="center"/>
        </w:trPr>
        <w:tc>
          <w:tcPr>
            <w:tcW w:w="406"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p>
        </w:tc>
        <w:tc>
          <w:tcPr>
            <w:tcW w:w="464"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噪声</w:t>
            </w: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施工噪声</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1</w:t>
            </w:r>
            <w:r w:rsidRPr="00450510">
              <w:rPr>
                <w:rFonts w:ascii="Times New Roman" w:hAnsi="Times New Roman" w:cs="Times New Roman"/>
                <w:sz w:val="21"/>
                <w:szCs w:val="21"/>
                <w:lang w:eastAsia="zh-CN"/>
              </w:rPr>
              <w:t>、选择符合国家环境保护标准的施工机</w:t>
            </w:r>
            <w:r w:rsidRPr="00450510">
              <w:rPr>
                <w:rFonts w:ascii="Times New Roman" w:hAnsi="Times New Roman" w:cs="Times New Roman"/>
                <w:spacing w:val="-4"/>
                <w:sz w:val="21"/>
                <w:szCs w:val="21"/>
                <w:lang w:eastAsia="zh-CN"/>
              </w:rPr>
              <w:t>械；</w:t>
            </w:r>
            <w:r w:rsidRPr="00450510">
              <w:rPr>
                <w:rFonts w:ascii="Times New Roman" w:hAnsi="Times New Roman" w:cs="Times New Roman"/>
                <w:spacing w:val="-8"/>
                <w:sz w:val="21"/>
                <w:szCs w:val="21"/>
                <w:lang w:eastAsia="zh-CN"/>
              </w:rPr>
              <w:t>2</w:t>
            </w:r>
            <w:r w:rsidRPr="00450510">
              <w:rPr>
                <w:rFonts w:ascii="Times New Roman" w:hAnsi="Times New Roman" w:cs="Times New Roman"/>
                <w:spacing w:val="-5"/>
                <w:sz w:val="21"/>
                <w:szCs w:val="21"/>
                <w:lang w:eastAsia="zh-CN"/>
              </w:rPr>
              <w:t>、控制村庄附近车速；</w:t>
            </w:r>
            <w:r w:rsidRPr="00450510">
              <w:rPr>
                <w:rFonts w:ascii="Times New Roman" w:hAnsi="Times New Roman" w:cs="Times New Roman"/>
                <w:spacing w:val="-8"/>
                <w:sz w:val="21"/>
                <w:szCs w:val="21"/>
                <w:lang w:eastAsia="zh-CN"/>
              </w:rPr>
              <w:t>3</w:t>
            </w:r>
            <w:r w:rsidRPr="00450510">
              <w:rPr>
                <w:rFonts w:ascii="Times New Roman" w:hAnsi="Times New Roman" w:cs="Times New Roman"/>
                <w:spacing w:val="-4"/>
                <w:sz w:val="21"/>
                <w:szCs w:val="21"/>
                <w:lang w:eastAsia="zh-CN"/>
              </w:rPr>
              <w:t>、控制施工时间、避免夜间使用高噪声设备；</w:t>
            </w:r>
            <w:r w:rsidRPr="00450510">
              <w:rPr>
                <w:rFonts w:ascii="Times New Roman" w:hAnsi="Times New Roman" w:cs="Times New Roman"/>
                <w:spacing w:val="-4"/>
                <w:sz w:val="21"/>
                <w:szCs w:val="21"/>
                <w:lang w:eastAsia="zh-CN"/>
              </w:rPr>
              <w:t>4</w:t>
            </w:r>
            <w:r w:rsidRPr="00450510">
              <w:rPr>
                <w:rFonts w:ascii="Times New Roman" w:hAnsi="Times New Roman" w:cs="Times New Roman"/>
                <w:spacing w:val="-4"/>
                <w:sz w:val="21"/>
                <w:szCs w:val="21"/>
                <w:lang w:eastAsia="zh-CN"/>
              </w:rPr>
              <w:t>、声环境敏感点两端设置标志牌或警示标志；</w:t>
            </w:r>
            <w:r w:rsidRPr="00450510">
              <w:rPr>
                <w:rFonts w:ascii="Times New Roman" w:hAnsi="Times New Roman" w:cs="Times New Roman"/>
                <w:spacing w:val="-4"/>
                <w:sz w:val="21"/>
                <w:szCs w:val="21"/>
                <w:lang w:eastAsia="zh-CN"/>
              </w:rPr>
              <w:t>5</w:t>
            </w:r>
            <w:r w:rsidRPr="00450510">
              <w:rPr>
                <w:rFonts w:ascii="Times New Roman" w:hAnsi="Times New Roman" w:cs="Times New Roman" w:hint="eastAsia"/>
                <w:spacing w:val="-18"/>
                <w:sz w:val="21"/>
                <w:szCs w:val="21"/>
                <w:lang w:eastAsia="zh-CN"/>
              </w:rPr>
              <w:t>、</w:t>
            </w:r>
            <w:r w:rsidRPr="00450510">
              <w:rPr>
                <w:rFonts w:ascii="Times New Roman" w:hAnsi="Times New Roman" w:cs="Times New Roman"/>
                <w:sz w:val="21"/>
                <w:szCs w:val="21"/>
                <w:lang w:eastAsia="zh-CN"/>
              </w:rPr>
              <w:t>为高噪声作业施工人员配发噪声防护用具，并控制作业时场；</w:t>
            </w:r>
            <w:r w:rsidRPr="00450510">
              <w:rPr>
                <w:rFonts w:ascii="Times New Roman" w:hAnsi="Times New Roman" w:cs="Times New Roman"/>
                <w:sz w:val="21"/>
                <w:szCs w:val="21"/>
                <w:lang w:eastAsia="zh-CN"/>
              </w:rPr>
              <w:t>6</w:t>
            </w:r>
            <w:r w:rsidRPr="00450510">
              <w:rPr>
                <w:rFonts w:ascii="Times New Roman" w:hAnsi="Times New Roman" w:cs="Times New Roman"/>
                <w:sz w:val="21"/>
                <w:szCs w:val="21"/>
                <w:lang w:eastAsia="zh-CN"/>
              </w:rPr>
              <w:t>、施工人员住房的建造采用隔声作用较好的材料</w:t>
            </w:r>
          </w:p>
        </w:tc>
        <w:tc>
          <w:tcPr>
            <w:tcW w:w="917" w:type="pc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固体废物</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施工弃渣</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就近运往指定渣场集中堆放</w:t>
            </w:r>
          </w:p>
        </w:tc>
        <w:tc>
          <w:tcPr>
            <w:tcW w:w="917"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建筑垃圾</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运往指定建筑垃圾填埋场堆放</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生活垃圾</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定点收集，交当地环卫部门</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生态环境</w:t>
            </w: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生态避免措施</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1</w:t>
            </w:r>
            <w:r w:rsidRPr="00450510">
              <w:rPr>
                <w:rFonts w:ascii="Times New Roman" w:hAnsi="Times New Roman" w:cs="Times New Roman"/>
                <w:spacing w:val="-9"/>
                <w:sz w:val="21"/>
                <w:szCs w:val="21"/>
                <w:lang w:eastAsia="zh-CN"/>
              </w:rPr>
              <w:t>、各施工区内设置警示牌，标明施工区，</w:t>
            </w:r>
            <w:r w:rsidRPr="00450510">
              <w:rPr>
                <w:rFonts w:ascii="Times New Roman" w:hAnsi="Times New Roman" w:cs="Times New Roman"/>
                <w:spacing w:val="-9"/>
                <w:sz w:val="21"/>
                <w:szCs w:val="21"/>
                <w:lang w:eastAsia="zh-CN"/>
              </w:rPr>
              <w:t xml:space="preserve"> </w:t>
            </w:r>
            <w:r w:rsidRPr="00450510">
              <w:rPr>
                <w:rFonts w:ascii="Times New Roman" w:hAnsi="Times New Roman" w:cs="Times New Roman"/>
                <w:spacing w:val="-9"/>
                <w:sz w:val="21"/>
                <w:szCs w:val="21"/>
                <w:lang w:eastAsia="zh-CN"/>
              </w:rPr>
              <w:t>禁止到非施工区域活动；</w:t>
            </w:r>
            <w:r w:rsidRPr="00450510">
              <w:rPr>
                <w:rFonts w:ascii="Times New Roman" w:hAnsi="Times New Roman" w:cs="Times New Roman"/>
                <w:spacing w:val="-9"/>
                <w:sz w:val="21"/>
                <w:szCs w:val="21"/>
                <w:lang w:eastAsia="zh-CN"/>
              </w:rPr>
              <w:t>2</w:t>
            </w:r>
            <w:r w:rsidRPr="00450510">
              <w:rPr>
                <w:rFonts w:ascii="Times New Roman" w:hAnsi="Times New Roman" w:cs="Times New Roman"/>
                <w:spacing w:val="-9"/>
                <w:sz w:val="21"/>
                <w:szCs w:val="21"/>
                <w:lang w:eastAsia="zh-CN"/>
              </w:rPr>
              <w:t>、以公告、宣传册等形式，加强对施工人员的培训教</w:t>
            </w:r>
            <w:r w:rsidRPr="00450510">
              <w:rPr>
                <w:rFonts w:ascii="Times New Roman" w:hAnsi="Times New Roman" w:cs="Times New Roman"/>
                <w:spacing w:val="-9"/>
                <w:sz w:val="21"/>
                <w:szCs w:val="21"/>
                <w:lang w:eastAsia="zh-CN"/>
              </w:rPr>
              <w:t xml:space="preserve"> </w:t>
            </w:r>
            <w:r w:rsidRPr="00450510">
              <w:rPr>
                <w:rFonts w:ascii="Times New Roman" w:hAnsi="Times New Roman" w:cs="Times New Roman"/>
                <w:spacing w:val="-9"/>
                <w:sz w:val="21"/>
                <w:szCs w:val="21"/>
                <w:lang w:eastAsia="zh-CN"/>
              </w:rPr>
              <w:t>育，严禁施工人员破坏野生动、植物</w:t>
            </w:r>
          </w:p>
        </w:tc>
        <w:tc>
          <w:tcPr>
            <w:tcW w:w="917"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满足规范要求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生态减缓措施</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1</w:t>
            </w:r>
            <w:r w:rsidRPr="00450510">
              <w:rPr>
                <w:rFonts w:ascii="Times New Roman" w:hAnsi="Times New Roman" w:cs="Times New Roman"/>
                <w:sz w:val="21"/>
                <w:szCs w:val="21"/>
                <w:lang w:eastAsia="zh-CN"/>
              </w:rPr>
              <w:t>、开工前对施工临时设施要进行细致的</w:t>
            </w:r>
            <w:r w:rsidRPr="00450510">
              <w:rPr>
                <w:rFonts w:ascii="Times New Roman" w:hAnsi="Times New Roman" w:cs="Times New Roman"/>
                <w:sz w:val="21"/>
                <w:szCs w:val="21"/>
                <w:lang w:eastAsia="zh-CN"/>
              </w:rPr>
              <w:t xml:space="preserve"> </w:t>
            </w:r>
            <w:r w:rsidRPr="00450510">
              <w:rPr>
                <w:rFonts w:ascii="Times New Roman" w:hAnsi="Times New Roman" w:cs="Times New Roman"/>
                <w:sz w:val="21"/>
                <w:szCs w:val="21"/>
                <w:lang w:eastAsia="zh-CN"/>
              </w:rPr>
              <w:t>规划，减少对地表植被的破坏；</w:t>
            </w:r>
            <w:r w:rsidRPr="00450510">
              <w:rPr>
                <w:rFonts w:ascii="Times New Roman" w:hAnsi="Times New Roman" w:cs="Times New Roman"/>
                <w:sz w:val="21"/>
                <w:szCs w:val="21"/>
                <w:lang w:eastAsia="zh-CN"/>
              </w:rPr>
              <w:t>2</w:t>
            </w:r>
            <w:r w:rsidRPr="00450510">
              <w:rPr>
                <w:rFonts w:ascii="Times New Roman" w:hAnsi="Times New Roman" w:cs="Times New Roman"/>
                <w:sz w:val="21"/>
                <w:szCs w:val="21"/>
                <w:lang w:eastAsia="zh-CN"/>
              </w:rPr>
              <w:t>、按照</w:t>
            </w:r>
            <w:r w:rsidRPr="00450510">
              <w:rPr>
                <w:rFonts w:ascii="Times New Roman" w:hAnsi="Times New Roman" w:cs="Times New Roman"/>
                <w:sz w:val="21"/>
                <w:szCs w:val="21"/>
                <w:lang w:eastAsia="zh-CN"/>
              </w:rPr>
              <w:t xml:space="preserve"> </w:t>
            </w:r>
            <w:r w:rsidRPr="00450510">
              <w:rPr>
                <w:rFonts w:ascii="Times New Roman" w:hAnsi="Times New Roman" w:cs="Times New Roman"/>
                <w:spacing w:val="-5"/>
                <w:sz w:val="21"/>
                <w:szCs w:val="21"/>
                <w:lang w:eastAsia="zh-CN"/>
              </w:rPr>
              <w:t>设计文件确定征占土地范围，进行地表植</w:t>
            </w:r>
            <w:r w:rsidRPr="00450510">
              <w:rPr>
                <w:rFonts w:ascii="Times New Roman" w:hAnsi="Times New Roman" w:cs="Times New Roman"/>
                <w:spacing w:val="-5"/>
                <w:sz w:val="21"/>
                <w:szCs w:val="21"/>
                <w:lang w:eastAsia="zh-CN"/>
              </w:rPr>
              <w:t xml:space="preserve"> </w:t>
            </w:r>
            <w:r w:rsidRPr="00450510">
              <w:rPr>
                <w:rFonts w:ascii="Times New Roman" w:hAnsi="Times New Roman" w:cs="Times New Roman"/>
                <w:spacing w:val="-5"/>
                <w:sz w:val="21"/>
                <w:szCs w:val="21"/>
                <w:lang w:eastAsia="zh-CN"/>
              </w:rPr>
              <w:t>被的清理；</w:t>
            </w:r>
            <w:r w:rsidRPr="00450510">
              <w:rPr>
                <w:rFonts w:ascii="Times New Roman" w:hAnsi="Times New Roman" w:cs="Times New Roman"/>
                <w:spacing w:val="-5"/>
                <w:sz w:val="21"/>
                <w:szCs w:val="21"/>
                <w:lang w:eastAsia="zh-CN"/>
              </w:rPr>
              <w:t>3</w:t>
            </w:r>
            <w:r w:rsidRPr="00450510">
              <w:rPr>
                <w:rFonts w:ascii="Times New Roman" w:hAnsi="Times New Roman" w:cs="Times New Roman"/>
                <w:spacing w:val="-5"/>
                <w:sz w:val="21"/>
                <w:szCs w:val="21"/>
                <w:lang w:eastAsia="zh-CN"/>
              </w:rPr>
              <w:t>、严格控制堤防及穿堤建筑物开挖施工作业面；</w:t>
            </w:r>
            <w:r w:rsidRPr="00450510">
              <w:rPr>
                <w:rFonts w:ascii="Times New Roman" w:hAnsi="Times New Roman" w:cs="Times New Roman"/>
                <w:spacing w:val="-5"/>
                <w:sz w:val="21"/>
                <w:szCs w:val="21"/>
                <w:lang w:eastAsia="zh-CN"/>
              </w:rPr>
              <w:t>4</w:t>
            </w:r>
            <w:r w:rsidRPr="00450510">
              <w:rPr>
                <w:rFonts w:ascii="Times New Roman" w:hAnsi="Times New Roman" w:cs="Times New Roman"/>
                <w:spacing w:val="-5"/>
                <w:sz w:val="21"/>
                <w:szCs w:val="21"/>
                <w:lang w:eastAsia="zh-CN"/>
              </w:rPr>
              <w:t>、严格按设计规定</w:t>
            </w:r>
            <w:r w:rsidRPr="00450510">
              <w:rPr>
                <w:rFonts w:ascii="Times New Roman" w:hAnsi="Times New Roman" w:cs="Times New Roman"/>
                <w:spacing w:val="-11"/>
                <w:sz w:val="21"/>
                <w:szCs w:val="21"/>
                <w:lang w:eastAsia="zh-CN"/>
              </w:rPr>
              <w:t>的取土场进行取土作业；严格控制取土面</w:t>
            </w:r>
            <w:r w:rsidRPr="00450510">
              <w:rPr>
                <w:rFonts w:ascii="Times New Roman" w:hAnsi="Times New Roman" w:cs="Times New Roman"/>
                <w:spacing w:val="-11"/>
                <w:sz w:val="21"/>
                <w:szCs w:val="21"/>
                <w:lang w:eastAsia="zh-CN"/>
              </w:rPr>
              <w:t xml:space="preserve"> </w:t>
            </w:r>
            <w:r w:rsidRPr="00450510">
              <w:rPr>
                <w:rFonts w:ascii="Times New Roman" w:hAnsi="Times New Roman" w:cs="Times New Roman"/>
                <w:spacing w:val="-14"/>
                <w:sz w:val="21"/>
                <w:szCs w:val="21"/>
                <w:lang w:eastAsia="zh-CN"/>
              </w:rPr>
              <w:t>积和取土深度；</w:t>
            </w:r>
            <w:r w:rsidRPr="00450510">
              <w:rPr>
                <w:rFonts w:ascii="Times New Roman" w:hAnsi="Times New Roman" w:cs="Times New Roman"/>
                <w:spacing w:val="-28"/>
                <w:sz w:val="21"/>
                <w:szCs w:val="21"/>
                <w:lang w:eastAsia="zh-CN"/>
              </w:rPr>
              <w:t>5</w:t>
            </w:r>
            <w:r w:rsidRPr="00450510">
              <w:rPr>
                <w:rFonts w:ascii="Times New Roman" w:hAnsi="Times New Roman" w:cs="Times New Roman"/>
                <w:spacing w:val="-11"/>
                <w:sz w:val="21"/>
                <w:szCs w:val="21"/>
                <w:lang w:eastAsia="zh-CN"/>
              </w:rPr>
              <w:t>、加强防火知识教育；</w:t>
            </w:r>
            <w:r w:rsidRPr="00450510">
              <w:rPr>
                <w:rFonts w:ascii="Times New Roman" w:hAnsi="Times New Roman" w:cs="Times New Roman"/>
                <w:spacing w:val="-29"/>
                <w:sz w:val="21"/>
                <w:szCs w:val="21"/>
                <w:lang w:eastAsia="zh-CN"/>
              </w:rPr>
              <w:t>6</w:t>
            </w:r>
            <w:r w:rsidRPr="00450510">
              <w:rPr>
                <w:rFonts w:ascii="Times New Roman" w:hAnsi="Times New Roman" w:cs="Times New Roman"/>
                <w:sz w:val="21"/>
                <w:szCs w:val="21"/>
                <w:lang w:eastAsia="zh-CN"/>
              </w:rPr>
              <w:t>、完工后施工临时占地植被恢复措施；</w:t>
            </w:r>
            <w:r w:rsidRPr="00450510">
              <w:rPr>
                <w:rFonts w:ascii="Times New Roman" w:hAnsi="Times New Roman" w:cs="Times New Roman"/>
                <w:sz w:val="21"/>
                <w:szCs w:val="21"/>
                <w:lang w:eastAsia="zh-CN"/>
              </w:rPr>
              <w:t>7</w:t>
            </w:r>
            <w:r w:rsidRPr="00450510">
              <w:rPr>
                <w:rFonts w:ascii="Times New Roman" w:hAnsi="Times New Roman" w:cs="Times New Roman"/>
                <w:sz w:val="21"/>
                <w:szCs w:val="21"/>
                <w:lang w:eastAsia="zh-CN"/>
              </w:rPr>
              <w:t>、</w:t>
            </w:r>
            <w:r w:rsidRPr="00450510">
              <w:rPr>
                <w:rFonts w:ascii="Times New Roman" w:hAnsi="Times New Roman" w:cs="Times New Roman"/>
                <w:spacing w:val="-4"/>
                <w:sz w:val="21"/>
                <w:szCs w:val="21"/>
                <w:lang w:eastAsia="zh-CN"/>
              </w:rPr>
              <w:t>施工时间尽量避开鱼类繁殖和洄游期；严谨施工及生活污水、固体废弃物入河</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水土流失</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工程设计和环评确认的水土保持措施和设施落实到位，绿化植被恢复；施工临时占地恢复情况无明显新增水土流失</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渣场</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pacing w:val="-7"/>
                <w:sz w:val="21"/>
                <w:szCs w:val="21"/>
                <w:lang w:eastAsia="zh-CN"/>
              </w:rPr>
              <w:t>设置挡渣墙、截排水沟、沉砂池，工程结束回填压实后用于盘水产业园区后期开发建设工业用地，无需对渣场实施覆土、</w:t>
            </w:r>
            <w:r w:rsidRPr="00450510">
              <w:rPr>
                <w:rFonts w:ascii="Times New Roman" w:hAnsi="Times New Roman" w:cs="Times New Roman"/>
                <w:sz w:val="21"/>
                <w:szCs w:val="21"/>
                <w:lang w:eastAsia="zh-CN"/>
              </w:rPr>
              <w:t>绿化等最终封场措施</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供水管道</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将剥离的表土编织袋填装用作管沟开挖</w:t>
            </w:r>
            <w:r w:rsidRPr="00450510">
              <w:rPr>
                <w:rFonts w:ascii="Times New Roman" w:hAnsi="Times New Roman" w:cs="Times New Roman"/>
                <w:spacing w:val="-8"/>
                <w:sz w:val="21"/>
                <w:szCs w:val="21"/>
                <w:lang w:eastAsia="zh-CN"/>
              </w:rPr>
              <w:t>土石方的临时挡墙，最后作为后期绿化覆</w:t>
            </w:r>
            <w:r w:rsidRPr="00450510">
              <w:rPr>
                <w:rFonts w:ascii="Times New Roman" w:hAnsi="Times New Roman" w:cs="Times New Roman"/>
                <w:spacing w:val="-10"/>
                <w:sz w:val="21"/>
                <w:szCs w:val="21"/>
                <w:lang w:eastAsia="zh-CN"/>
              </w:rPr>
              <w:t>土使用。对工程完工后土地整治和覆土完</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后，对其进行播撒草籽防护。</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施工生产生活区</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9"/>
                <w:sz w:val="21"/>
                <w:szCs w:val="21"/>
                <w:lang w:eastAsia="zh-CN"/>
              </w:rPr>
              <w:t>工程完工后，对该区进行土地整治，清除</w:t>
            </w:r>
            <w:r w:rsidRPr="00450510">
              <w:rPr>
                <w:rFonts w:ascii="Times New Roman" w:hAnsi="Times New Roman" w:cs="Times New Roman"/>
                <w:spacing w:val="-10"/>
                <w:sz w:val="21"/>
                <w:szCs w:val="21"/>
                <w:lang w:eastAsia="zh-CN"/>
              </w:rPr>
              <w:t>区内弃渣、弃石、地面硬化层清除，整地</w:t>
            </w:r>
            <w:r w:rsidRPr="00450510">
              <w:rPr>
                <w:rFonts w:ascii="Times New Roman" w:hAnsi="Times New Roman" w:cs="Times New Roman"/>
                <w:spacing w:val="-6"/>
                <w:sz w:val="21"/>
                <w:szCs w:val="21"/>
                <w:lang w:eastAsia="zh-CN"/>
              </w:rPr>
              <w:t>后将剥离表土平铺于场地，土地整治和覆</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土完后，对其进行播撒草籽防护</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料场</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8"/>
                <w:sz w:val="21"/>
                <w:szCs w:val="21"/>
                <w:lang w:eastAsia="zh-CN"/>
              </w:rPr>
              <w:t>料场取料结束后，利用推土机将料场后期取料过程中开挖的无用层土料平铺于取</w:t>
            </w:r>
            <w:r w:rsidRPr="00450510">
              <w:rPr>
                <w:rFonts w:ascii="Times New Roman" w:hAnsi="Times New Roman" w:cs="Times New Roman"/>
                <w:spacing w:val="-10"/>
                <w:sz w:val="21"/>
                <w:szCs w:val="21"/>
                <w:lang w:eastAsia="zh-CN"/>
              </w:rPr>
              <w:t>料平台上，然后覆土，设计恢复植被覆土</w:t>
            </w:r>
            <w:r w:rsidRPr="00450510">
              <w:rPr>
                <w:rFonts w:ascii="Times New Roman" w:hAnsi="Times New Roman" w:cs="Times New Roman"/>
                <w:spacing w:val="-35"/>
                <w:sz w:val="21"/>
                <w:szCs w:val="21"/>
                <w:lang w:eastAsia="zh-CN"/>
              </w:rPr>
              <w:t>厚</w:t>
            </w:r>
            <w:r w:rsidRPr="00450510">
              <w:rPr>
                <w:rFonts w:ascii="Times New Roman" w:hAnsi="Times New Roman" w:cs="Times New Roman"/>
                <w:spacing w:val="-35"/>
                <w:sz w:val="21"/>
                <w:szCs w:val="21"/>
                <w:lang w:eastAsia="zh-CN"/>
              </w:rPr>
              <w:t xml:space="preserve"> </w:t>
            </w:r>
            <w:r w:rsidRPr="00450510">
              <w:rPr>
                <w:rFonts w:ascii="Times New Roman" w:hAnsi="Times New Roman" w:cs="Times New Roman"/>
                <w:sz w:val="21"/>
                <w:szCs w:val="21"/>
                <w:lang w:eastAsia="zh-CN"/>
              </w:rPr>
              <w:t>0.3m</w:t>
            </w:r>
            <w:r w:rsidRPr="00450510">
              <w:rPr>
                <w:rFonts w:ascii="Times New Roman" w:hAnsi="Times New Roman" w:cs="Times New Roman"/>
                <w:sz w:val="21"/>
                <w:szCs w:val="21"/>
                <w:lang w:eastAsia="zh-CN"/>
              </w:rPr>
              <w:t>，并对其进行全面整地。场取料</w:t>
            </w:r>
            <w:r w:rsidRPr="00450510">
              <w:rPr>
                <w:rFonts w:ascii="Times New Roman" w:hAnsi="Times New Roman" w:cs="Times New Roman"/>
                <w:spacing w:val="-4"/>
                <w:sz w:val="21"/>
                <w:szCs w:val="21"/>
                <w:lang w:eastAsia="zh-CN"/>
              </w:rPr>
              <w:t>平台经土地整治后全部覆土播撒草籽。取</w:t>
            </w:r>
            <w:r w:rsidRPr="00450510">
              <w:rPr>
                <w:rFonts w:ascii="Times New Roman" w:hAnsi="Times New Roman" w:cs="Times New Roman"/>
                <w:spacing w:val="-9"/>
                <w:sz w:val="21"/>
                <w:szCs w:val="21"/>
                <w:lang w:eastAsia="zh-CN"/>
              </w:rPr>
              <w:t>料结束后，在料场开采边坡坡顶、坡脚各</w:t>
            </w:r>
          </w:p>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栽植一排攀援植物</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坝后减水段</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水库下泄生态基流不得小于</w:t>
            </w:r>
            <w:r w:rsidRPr="00450510">
              <w:rPr>
                <w:rFonts w:ascii="Times New Roman" w:hAnsi="Times New Roman" w:cs="Times New Roman"/>
                <w:sz w:val="21"/>
                <w:szCs w:val="21"/>
                <w:lang w:eastAsia="zh-CN"/>
              </w:rPr>
              <w:t>0.</w:t>
            </w:r>
            <w:r w:rsidRPr="00450510">
              <w:rPr>
                <w:rFonts w:ascii="Times New Roman" w:hAnsi="Times New Roman" w:cs="Times New Roman" w:hint="eastAsia"/>
                <w:sz w:val="21"/>
                <w:szCs w:val="21"/>
                <w:lang w:eastAsia="zh-CN"/>
              </w:rPr>
              <w:t>312</w:t>
            </w:r>
            <w:r w:rsidRPr="00450510">
              <w:rPr>
                <w:rFonts w:ascii="Times New Roman" w:hAnsi="Times New Roman" w:cs="Times New Roman"/>
                <w:sz w:val="21"/>
                <w:szCs w:val="21"/>
                <w:lang w:eastAsia="zh-CN"/>
              </w:rPr>
              <w:t>m</w:t>
            </w:r>
            <w:r w:rsidRPr="00450510">
              <w:rPr>
                <w:rFonts w:ascii="Times New Roman" w:hAnsi="Times New Roman" w:cs="Times New Roman"/>
                <w:position w:val="7"/>
                <w:sz w:val="21"/>
                <w:szCs w:val="21"/>
                <w:lang w:eastAsia="zh-CN"/>
              </w:rPr>
              <w:t>3</w:t>
            </w:r>
            <w:r w:rsidRPr="00450510">
              <w:rPr>
                <w:rFonts w:ascii="Times New Roman" w:hAnsi="Times New Roman" w:cs="Times New Roman"/>
                <w:sz w:val="21"/>
                <w:szCs w:val="21"/>
                <w:lang w:eastAsia="zh-CN"/>
              </w:rPr>
              <w:t>/s</w:t>
            </w:r>
            <w:r w:rsidRPr="00450510">
              <w:rPr>
                <w:rFonts w:ascii="Times New Roman" w:hAnsi="Times New Roman" w:cs="Times New Roman"/>
                <w:sz w:val="21"/>
                <w:szCs w:val="21"/>
                <w:lang w:eastAsia="zh-CN"/>
              </w:rPr>
              <w:t>，</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排放口安装流量计，并持续放水</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库底清理</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15"/>
                <w:sz w:val="21"/>
                <w:szCs w:val="21"/>
                <w:lang w:eastAsia="zh-CN"/>
              </w:rPr>
              <w:t>建</w:t>
            </w:r>
            <w:r w:rsidRPr="00450510">
              <w:rPr>
                <w:rFonts w:ascii="Times New Roman" w:hAnsi="Times New Roman" w:cs="Times New Roman"/>
                <w:sz w:val="21"/>
                <w:szCs w:val="21"/>
                <w:lang w:eastAsia="zh-CN"/>
              </w:rPr>
              <w:t>（构</w:t>
            </w:r>
            <w:r w:rsidRPr="00450510">
              <w:rPr>
                <w:rFonts w:ascii="Times New Roman" w:hAnsi="Times New Roman" w:cs="Times New Roman"/>
                <w:spacing w:val="-17"/>
                <w:sz w:val="21"/>
                <w:szCs w:val="21"/>
                <w:lang w:eastAsia="zh-CN"/>
              </w:rPr>
              <w:t>）</w:t>
            </w:r>
            <w:r w:rsidRPr="00450510">
              <w:rPr>
                <w:rFonts w:ascii="Times New Roman" w:hAnsi="Times New Roman" w:cs="Times New Roman"/>
                <w:spacing w:val="-4"/>
                <w:sz w:val="21"/>
                <w:szCs w:val="21"/>
                <w:lang w:eastAsia="zh-CN"/>
              </w:rPr>
              <w:t>筑物拆除与清理、卫生清理、林木清理</w:t>
            </w:r>
          </w:p>
        </w:tc>
        <w:tc>
          <w:tcPr>
            <w:tcW w:w="917"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移民安置</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1</w:t>
            </w:r>
            <w:r w:rsidRPr="00450510">
              <w:rPr>
                <w:rFonts w:ascii="Times New Roman" w:hAnsi="Times New Roman" w:cs="Times New Roman"/>
                <w:sz w:val="21"/>
                <w:szCs w:val="21"/>
                <w:lang w:eastAsia="zh-CN"/>
              </w:rPr>
              <w:t>、建立移民安置点；</w:t>
            </w:r>
            <w:r w:rsidRPr="00450510">
              <w:rPr>
                <w:rFonts w:ascii="Times New Roman" w:hAnsi="Times New Roman" w:cs="Times New Roman"/>
                <w:sz w:val="21"/>
                <w:szCs w:val="21"/>
                <w:lang w:eastAsia="zh-CN"/>
              </w:rPr>
              <w:t>2</w:t>
            </w:r>
            <w:r w:rsidRPr="00450510">
              <w:rPr>
                <w:rFonts w:ascii="Times New Roman" w:hAnsi="Times New Roman" w:cs="Times New Roman"/>
                <w:sz w:val="21"/>
                <w:szCs w:val="21"/>
                <w:lang w:eastAsia="zh-CN"/>
              </w:rPr>
              <w:t>、加大宣传力度，</w:t>
            </w:r>
            <w:r w:rsidRPr="00450510">
              <w:rPr>
                <w:rFonts w:ascii="Times New Roman" w:hAnsi="Times New Roman" w:cs="Times New Roman"/>
                <w:sz w:val="21"/>
                <w:szCs w:val="21"/>
                <w:lang w:eastAsia="zh-CN"/>
              </w:rPr>
              <w:t xml:space="preserve"> </w:t>
            </w:r>
            <w:r w:rsidRPr="00450510">
              <w:rPr>
                <w:rFonts w:ascii="Times New Roman" w:hAnsi="Times New Roman" w:cs="Times New Roman"/>
                <w:sz w:val="21"/>
                <w:szCs w:val="21"/>
                <w:lang w:eastAsia="zh-CN"/>
              </w:rPr>
              <w:t>增强安置区内居民的环境保护意识；</w:t>
            </w:r>
            <w:r w:rsidRPr="00450510">
              <w:rPr>
                <w:rFonts w:ascii="Times New Roman" w:hAnsi="Times New Roman" w:cs="Times New Roman"/>
                <w:sz w:val="21"/>
                <w:szCs w:val="21"/>
                <w:lang w:eastAsia="zh-CN"/>
              </w:rPr>
              <w:t>3</w:t>
            </w:r>
            <w:r w:rsidRPr="00450510">
              <w:rPr>
                <w:rFonts w:ascii="Times New Roman" w:hAnsi="Times New Roman" w:cs="Times New Roman"/>
                <w:sz w:val="21"/>
                <w:szCs w:val="21"/>
                <w:lang w:eastAsia="zh-CN"/>
              </w:rPr>
              <w:t>、</w:t>
            </w:r>
            <w:r w:rsidRPr="00450510">
              <w:rPr>
                <w:rFonts w:ascii="Times New Roman" w:hAnsi="Times New Roman" w:cs="Times New Roman"/>
                <w:spacing w:val="-14"/>
                <w:sz w:val="21"/>
                <w:szCs w:val="21"/>
                <w:lang w:eastAsia="zh-CN"/>
              </w:rPr>
              <w:t>采取定期体检、防治结合，开展灭鼠工作、</w:t>
            </w:r>
            <w:r w:rsidRPr="00450510">
              <w:rPr>
                <w:rFonts w:ascii="Times New Roman" w:hAnsi="Times New Roman" w:cs="Times New Roman"/>
                <w:spacing w:val="-14"/>
                <w:sz w:val="21"/>
                <w:szCs w:val="21"/>
                <w:lang w:eastAsia="zh-CN"/>
              </w:rPr>
              <w:t xml:space="preserve"> </w:t>
            </w:r>
            <w:r w:rsidRPr="00450510">
              <w:rPr>
                <w:rFonts w:ascii="Times New Roman" w:hAnsi="Times New Roman" w:cs="Times New Roman"/>
                <w:spacing w:val="-14"/>
                <w:sz w:val="21"/>
                <w:szCs w:val="21"/>
                <w:lang w:eastAsia="zh-CN"/>
              </w:rPr>
              <w:t>按期检疫，加强卫生管理等措施</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蓄水阶段</w:t>
            </w: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大气</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机械燃油废气</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无组织排放</w:t>
            </w:r>
          </w:p>
        </w:tc>
        <w:tc>
          <w:tcPr>
            <w:tcW w:w="917" w:type="pct"/>
            <w:vMerge w:val="restar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生活燃料废气</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无组织排放</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交通运输扬尘</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洒水降尘</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地表水</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生活污水</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地埋式一体化污水处理设施处理后用于农灌</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满足设计要求，</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能够正常投运</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噪声</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施工噪声</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pacing w:val="-6"/>
                <w:sz w:val="21"/>
                <w:szCs w:val="21"/>
                <w:lang w:eastAsia="zh-CN"/>
              </w:rPr>
              <w:t>设置标志牌或警示标志；施工人员住房的建造采用隔声作用较好的材料</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固废</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生活垃圾</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定点收集，交当地环卫部门</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功能要求</w:t>
            </w:r>
          </w:p>
        </w:tc>
      </w:tr>
      <w:tr w:rsidR="00846DC7" w:rsidRPr="00450510" w:rsidTr="00450510">
        <w:trPr>
          <w:trHeight w:val="340"/>
          <w:jc w:val="center"/>
        </w:trPr>
        <w:tc>
          <w:tcPr>
            <w:tcW w:w="406"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运行阶段</w:t>
            </w: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水环境</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营运期废水</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管理站房生活污水经</w:t>
            </w:r>
            <w:r w:rsidR="00450510">
              <w:rPr>
                <w:rFonts w:ascii="Times New Roman" w:hAnsi="Times New Roman" w:cs="Times New Roman" w:hint="eastAsia"/>
                <w:sz w:val="21"/>
                <w:szCs w:val="21"/>
                <w:lang w:eastAsia="zh-CN"/>
              </w:rPr>
              <w:t>三格</w:t>
            </w:r>
            <w:r w:rsidRPr="00450510">
              <w:rPr>
                <w:rFonts w:ascii="Times New Roman" w:hAnsi="Times New Roman" w:cs="Times New Roman"/>
                <w:sz w:val="21"/>
                <w:szCs w:val="21"/>
                <w:lang w:eastAsia="zh-CN"/>
              </w:rPr>
              <w:t>化粪池处理后</w:t>
            </w:r>
            <w:r w:rsidR="00450510">
              <w:rPr>
                <w:rFonts w:ascii="Times New Roman" w:hAnsi="Times New Roman" w:cs="Times New Roman" w:hint="eastAsia"/>
                <w:sz w:val="21"/>
                <w:szCs w:val="21"/>
                <w:lang w:eastAsia="zh-CN"/>
              </w:rPr>
              <w:t>用作林地灌溉</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噪声</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噪声</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隔声降噪</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固体废物</w:t>
            </w: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营运期生活垃圾</w:t>
            </w:r>
          </w:p>
        </w:tc>
        <w:tc>
          <w:tcPr>
            <w:tcW w:w="2150" w:type="pc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统一收集后交由当地环卫部门处置</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满足区域环境功能要求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生态</w:t>
            </w: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施工迹地植被恢复</w:t>
            </w:r>
          </w:p>
        </w:tc>
        <w:tc>
          <w:tcPr>
            <w:tcW w:w="2150" w:type="pc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各施工迹地清理后开展植被恢复或复垦</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满足水保方案</w:t>
            </w:r>
          </w:p>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和本报告植被恢复要求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生态基流在线监测</w:t>
            </w:r>
          </w:p>
        </w:tc>
        <w:tc>
          <w:tcPr>
            <w:tcW w:w="2150"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大坝生态放水管内设置下泄流量监控设施</w:t>
            </w:r>
          </w:p>
        </w:tc>
        <w:tc>
          <w:tcPr>
            <w:tcW w:w="917"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满足规范要求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其他</w:t>
            </w: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风险防范措施及应急预案</w:t>
            </w:r>
          </w:p>
        </w:tc>
        <w:tc>
          <w:tcPr>
            <w:tcW w:w="2150" w:type="pct"/>
            <w:vAlign w:val="center"/>
          </w:tcPr>
          <w:p w:rsidR="00846DC7" w:rsidRPr="00450510" w:rsidRDefault="00846DC7" w:rsidP="00846DC7">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制定风险防范措施及应急预案</w:t>
            </w:r>
          </w:p>
        </w:tc>
        <w:tc>
          <w:tcPr>
            <w:tcW w:w="917" w:type="pct"/>
            <w:vMerge w:val="restar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满足规范要求</w:t>
            </w: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rPr>
            </w:pPr>
          </w:p>
        </w:tc>
        <w:tc>
          <w:tcPr>
            <w:tcW w:w="1063" w:type="pct"/>
            <w:vAlign w:val="center"/>
            <w:hideMark/>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环保档案</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环保档案记录完整；无环保投诉或环保投诉得到妥善解决；环保投资单独台账。</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r w:rsidR="00846DC7" w:rsidRPr="00450510" w:rsidTr="00450510">
        <w:trPr>
          <w:trHeight w:val="340"/>
          <w:jc w:val="center"/>
        </w:trPr>
        <w:tc>
          <w:tcPr>
            <w:tcW w:w="406"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464"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c>
          <w:tcPr>
            <w:tcW w:w="1063" w:type="pct"/>
            <w:vAlign w:val="center"/>
          </w:tcPr>
          <w:p w:rsidR="00846DC7" w:rsidRPr="00450510" w:rsidRDefault="00846DC7" w:rsidP="00846DC7">
            <w:pPr>
              <w:pStyle w:val="TableParagraph"/>
              <w:rPr>
                <w:rFonts w:ascii="Times New Roman" w:hAnsi="Times New Roman" w:cs="Times New Roman"/>
                <w:sz w:val="21"/>
                <w:szCs w:val="21"/>
              </w:rPr>
            </w:pPr>
            <w:r w:rsidRPr="00450510">
              <w:rPr>
                <w:rFonts w:ascii="Times New Roman" w:hAnsi="Times New Roman" w:cs="Times New Roman"/>
                <w:sz w:val="21"/>
                <w:szCs w:val="21"/>
              </w:rPr>
              <w:t>饮用水源保护</w:t>
            </w:r>
          </w:p>
        </w:tc>
        <w:tc>
          <w:tcPr>
            <w:tcW w:w="2150" w:type="pct"/>
            <w:vAlign w:val="center"/>
            <w:hideMark/>
          </w:tcPr>
          <w:p w:rsidR="00846DC7" w:rsidRPr="00450510" w:rsidRDefault="00846DC7" w:rsidP="00450510">
            <w:pPr>
              <w:pStyle w:val="TableParagraph"/>
              <w:rPr>
                <w:rFonts w:ascii="Times New Roman" w:hAnsi="Times New Roman" w:cs="Times New Roman"/>
                <w:sz w:val="21"/>
                <w:szCs w:val="21"/>
                <w:lang w:eastAsia="zh-CN"/>
              </w:rPr>
            </w:pPr>
            <w:r w:rsidRPr="00450510">
              <w:rPr>
                <w:rFonts w:ascii="Times New Roman" w:hAnsi="Times New Roman" w:cs="Times New Roman"/>
                <w:sz w:val="21"/>
                <w:szCs w:val="21"/>
                <w:lang w:eastAsia="zh-CN"/>
              </w:rPr>
              <w:t>严格按照《中华人民共和国水污染防治</w:t>
            </w:r>
            <w:r w:rsidRPr="00450510">
              <w:rPr>
                <w:rFonts w:ascii="Times New Roman" w:hAnsi="Times New Roman" w:cs="Times New Roman"/>
                <w:spacing w:val="-9"/>
                <w:sz w:val="21"/>
                <w:szCs w:val="21"/>
                <w:lang w:eastAsia="zh-CN"/>
              </w:rPr>
              <w:t>法》、《饮用水水源保护区污染防治管理</w:t>
            </w:r>
            <w:r w:rsidRPr="00450510">
              <w:rPr>
                <w:rFonts w:ascii="Times New Roman" w:hAnsi="Times New Roman" w:cs="Times New Roman"/>
                <w:spacing w:val="-21"/>
                <w:sz w:val="21"/>
                <w:szCs w:val="21"/>
                <w:lang w:eastAsia="zh-CN"/>
              </w:rPr>
              <w:t>规定》</w:t>
            </w:r>
            <w:r w:rsidRPr="00450510">
              <w:rPr>
                <w:rFonts w:ascii="Times New Roman" w:hAnsi="Times New Roman" w:cs="Times New Roman"/>
                <w:sz w:val="21"/>
                <w:szCs w:val="21"/>
                <w:lang w:eastAsia="zh-CN"/>
              </w:rPr>
              <w:t>中规定执行</w:t>
            </w:r>
          </w:p>
        </w:tc>
        <w:tc>
          <w:tcPr>
            <w:tcW w:w="917" w:type="pct"/>
            <w:vMerge/>
            <w:vAlign w:val="center"/>
            <w:hideMark/>
          </w:tcPr>
          <w:p w:rsidR="00846DC7" w:rsidRPr="00450510" w:rsidRDefault="00846DC7" w:rsidP="00846DC7">
            <w:pPr>
              <w:widowControl/>
              <w:autoSpaceDE/>
              <w:autoSpaceDN/>
              <w:spacing w:line="240" w:lineRule="auto"/>
              <w:ind w:firstLineChars="0" w:firstLine="0"/>
              <w:jc w:val="center"/>
              <w:rPr>
                <w:sz w:val="21"/>
                <w:lang w:eastAsia="zh-CN"/>
              </w:rPr>
            </w:pPr>
          </w:p>
        </w:tc>
      </w:tr>
    </w:tbl>
    <w:p w:rsidR="00846DC7" w:rsidRDefault="00846DC7" w:rsidP="00846DC7">
      <w:pPr>
        <w:pStyle w:val="a5"/>
        <w:ind w:firstLine="400"/>
        <w:rPr>
          <w:sz w:val="20"/>
          <w:szCs w:val="20"/>
        </w:rPr>
      </w:pPr>
      <w:r>
        <w:rPr>
          <w:rFonts w:hint="eastAsia"/>
          <w:sz w:val="20"/>
          <w:szCs w:val="20"/>
        </w:rPr>
        <w:t xml:space="preserve"> </w:t>
      </w:r>
    </w:p>
    <w:p w:rsidR="00846DC7" w:rsidRDefault="00846DC7" w:rsidP="00846DC7">
      <w:pPr>
        <w:pStyle w:val="a5"/>
        <w:ind w:firstLine="400"/>
        <w:rPr>
          <w:sz w:val="20"/>
          <w:szCs w:val="20"/>
        </w:rPr>
      </w:pPr>
    </w:p>
    <w:p w:rsidR="006175A6" w:rsidRPr="00846DC7" w:rsidRDefault="006175A6">
      <w:pPr>
        <w:ind w:firstLine="480"/>
      </w:pPr>
    </w:p>
    <w:p w:rsidR="006175A6" w:rsidRDefault="006175A6">
      <w:pPr>
        <w:ind w:firstLine="48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105" w:name="_Toc80170147"/>
      <w:r>
        <w:rPr>
          <w:rFonts w:hint="eastAsia"/>
        </w:rPr>
        <w:lastRenderedPageBreak/>
        <w:t>环保投资估算与环境经济损益分析</w:t>
      </w:r>
      <w:bookmarkEnd w:id="105"/>
    </w:p>
    <w:p w:rsidR="006175A6" w:rsidRDefault="009B4BA7">
      <w:pPr>
        <w:pStyle w:val="2"/>
      </w:pPr>
      <w:bookmarkStart w:id="106" w:name="_Toc80170148"/>
      <w:r>
        <w:rPr>
          <w:rFonts w:hint="eastAsia"/>
        </w:rPr>
        <w:t>环境保护投资估算</w:t>
      </w:r>
      <w:bookmarkEnd w:id="106"/>
    </w:p>
    <w:p w:rsidR="006175A6" w:rsidRDefault="009B4BA7">
      <w:pPr>
        <w:pStyle w:val="3"/>
      </w:pPr>
      <w:r>
        <w:rPr>
          <w:rFonts w:hint="eastAsia"/>
        </w:rPr>
        <w:t>编制原则和依据</w:t>
      </w:r>
    </w:p>
    <w:p w:rsidR="006175A6" w:rsidRDefault="009B4BA7">
      <w:pPr>
        <w:ind w:firstLine="480"/>
      </w:pPr>
      <w:r>
        <w:rPr>
          <w:rFonts w:hint="eastAsia"/>
        </w:rPr>
        <w:t>一、编制原则</w:t>
      </w:r>
    </w:p>
    <w:p w:rsidR="006175A6" w:rsidRDefault="009B4BA7">
      <w:pPr>
        <w:ind w:firstLine="480"/>
      </w:pPr>
      <w:r>
        <w:rPr>
          <w:rFonts w:hint="eastAsia"/>
        </w:rPr>
        <w:t>（</w:t>
      </w:r>
      <w:r>
        <w:rPr>
          <w:rFonts w:hint="eastAsia"/>
        </w:rPr>
        <w:t>1</w:t>
      </w:r>
      <w:r>
        <w:rPr>
          <w:rFonts w:hint="eastAsia"/>
        </w:rPr>
        <w:t>）“谁污染，谁负责，谁开发，谁保护”的原则。对于既保护环境又为主体工程服务，以及为减轻或消除因工程建设对环境造成的不利影响采取的环境保护措施、环境监测和环境管理等所需的投资，在堤防主体工程及拆迁居民安置中未列其投资的，列入工程环境保护专项投资中。</w:t>
      </w:r>
    </w:p>
    <w:p w:rsidR="006175A6" w:rsidRDefault="009B4BA7">
      <w:pPr>
        <w:ind w:firstLine="480"/>
      </w:pPr>
      <w:r>
        <w:rPr>
          <w:rFonts w:hint="eastAsia"/>
        </w:rPr>
        <w:t>（</w:t>
      </w:r>
      <w:r>
        <w:rPr>
          <w:rFonts w:hint="eastAsia"/>
        </w:rPr>
        <w:t>2</w:t>
      </w:r>
      <w:r>
        <w:rPr>
          <w:rFonts w:hint="eastAsia"/>
        </w:rPr>
        <w:t>）“突出重点”的原则。对受工程建设影响较大、公众关注、保护级别较高的环境敏感问题，应进行重点保护，所需保护经费应给予保证。</w:t>
      </w:r>
    </w:p>
    <w:p w:rsidR="006175A6" w:rsidRDefault="009B4BA7">
      <w:pPr>
        <w:ind w:firstLine="480"/>
      </w:pPr>
      <w:r>
        <w:rPr>
          <w:rFonts w:hint="eastAsia"/>
        </w:rPr>
        <w:t>（</w:t>
      </w:r>
      <w:r>
        <w:rPr>
          <w:rFonts w:hint="eastAsia"/>
        </w:rPr>
        <w:t>3</w:t>
      </w:r>
      <w:r>
        <w:rPr>
          <w:rFonts w:hint="eastAsia"/>
        </w:rPr>
        <w:t>）“功能恢复”的原则。因工程兴建对环境造成的不利影响，以恢复其原有功能进行投资概算；凡结合迁、改建提高标准或扩大规模所需增加的投资，由受益者自己承担。</w:t>
      </w:r>
    </w:p>
    <w:p w:rsidR="006175A6" w:rsidRDefault="009B4BA7">
      <w:pPr>
        <w:ind w:firstLine="480"/>
      </w:pPr>
      <w:r>
        <w:rPr>
          <w:rFonts w:hint="eastAsia"/>
        </w:rPr>
        <w:t>（</w:t>
      </w:r>
      <w:r>
        <w:rPr>
          <w:rFonts w:hint="eastAsia"/>
        </w:rPr>
        <w:t>4</w:t>
      </w:r>
      <w:r>
        <w:rPr>
          <w:rFonts w:hint="eastAsia"/>
        </w:rPr>
        <w:t>）“一次性补偿”原则。对工程所造成的难以恢复、改建的环境影响对象和生态与环境损失，可采取替代补偿和生态恢复措施，或按有关补偿标准给予一次性合理补偿。</w:t>
      </w:r>
    </w:p>
    <w:p w:rsidR="006175A6" w:rsidRDefault="009B4BA7">
      <w:pPr>
        <w:ind w:firstLine="480"/>
      </w:pPr>
      <w:r>
        <w:rPr>
          <w:rFonts w:hint="eastAsia"/>
        </w:rPr>
        <w:t>（</w:t>
      </w:r>
      <w:r>
        <w:rPr>
          <w:rFonts w:hint="eastAsia"/>
        </w:rPr>
        <w:t>5</w:t>
      </w:r>
      <w:r>
        <w:rPr>
          <w:rFonts w:hint="eastAsia"/>
        </w:rPr>
        <w:t>）主体工程本身具有环境保护功能措施的费用，列入主体工程投资，本概算不在重复计列。</w:t>
      </w:r>
    </w:p>
    <w:p w:rsidR="006175A6" w:rsidRDefault="009B4BA7">
      <w:pPr>
        <w:ind w:firstLine="480"/>
      </w:pPr>
      <w:r>
        <w:rPr>
          <w:rFonts w:hint="eastAsia"/>
        </w:rPr>
        <w:t>（</w:t>
      </w:r>
      <w:r>
        <w:rPr>
          <w:rFonts w:hint="eastAsia"/>
        </w:rPr>
        <w:t>6</w:t>
      </w:r>
      <w:r>
        <w:rPr>
          <w:rFonts w:hint="eastAsia"/>
        </w:rPr>
        <w:t>）以现有环境影响评价、环境保护措施设计为基础，根据已颁发的《水利水电工程环境保护概估算编制规程》确定项目划分。</w:t>
      </w:r>
    </w:p>
    <w:p w:rsidR="006175A6" w:rsidRDefault="009B4BA7">
      <w:pPr>
        <w:ind w:firstLine="480"/>
      </w:pPr>
      <w:r>
        <w:rPr>
          <w:rFonts w:hint="eastAsia"/>
        </w:rPr>
        <w:t>（</w:t>
      </w:r>
      <w:r>
        <w:rPr>
          <w:rFonts w:hint="eastAsia"/>
        </w:rPr>
        <w:t>7</w:t>
      </w:r>
      <w:r>
        <w:rPr>
          <w:rFonts w:hint="eastAsia"/>
        </w:rPr>
        <w:t>）编制环境工程估算时，基础价格与主体工程价格水平保持一致。</w:t>
      </w:r>
    </w:p>
    <w:p w:rsidR="006175A6" w:rsidRDefault="009B4BA7">
      <w:pPr>
        <w:ind w:firstLine="480"/>
      </w:pPr>
      <w:r>
        <w:rPr>
          <w:rFonts w:hint="eastAsia"/>
        </w:rPr>
        <w:t>（</w:t>
      </w:r>
      <w:r>
        <w:rPr>
          <w:rFonts w:hint="eastAsia"/>
        </w:rPr>
        <w:t>8</w:t>
      </w:r>
      <w:r>
        <w:rPr>
          <w:rFonts w:hint="eastAsia"/>
        </w:rPr>
        <w:t>）环保投资估算仅包括工程建设期环保费用。</w:t>
      </w:r>
    </w:p>
    <w:p w:rsidR="006175A6" w:rsidRDefault="009B4BA7">
      <w:pPr>
        <w:ind w:firstLine="480"/>
      </w:pPr>
      <w:r>
        <w:rPr>
          <w:rFonts w:hint="eastAsia"/>
        </w:rPr>
        <w:t>二、编制依据</w:t>
      </w:r>
    </w:p>
    <w:p w:rsidR="006175A6" w:rsidRDefault="009B4BA7">
      <w:pPr>
        <w:ind w:firstLine="480"/>
      </w:pPr>
      <w:r>
        <w:rPr>
          <w:rFonts w:hint="eastAsia"/>
        </w:rPr>
        <w:t>（</w:t>
      </w:r>
      <w:r>
        <w:rPr>
          <w:rFonts w:hint="eastAsia"/>
        </w:rPr>
        <w:t>1</w:t>
      </w:r>
      <w:r>
        <w:rPr>
          <w:rFonts w:hint="eastAsia"/>
        </w:rPr>
        <w:t>）国家计委</w:t>
      </w:r>
      <w:r>
        <w:rPr>
          <w:rFonts w:hint="eastAsia"/>
        </w:rPr>
        <w:t>[2002]10</w:t>
      </w:r>
      <w:r>
        <w:rPr>
          <w:rFonts w:hint="eastAsia"/>
        </w:rPr>
        <w:t>号文《工程勘测设计收费管理规定》；</w:t>
      </w:r>
    </w:p>
    <w:p w:rsidR="006175A6" w:rsidRDefault="009B4BA7">
      <w:pPr>
        <w:ind w:firstLine="480"/>
      </w:pPr>
      <w:r>
        <w:rPr>
          <w:rFonts w:hint="eastAsia"/>
        </w:rPr>
        <w:t>（</w:t>
      </w:r>
      <w:r>
        <w:rPr>
          <w:rFonts w:hint="eastAsia"/>
        </w:rPr>
        <w:t>2</w:t>
      </w:r>
      <w:r>
        <w:rPr>
          <w:rFonts w:hint="eastAsia"/>
        </w:rPr>
        <w:t>）《国家计委、国家环境保护总局关于规范环境影响咨询收费有关问题的通知》（计价格</w:t>
      </w:r>
      <w:r>
        <w:rPr>
          <w:rFonts w:hint="eastAsia"/>
        </w:rPr>
        <w:t xml:space="preserve">[2002]125 </w:t>
      </w:r>
      <w:r>
        <w:rPr>
          <w:rFonts w:hint="eastAsia"/>
        </w:rPr>
        <w:t>号文）；</w:t>
      </w:r>
    </w:p>
    <w:p w:rsidR="006175A6" w:rsidRDefault="009B4BA7">
      <w:pPr>
        <w:ind w:firstLine="480"/>
      </w:pPr>
      <w:r>
        <w:rPr>
          <w:rFonts w:hint="eastAsia"/>
        </w:rPr>
        <w:t>（</w:t>
      </w:r>
      <w:r>
        <w:rPr>
          <w:rFonts w:hint="eastAsia"/>
        </w:rPr>
        <w:t>3</w:t>
      </w:r>
      <w:r>
        <w:rPr>
          <w:rFonts w:hint="eastAsia"/>
        </w:rPr>
        <w:t>）《国家计委、财政部关于水生野生动物资源保护费收费标准及其有关事</w:t>
      </w:r>
      <w:r>
        <w:rPr>
          <w:rFonts w:hint="eastAsia"/>
        </w:rPr>
        <w:lastRenderedPageBreak/>
        <w:t>项的通知》（计价格〔</w:t>
      </w:r>
      <w:r>
        <w:rPr>
          <w:rFonts w:hint="eastAsia"/>
        </w:rPr>
        <w:t>2000</w:t>
      </w:r>
      <w:r>
        <w:rPr>
          <w:rFonts w:hint="eastAsia"/>
        </w:rPr>
        <w:t>〕</w:t>
      </w:r>
      <w:r>
        <w:rPr>
          <w:rFonts w:hint="eastAsia"/>
        </w:rPr>
        <w:t xml:space="preserve">393 </w:t>
      </w:r>
      <w:r>
        <w:rPr>
          <w:rFonts w:hint="eastAsia"/>
        </w:rPr>
        <w:t>号）；</w:t>
      </w:r>
    </w:p>
    <w:p w:rsidR="006175A6" w:rsidRDefault="009B4BA7">
      <w:pPr>
        <w:ind w:firstLine="480"/>
      </w:pPr>
      <w:r>
        <w:rPr>
          <w:rFonts w:hint="eastAsia"/>
        </w:rPr>
        <w:t>（</w:t>
      </w:r>
      <w:r>
        <w:rPr>
          <w:rFonts w:hint="eastAsia"/>
        </w:rPr>
        <w:t>4</w:t>
      </w:r>
      <w:r>
        <w:rPr>
          <w:rFonts w:hint="eastAsia"/>
        </w:rPr>
        <w:t>）《建设工程监理与相关服务收费管理规定》发改价</w:t>
      </w:r>
      <w:r>
        <w:rPr>
          <w:rFonts w:hint="eastAsia"/>
        </w:rPr>
        <w:t xml:space="preserve">[2007]670 </w:t>
      </w:r>
      <w:r>
        <w:rPr>
          <w:rFonts w:hint="eastAsia"/>
        </w:rPr>
        <w:t>号文；</w:t>
      </w:r>
    </w:p>
    <w:p w:rsidR="006175A6" w:rsidRDefault="009B4BA7">
      <w:pPr>
        <w:ind w:firstLine="480"/>
      </w:pPr>
      <w:r>
        <w:rPr>
          <w:rFonts w:hint="eastAsia"/>
        </w:rPr>
        <w:t>（</w:t>
      </w:r>
      <w:r>
        <w:rPr>
          <w:rFonts w:hint="eastAsia"/>
        </w:rPr>
        <w:t>5</w:t>
      </w:r>
      <w:r>
        <w:rPr>
          <w:rFonts w:hint="eastAsia"/>
        </w:rPr>
        <w:t>）《水利水电工程环境保护概估算编制规程》（</w:t>
      </w:r>
      <w:r>
        <w:rPr>
          <w:rFonts w:hint="eastAsia"/>
        </w:rPr>
        <w:t>SL359-2006</w:t>
      </w:r>
      <w:r>
        <w:rPr>
          <w:rFonts w:hint="eastAsia"/>
        </w:rPr>
        <w:t>）；</w:t>
      </w:r>
    </w:p>
    <w:p w:rsidR="006175A6" w:rsidRDefault="009B4BA7">
      <w:pPr>
        <w:ind w:firstLine="480"/>
      </w:pPr>
      <w:r>
        <w:rPr>
          <w:rFonts w:hint="eastAsia"/>
        </w:rPr>
        <w:t>（</w:t>
      </w:r>
      <w:r>
        <w:rPr>
          <w:rFonts w:hint="eastAsia"/>
        </w:rPr>
        <w:t>6</w:t>
      </w:r>
      <w:r>
        <w:rPr>
          <w:rFonts w:hint="eastAsia"/>
        </w:rPr>
        <w:t>）水利部《水土保持工程概（估）算编制规定》（</w:t>
      </w:r>
      <w:r>
        <w:rPr>
          <w:rFonts w:hint="eastAsia"/>
        </w:rPr>
        <w:t xml:space="preserve">2003 </w:t>
      </w:r>
      <w:r>
        <w:rPr>
          <w:rFonts w:hint="eastAsia"/>
        </w:rPr>
        <w:t>年）、《水土保持工程概算定额》（</w:t>
      </w:r>
      <w:r>
        <w:rPr>
          <w:rFonts w:hint="eastAsia"/>
        </w:rPr>
        <w:t xml:space="preserve">2003 </w:t>
      </w:r>
      <w:r>
        <w:rPr>
          <w:rFonts w:hint="eastAsia"/>
        </w:rPr>
        <w:t>年）；</w:t>
      </w:r>
    </w:p>
    <w:p w:rsidR="006175A6" w:rsidRDefault="009B4BA7">
      <w:pPr>
        <w:ind w:firstLine="480"/>
      </w:pPr>
      <w:r>
        <w:rPr>
          <w:rFonts w:hint="eastAsia"/>
        </w:rPr>
        <w:t>（</w:t>
      </w:r>
      <w:r>
        <w:rPr>
          <w:rFonts w:hint="eastAsia"/>
        </w:rPr>
        <w:t>7</w:t>
      </w:r>
      <w:r>
        <w:rPr>
          <w:rFonts w:hint="eastAsia"/>
        </w:rPr>
        <w:t>）《湖北省环境监测站专业服务收费标准》鄂环字</w:t>
      </w:r>
      <w:r>
        <w:rPr>
          <w:rFonts w:hint="eastAsia"/>
        </w:rPr>
        <w:t>[1990]</w:t>
      </w:r>
      <w:r>
        <w:rPr>
          <w:rFonts w:hint="eastAsia"/>
        </w:rPr>
        <w:t>第</w:t>
      </w:r>
      <w:r>
        <w:rPr>
          <w:rFonts w:hint="eastAsia"/>
        </w:rPr>
        <w:t>2</w:t>
      </w:r>
      <w:r>
        <w:rPr>
          <w:rFonts w:hint="eastAsia"/>
        </w:rPr>
        <w:t>号；</w:t>
      </w:r>
    </w:p>
    <w:p w:rsidR="006175A6" w:rsidRDefault="009B4BA7">
      <w:pPr>
        <w:pStyle w:val="3"/>
      </w:pPr>
      <w:r>
        <w:rPr>
          <w:rFonts w:hint="eastAsia"/>
        </w:rPr>
        <w:t>费用构成</w:t>
      </w:r>
    </w:p>
    <w:p w:rsidR="006175A6" w:rsidRDefault="009B4BA7">
      <w:pPr>
        <w:ind w:firstLine="480"/>
      </w:pPr>
      <w:r>
        <w:rPr>
          <w:rFonts w:hint="eastAsia"/>
        </w:rPr>
        <w:t>根据《水利水电工程环境保护概算估算编制规程》，水利水电工程环境保护项目费用的静态部分由第一部分环境保护措施费，第二部分环境监测措施费，第三部分环境保护仪器设备及安装费，第四部分环境保护临时措施费，第五部分环境保护独立费用和基本预备费组成。</w:t>
      </w:r>
    </w:p>
    <w:p w:rsidR="006175A6" w:rsidRDefault="009B4BA7">
      <w:pPr>
        <w:ind w:firstLine="480"/>
      </w:pPr>
      <w:r>
        <w:rPr>
          <w:rFonts w:hint="eastAsia"/>
        </w:rPr>
        <w:t>本项</w:t>
      </w:r>
      <w:r w:rsidRPr="00450510">
        <w:rPr>
          <w:rFonts w:hint="eastAsia"/>
        </w:rPr>
        <w:t>目总投资为</w:t>
      </w:r>
      <w:r w:rsidR="00085976" w:rsidRPr="00450510">
        <w:t>26882.03</w:t>
      </w:r>
      <w:r w:rsidRPr="00450510">
        <w:rPr>
          <w:rFonts w:hint="eastAsia"/>
        </w:rPr>
        <w:t>万元，其中环保投资约为</w:t>
      </w:r>
      <w:r w:rsidR="00085976" w:rsidRPr="00450510">
        <w:rPr>
          <w:rFonts w:hint="eastAsia"/>
        </w:rPr>
        <w:t>1082.54</w:t>
      </w:r>
      <w:r w:rsidRPr="00450510">
        <w:rPr>
          <w:rFonts w:hint="eastAsia"/>
        </w:rPr>
        <w:t>万元</w:t>
      </w:r>
      <w:r w:rsidR="004F662F" w:rsidRPr="00450510">
        <w:rPr>
          <w:rFonts w:hint="eastAsia"/>
        </w:rPr>
        <w:t>（包括水土保持投资</w:t>
      </w:r>
      <w:r w:rsidR="004F662F" w:rsidRPr="00450510">
        <w:rPr>
          <w:rFonts w:hint="eastAsia"/>
        </w:rPr>
        <w:t>987.19</w:t>
      </w:r>
      <w:r w:rsidR="004F662F" w:rsidRPr="00450510">
        <w:rPr>
          <w:rFonts w:hint="eastAsia"/>
        </w:rPr>
        <w:t>万元）</w:t>
      </w:r>
      <w:r w:rsidRPr="00450510">
        <w:rPr>
          <w:rFonts w:hint="eastAsia"/>
        </w:rPr>
        <w:t>，占项目总投资</w:t>
      </w:r>
      <w:r w:rsidR="00085976" w:rsidRPr="00450510">
        <w:rPr>
          <w:rFonts w:hint="eastAsia"/>
        </w:rPr>
        <w:t>4.03</w:t>
      </w:r>
      <w:r w:rsidRPr="00450510">
        <w:rPr>
          <w:rFonts w:hint="eastAsia"/>
        </w:rPr>
        <w:t>%</w:t>
      </w:r>
      <w:r w:rsidRPr="00450510">
        <w:rPr>
          <w:rFonts w:hint="eastAsia"/>
        </w:rPr>
        <w:t>。</w:t>
      </w:r>
      <w:r w:rsidR="00450510">
        <w:rPr>
          <w:rFonts w:hint="eastAsia"/>
        </w:rPr>
        <w:t>项目环保基础投资以及水土保持投资</w:t>
      </w:r>
      <w:r w:rsidRPr="00450510">
        <w:rPr>
          <w:rFonts w:hint="eastAsia"/>
        </w:rPr>
        <w:t>见</w:t>
      </w:r>
      <w:r w:rsidRPr="00450510">
        <w:fldChar w:fldCharType="begin"/>
      </w:r>
      <w:r w:rsidRPr="00450510">
        <w:instrText xml:space="preserve"> </w:instrText>
      </w:r>
      <w:r w:rsidRPr="00450510">
        <w:rPr>
          <w:rFonts w:hint="eastAsia"/>
        </w:rPr>
        <w:instrText>REF _Ref79997775 \h</w:instrText>
      </w:r>
      <w:r w:rsidRPr="00450510">
        <w:instrText xml:space="preserve"> </w:instrText>
      </w:r>
      <w:r w:rsidR="00450510">
        <w:instrText xml:space="preserve"> \* MERGEFORMAT </w:instrText>
      </w:r>
      <w:r w:rsidRPr="00450510">
        <w:fldChar w:fldCharType="separate"/>
      </w:r>
      <w:r w:rsidR="00E97427">
        <w:rPr>
          <w:rFonts w:hint="eastAsia"/>
        </w:rPr>
        <w:t>表</w:t>
      </w:r>
      <w:r w:rsidR="00E97427">
        <w:rPr>
          <w:rFonts w:hint="eastAsia"/>
        </w:rPr>
        <w:t xml:space="preserve"> </w:t>
      </w:r>
      <w:r w:rsidR="00E97427">
        <w:rPr>
          <w:noProof/>
        </w:rPr>
        <w:t>10.1</w:t>
      </w:r>
      <w:r w:rsidR="00E97427">
        <w:rPr>
          <w:noProof/>
        </w:rPr>
        <w:noBreakHyphen/>
        <w:t>1</w:t>
      </w:r>
      <w:r w:rsidRPr="00450510">
        <w:fldChar w:fldCharType="end"/>
      </w:r>
      <w:r w:rsidR="00A524F9" w:rsidRPr="00450510">
        <w:t>以及</w:t>
      </w:r>
      <w:r w:rsidR="00A524F9" w:rsidRPr="00450510">
        <w:fldChar w:fldCharType="begin"/>
      </w:r>
      <w:r w:rsidR="00A524F9" w:rsidRPr="00450510">
        <w:instrText xml:space="preserve"> REF _Ref80130568 \h </w:instrText>
      </w:r>
      <w:r w:rsidR="00450510">
        <w:instrText xml:space="preserve"> \* MERGEFORMAT </w:instrText>
      </w:r>
      <w:r w:rsidR="00A524F9" w:rsidRPr="00450510">
        <w:fldChar w:fldCharType="separate"/>
      </w:r>
      <w:r w:rsidR="00E97427">
        <w:rPr>
          <w:rFonts w:hint="eastAsia"/>
        </w:rPr>
        <w:t>表</w:t>
      </w:r>
      <w:r w:rsidR="00E97427">
        <w:rPr>
          <w:rFonts w:hint="eastAsia"/>
        </w:rPr>
        <w:t xml:space="preserve"> </w:t>
      </w:r>
      <w:r w:rsidR="00E97427">
        <w:rPr>
          <w:noProof/>
        </w:rPr>
        <w:t>10.1</w:t>
      </w:r>
      <w:r w:rsidR="00E97427">
        <w:rPr>
          <w:noProof/>
        </w:rPr>
        <w:noBreakHyphen/>
        <w:t>2</w:t>
      </w:r>
      <w:r w:rsidR="00A524F9" w:rsidRPr="00450510">
        <w:fldChar w:fldCharType="end"/>
      </w:r>
      <w:r w:rsidRPr="00450510">
        <w:rPr>
          <w:rFonts w:hint="eastAsia"/>
        </w:rPr>
        <w:t>。</w:t>
      </w:r>
    </w:p>
    <w:p w:rsidR="006175A6" w:rsidRDefault="009B4BA7">
      <w:pPr>
        <w:pStyle w:val="a3"/>
      </w:pPr>
      <w:bookmarkStart w:id="107" w:name="_Ref79997775"/>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10.1</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bookmarkEnd w:id="107"/>
      <w:r>
        <w:rPr>
          <w:rFonts w:hint="eastAsia"/>
        </w:rPr>
        <w:t xml:space="preserve">  </w:t>
      </w:r>
      <w:r w:rsidR="00A524F9">
        <w:rPr>
          <w:rFonts w:hint="eastAsia"/>
        </w:rPr>
        <w:t>基础</w:t>
      </w:r>
      <w:r>
        <w:rPr>
          <w:rFonts w:hint="eastAsia"/>
        </w:rPr>
        <w:t>环境保护投资汇总表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7"/>
        <w:gridCol w:w="1068"/>
        <w:gridCol w:w="1385"/>
        <w:gridCol w:w="1124"/>
        <w:gridCol w:w="960"/>
        <w:gridCol w:w="1334"/>
        <w:gridCol w:w="1808"/>
      </w:tblGrid>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类别</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一级项目</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二级项目</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技术经济</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指标</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pacing w:val="-49"/>
                <w:sz w:val="18"/>
                <w:szCs w:val="18"/>
              </w:rPr>
              <w:t>投资</w:t>
            </w:r>
            <w:r w:rsidRPr="00450510">
              <w:rPr>
                <w:rFonts w:ascii="Times New Roman" w:hAnsi="Times New Roman" w:cs="Times New Roman"/>
                <w:sz w:val="18"/>
                <w:szCs w:val="18"/>
              </w:rPr>
              <w:t>（元</w:t>
            </w:r>
            <w:r w:rsidRPr="00450510">
              <w:rPr>
                <w:rFonts w:ascii="Times New Roman" w:hAnsi="Times New Roman" w:cs="Times New Roman"/>
                <w:spacing w:val="-16"/>
                <w:sz w:val="18"/>
                <w:szCs w:val="18"/>
              </w:rPr>
              <w:t>）</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投资时间</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备注</w:t>
            </w:r>
          </w:p>
        </w:tc>
      </w:tr>
      <w:tr w:rsidR="000D3F7A" w:rsidRPr="00450510" w:rsidTr="00450510">
        <w:trPr>
          <w:trHeight w:val="340"/>
        </w:trPr>
        <w:tc>
          <w:tcPr>
            <w:tcW w:w="5000" w:type="pct"/>
            <w:gridSpan w:val="7"/>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一、环境保护设施</w:t>
            </w: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生活污水处理</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化粪池处理设</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营运期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处理管理人员生活</w:t>
            </w:r>
          </w:p>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污水</w:t>
            </w: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生活垃圾处理</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垃圾桶</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 </w:t>
            </w:r>
            <w:r w:rsidRPr="00450510">
              <w:rPr>
                <w:rFonts w:ascii="Times New Roman" w:hAnsi="Times New Roman" w:cs="Times New Roman"/>
                <w:sz w:val="18"/>
                <w:szCs w:val="18"/>
              </w:rPr>
              <w:t>个</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1500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营运期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eastAsia="Times New Roman" w:hAnsi="Times New Roman" w:cs="Times New Roman"/>
                <w:sz w:val="18"/>
                <w:szCs w:val="18"/>
              </w:rPr>
            </w:pP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林地补偿与恢复</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pacing w:val="-1"/>
                <w:sz w:val="18"/>
                <w:szCs w:val="18"/>
                <w:lang w:eastAsia="zh-CN"/>
              </w:rPr>
              <w:t>淹没林地等量</w:t>
            </w:r>
          </w:p>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pacing w:val="-3"/>
                <w:sz w:val="18"/>
                <w:szCs w:val="18"/>
                <w:lang w:eastAsia="zh-CN"/>
              </w:rPr>
              <w:t>补偿：造林或</w:t>
            </w:r>
            <w:r w:rsidRPr="00450510">
              <w:rPr>
                <w:rFonts w:ascii="Times New Roman" w:hAnsi="Times New Roman" w:cs="Times New Roman"/>
                <w:spacing w:val="-4"/>
                <w:sz w:val="18"/>
                <w:szCs w:val="18"/>
                <w:lang w:eastAsia="zh-CN"/>
              </w:rPr>
              <w:t>改善林分质量</w:t>
            </w:r>
          </w:p>
        </w:tc>
        <w:tc>
          <w:tcPr>
            <w:tcW w:w="676" w:type="pct"/>
            <w:vAlign w:val="center"/>
          </w:tcPr>
          <w:p w:rsidR="000D3F7A" w:rsidRPr="00450510" w:rsidRDefault="000D3F7A" w:rsidP="00450510">
            <w:pPr>
              <w:pStyle w:val="TableParagraph"/>
              <w:rPr>
                <w:rFonts w:ascii="Times New Roman" w:eastAsia="Times New Roman" w:hAnsi="Times New Roman" w:cs="Times New Roman"/>
                <w:sz w:val="18"/>
                <w:szCs w:val="18"/>
                <w:lang w:eastAsia="zh-CN"/>
              </w:rPr>
            </w:pP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3000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亩</w:t>
            </w:r>
          </w:p>
        </w:tc>
        <w:tc>
          <w:tcPr>
            <w:tcW w:w="577" w:type="pct"/>
            <w:vAlign w:val="center"/>
          </w:tcPr>
          <w:p w:rsidR="000D3F7A" w:rsidRPr="00450510" w:rsidRDefault="000D3F7A" w:rsidP="00450510">
            <w:pPr>
              <w:pStyle w:val="TableParagraph"/>
              <w:rPr>
                <w:rFonts w:ascii="Times New Roman" w:eastAsia="Times New Roman" w:hAnsi="Times New Roman" w:cs="Times New Roman"/>
                <w:sz w:val="18"/>
                <w:szCs w:val="18"/>
              </w:rPr>
            </w:pP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30600</w:t>
            </w:r>
          </w:p>
        </w:tc>
        <w:tc>
          <w:tcPr>
            <w:tcW w:w="802" w:type="pct"/>
            <w:vAlign w:val="center"/>
          </w:tcPr>
          <w:p w:rsidR="000D3F7A" w:rsidRPr="00450510" w:rsidRDefault="000D3F7A" w:rsidP="00450510">
            <w:pPr>
              <w:pStyle w:val="TableParagraph"/>
              <w:rPr>
                <w:rFonts w:ascii="Times New Roman" w:eastAsia="Times New Roman" w:hAnsi="Times New Roman" w:cs="Times New Roman"/>
                <w:sz w:val="18"/>
                <w:szCs w:val="18"/>
              </w:rPr>
            </w:pP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营运期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已列入专业项目复建补偿费</w:t>
            </w: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4</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生态基流保证措施</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在线流量计</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 </w:t>
            </w:r>
            <w:r w:rsidRPr="00450510">
              <w:rPr>
                <w:rFonts w:ascii="Times New Roman" w:hAnsi="Times New Roman" w:cs="Times New Roman"/>
                <w:sz w:val="18"/>
                <w:szCs w:val="18"/>
              </w:rPr>
              <w:t>万元</w:t>
            </w:r>
            <w:r w:rsidRPr="00450510">
              <w:rPr>
                <w:rFonts w:ascii="Times New Roman" w:hAnsi="Times New Roman" w:cs="Times New Roman"/>
                <w:sz w:val="18"/>
                <w:szCs w:val="18"/>
              </w:rPr>
              <w:t>/</w:t>
            </w:r>
            <w:r w:rsidRPr="00450510">
              <w:rPr>
                <w:rFonts w:ascii="Times New Roman" w:hAnsi="Times New Roman" w:cs="Times New Roman"/>
                <w:sz w:val="18"/>
                <w:szCs w:val="18"/>
              </w:rPr>
              <w:t>套</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营运期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restar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w:t>
            </w:r>
          </w:p>
        </w:tc>
        <w:tc>
          <w:tcPr>
            <w:tcW w:w="642" w:type="pct"/>
            <w:vMerge w:val="restar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动植物保护措施</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施工期环境管</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理</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珍惜鸟类观测</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和救护</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宣传指示牌和</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警示牌</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 </w:t>
            </w:r>
            <w:r w:rsidRPr="00450510">
              <w:rPr>
                <w:rFonts w:ascii="Times New Roman" w:hAnsi="Times New Roman" w:cs="Times New Roman"/>
                <w:sz w:val="18"/>
                <w:szCs w:val="18"/>
              </w:rPr>
              <w:t>个</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restar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6</w:t>
            </w:r>
          </w:p>
        </w:tc>
        <w:tc>
          <w:tcPr>
            <w:tcW w:w="642" w:type="pct"/>
            <w:vMerge w:val="restart"/>
            <w:vAlign w:val="center"/>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饮用水水源保护区保护</w:t>
            </w:r>
            <w:r w:rsidRPr="00450510">
              <w:rPr>
                <w:rFonts w:ascii="Times New Roman" w:hAnsi="Times New Roman" w:cs="Times New Roman"/>
                <w:sz w:val="18"/>
                <w:szCs w:val="18"/>
                <w:lang w:eastAsia="zh-CN"/>
              </w:rPr>
              <w:lastRenderedPageBreak/>
              <w:t>措施</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lastRenderedPageBreak/>
              <w:t>警示标志</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 </w:t>
            </w:r>
            <w:r w:rsidRPr="00450510">
              <w:rPr>
                <w:rFonts w:ascii="Times New Roman" w:hAnsi="Times New Roman" w:cs="Times New Roman"/>
                <w:sz w:val="18"/>
                <w:szCs w:val="18"/>
              </w:rPr>
              <w:t>个</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营运期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坡面坡耕地整</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lastRenderedPageBreak/>
              <w:t>治</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lastRenderedPageBreak/>
              <w:t>10000/hm²</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17300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整治</w:t>
            </w:r>
            <w:r w:rsidRPr="00450510">
              <w:rPr>
                <w:rFonts w:ascii="Times New Roman" w:hAnsi="Times New Roman" w:cs="Times New Roman"/>
                <w:sz w:val="18"/>
                <w:szCs w:val="18"/>
              </w:rPr>
              <w:t xml:space="preserve"> 1.73hm²</w:t>
            </w: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排水沟渠</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100 </w:t>
            </w:r>
            <w:r w:rsidRPr="00450510">
              <w:rPr>
                <w:rFonts w:ascii="Times New Roman" w:hAnsi="Times New Roman" w:cs="Times New Roman"/>
                <w:sz w:val="18"/>
                <w:szCs w:val="18"/>
              </w:rPr>
              <w:t>元</w:t>
            </w:r>
            <w:r w:rsidRPr="00450510">
              <w:rPr>
                <w:rFonts w:ascii="Times New Roman" w:hAnsi="Times New Roman" w:cs="Times New Roman"/>
                <w:sz w:val="18"/>
                <w:szCs w:val="18"/>
              </w:rPr>
              <w:t>/m</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排水沟</w:t>
            </w:r>
            <w:r w:rsidRPr="00450510">
              <w:rPr>
                <w:rFonts w:ascii="Times New Roman" w:hAnsi="Times New Roman" w:cs="Times New Roman"/>
                <w:sz w:val="18"/>
                <w:szCs w:val="18"/>
              </w:rPr>
              <w:t xml:space="preserve"> 100m</w:t>
            </w: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bCs/>
                <w:sz w:val="18"/>
                <w:szCs w:val="18"/>
              </w:rPr>
            </w:pPr>
            <w:r w:rsidRPr="00450510">
              <w:rPr>
                <w:rFonts w:ascii="Times New Roman" w:hAnsi="Times New Roman" w:cs="Times New Roman"/>
                <w:bCs/>
                <w:sz w:val="18"/>
                <w:szCs w:val="18"/>
              </w:rPr>
              <w:t>小计</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bCs/>
                <w:sz w:val="18"/>
                <w:szCs w:val="18"/>
              </w:rPr>
            </w:pPr>
            <w:r w:rsidRPr="00450510">
              <w:rPr>
                <w:rFonts w:ascii="Times New Roman" w:hAnsi="Times New Roman" w:cs="Times New Roman"/>
                <w:bCs/>
                <w:sz w:val="18"/>
                <w:szCs w:val="18"/>
              </w:rPr>
              <w:t>177400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5000" w:type="pct"/>
            <w:gridSpan w:val="7"/>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二、环境监测措施</w:t>
            </w:r>
          </w:p>
        </w:tc>
      </w:tr>
      <w:tr w:rsidR="000D3F7A" w:rsidRPr="00450510" w:rsidTr="00450510">
        <w:trPr>
          <w:trHeight w:val="340"/>
        </w:trPr>
        <w:tc>
          <w:tcPr>
            <w:tcW w:w="383" w:type="pct"/>
            <w:vMerge w:val="restar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w:t>
            </w:r>
          </w:p>
        </w:tc>
        <w:tc>
          <w:tcPr>
            <w:tcW w:w="642" w:type="pct"/>
            <w:vMerge w:val="restar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监测</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水质监测</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1000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点</w:t>
            </w:r>
            <w:r w:rsidRPr="00450510">
              <w:rPr>
                <w:rFonts w:ascii="Times New Roman" w:hAnsi="Times New Roman" w:cs="Times New Roman"/>
                <w:sz w:val="18"/>
                <w:szCs w:val="18"/>
              </w:rPr>
              <w:t xml:space="preserve">. </w:t>
            </w:r>
            <w:r w:rsidRPr="00450510">
              <w:rPr>
                <w:rFonts w:ascii="Times New Roman" w:hAnsi="Times New Roman" w:cs="Times New Roman"/>
                <w:sz w:val="18"/>
                <w:szCs w:val="18"/>
              </w:rPr>
              <w:t>次</w:t>
            </w:r>
          </w:p>
        </w:tc>
        <w:tc>
          <w:tcPr>
            <w:tcW w:w="577"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r w:rsidRPr="00450510">
              <w:rPr>
                <w:rFonts w:ascii="Times New Roman" w:hAnsi="Times New Roman" w:cs="Times New Roman"/>
                <w:sz w:val="18"/>
                <w:szCs w:val="18"/>
              </w:rPr>
              <w:tab/>
            </w:r>
            <w:r w:rsidRPr="00450510">
              <w:rPr>
                <w:rFonts w:ascii="Times New Roman" w:hAnsi="Times New Roman" w:cs="Times New Roman"/>
                <w:sz w:val="18"/>
                <w:szCs w:val="18"/>
              </w:rPr>
              <w:t>营运期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pacing w:val="-15"/>
                <w:sz w:val="18"/>
                <w:szCs w:val="18"/>
                <w:lang w:eastAsia="zh-CN"/>
              </w:rPr>
              <w:t>按《兴山县行政事业</w:t>
            </w:r>
            <w:r w:rsidRPr="00450510">
              <w:rPr>
                <w:rFonts w:ascii="Times New Roman" w:hAnsi="Times New Roman" w:cs="Times New Roman"/>
                <w:sz w:val="18"/>
                <w:szCs w:val="18"/>
                <w:lang w:eastAsia="zh-CN"/>
              </w:rPr>
              <w:t>性收费项目和标准》，根据施工期监测工作量计算</w:t>
            </w: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大气监测</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1000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点</w:t>
            </w:r>
            <w:r w:rsidRPr="00450510">
              <w:rPr>
                <w:rFonts w:ascii="Times New Roman" w:hAnsi="Times New Roman" w:cs="Times New Roman"/>
                <w:sz w:val="18"/>
                <w:szCs w:val="18"/>
              </w:rPr>
              <w:t>.</w:t>
            </w:r>
            <w:r w:rsidRPr="00450510">
              <w:rPr>
                <w:rFonts w:ascii="Times New Roman" w:hAnsi="Times New Roman" w:cs="Times New Roman"/>
                <w:sz w:val="18"/>
                <w:szCs w:val="18"/>
              </w:rPr>
              <w:t>次</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噪声监测</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200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点</w:t>
            </w:r>
            <w:r w:rsidRPr="00450510">
              <w:rPr>
                <w:rFonts w:ascii="Times New Roman" w:hAnsi="Times New Roman" w:cs="Times New Roman"/>
                <w:sz w:val="18"/>
                <w:szCs w:val="18"/>
              </w:rPr>
              <w:t>.</w:t>
            </w:r>
            <w:r w:rsidRPr="00450510">
              <w:rPr>
                <w:rFonts w:ascii="Times New Roman" w:hAnsi="Times New Roman" w:cs="Times New Roman"/>
                <w:sz w:val="18"/>
                <w:szCs w:val="18"/>
              </w:rPr>
              <w:t>次</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生态监测</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3000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点</w:t>
            </w:r>
            <w:r w:rsidRPr="00450510">
              <w:rPr>
                <w:rFonts w:ascii="Times New Roman" w:hAnsi="Times New Roman" w:cs="Times New Roman"/>
                <w:sz w:val="18"/>
                <w:szCs w:val="18"/>
              </w:rPr>
              <w:t>.</w:t>
            </w:r>
            <w:r w:rsidRPr="00450510">
              <w:rPr>
                <w:rFonts w:ascii="Times New Roman" w:hAnsi="Times New Roman" w:cs="Times New Roman"/>
                <w:sz w:val="18"/>
                <w:szCs w:val="18"/>
              </w:rPr>
              <w:t>次</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18000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widowControl/>
              <w:spacing w:line="240" w:lineRule="auto"/>
              <w:ind w:firstLine="360"/>
              <w:jc w:val="center"/>
              <w:rPr>
                <w:sz w:val="18"/>
                <w:szCs w:val="18"/>
              </w:rPr>
            </w:pPr>
          </w:p>
        </w:tc>
        <w:tc>
          <w:tcPr>
            <w:tcW w:w="642" w:type="pct"/>
            <w:vMerge/>
            <w:vAlign w:val="center"/>
            <w:hideMark/>
          </w:tcPr>
          <w:p w:rsidR="000D3F7A" w:rsidRPr="00450510" w:rsidRDefault="000D3F7A" w:rsidP="00450510">
            <w:pPr>
              <w:widowControl/>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pacing w:val="-1"/>
                <w:sz w:val="18"/>
                <w:szCs w:val="18"/>
                <w:lang w:eastAsia="zh-CN"/>
              </w:rPr>
              <w:t>施工人员和施工区居民健康</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20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点</w:t>
            </w:r>
            <w:r w:rsidRPr="00450510">
              <w:rPr>
                <w:rFonts w:ascii="Times New Roman" w:hAnsi="Times New Roman" w:cs="Times New Roman"/>
                <w:sz w:val="18"/>
                <w:szCs w:val="18"/>
              </w:rPr>
              <w:t>.</w:t>
            </w:r>
            <w:r w:rsidRPr="00450510">
              <w:rPr>
                <w:rFonts w:ascii="Times New Roman" w:hAnsi="Times New Roman" w:cs="Times New Roman"/>
                <w:sz w:val="18"/>
                <w:szCs w:val="18"/>
              </w:rPr>
              <w:t>次</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6000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平均</w:t>
            </w:r>
            <w:r w:rsidRPr="00450510">
              <w:rPr>
                <w:rFonts w:ascii="Times New Roman" w:hAnsi="Times New Roman" w:cs="Times New Roman"/>
                <w:sz w:val="18"/>
                <w:szCs w:val="18"/>
              </w:rPr>
              <w:t xml:space="preserve"> 30 </w:t>
            </w:r>
            <w:r w:rsidRPr="00450510">
              <w:rPr>
                <w:rFonts w:ascii="Times New Roman" w:hAnsi="Times New Roman" w:cs="Times New Roman"/>
                <w:sz w:val="18"/>
                <w:szCs w:val="18"/>
              </w:rPr>
              <w:t>人，施工每人每半年一次</w:t>
            </w:r>
          </w:p>
        </w:tc>
      </w:tr>
      <w:tr w:rsidR="000D3F7A" w:rsidRPr="00450510" w:rsidTr="00450510">
        <w:trPr>
          <w:trHeight w:val="340"/>
        </w:trPr>
        <w:tc>
          <w:tcPr>
            <w:tcW w:w="383" w:type="pct"/>
            <w:vMerge w:val="restar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类别</w:t>
            </w:r>
          </w:p>
        </w:tc>
        <w:tc>
          <w:tcPr>
            <w:tcW w:w="642" w:type="pct"/>
            <w:vMerge w:val="restar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一级项目</w:t>
            </w:r>
          </w:p>
        </w:tc>
        <w:tc>
          <w:tcPr>
            <w:tcW w:w="833"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二级项目</w:t>
            </w:r>
          </w:p>
        </w:tc>
        <w:tc>
          <w:tcPr>
            <w:tcW w:w="676"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技术经济指标</w:t>
            </w:r>
          </w:p>
        </w:tc>
        <w:tc>
          <w:tcPr>
            <w:tcW w:w="577"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投资（元）</w:t>
            </w:r>
          </w:p>
        </w:tc>
        <w:tc>
          <w:tcPr>
            <w:tcW w:w="802"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投资时间</w:t>
            </w:r>
          </w:p>
        </w:tc>
        <w:tc>
          <w:tcPr>
            <w:tcW w:w="1088"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备注</w:t>
            </w:r>
          </w:p>
        </w:tc>
      </w:tr>
      <w:tr w:rsidR="000D3F7A" w:rsidRPr="00450510" w:rsidTr="00450510">
        <w:trPr>
          <w:trHeight w:val="340"/>
        </w:trPr>
        <w:tc>
          <w:tcPr>
            <w:tcW w:w="383" w:type="pct"/>
            <w:vMerge/>
            <w:vAlign w:val="center"/>
            <w:hideMark/>
          </w:tcPr>
          <w:p w:rsidR="000D3F7A" w:rsidRPr="00450510" w:rsidRDefault="000D3F7A" w:rsidP="00450510">
            <w:pPr>
              <w:pStyle w:val="TableParagraph"/>
              <w:rPr>
                <w:rFonts w:ascii="Times New Roman" w:hAnsi="Times New Roman" w:cs="Times New Roman"/>
                <w:sz w:val="18"/>
                <w:szCs w:val="18"/>
              </w:rPr>
            </w:pPr>
          </w:p>
        </w:tc>
        <w:tc>
          <w:tcPr>
            <w:tcW w:w="642" w:type="pct"/>
            <w:vMerge/>
            <w:vAlign w:val="center"/>
            <w:hideMark/>
          </w:tcPr>
          <w:p w:rsidR="000D3F7A" w:rsidRPr="00450510" w:rsidRDefault="000D3F7A" w:rsidP="00450510">
            <w:pPr>
              <w:pStyle w:val="TableParagraph"/>
              <w:rPr>
                <w:rFonts w:ascii="Times New Roman" w:hAnsi="Times New Roman" w:cs="Times New Roman"/>
                <w:sz w:val="18"/>
                <w:szCs w:val="18"/>
              </w:rPr>
            </w:pPr>
          </w:p>
        </w:tc>
        <w:tc>
          <w:tcPr>
            <w:tcW w:w="833"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监测</w:t>
            </w:r>
          </w:p>
        </w:tc>
        <w:tc>
          <w:tcPr>
            <w:tcW w:w="676"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802"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1088"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r>
      <w:tr w:rsidR="000D3F7A" w:rsidRPr="00450510" w:rsidTr="00450510">
        <w:trPr>
          <w:trHeight w:val="340"/>
        </w:trPr>
        <w:tc>
          <w:tcPr>
            <w:tcW w:w="383" w:type="pct"/>
            <w:vMerge w:val="restar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w:t>
            </w:r>
          </w:p>
        </w:tc>
        <w:tc>
          <w:tcPr>
            <w:tcW w:w="642" w:type="pct"/>
            <w:vMerge w:val="restar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监测设施</w:t>
            </w:r>
          </w:p>
        </w:tc>
        <w:tc>
          <w:tcPr>
            <w:tcW w:w="833"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hAnsi="Times New Roman" w:cs="Times New Roman"/>
                <w:sz w:val="18"/>
                <w:szCs w:val="18"/>
              </w:rPr>
              <w:t>卫生室</w:t>
            </w:r>
          </w:p>
        </w:tc>
        <w:tc>
          <w:tcPr>
            <w:tcW w:w="676"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eastAsia="Times New Roman" w:hAnsi="Times New Roman" w:cs="Times New Roman"/>
                <w:sz w:val="18"/>
                <w:szCs w:val="18"/>
              </w:rPr>
              <w:t>10000</w:t>
            </w:r>
          </w:p>
        </w:tc>
        <w:tc>
          <w:tcPr>
            <w:tcW w:w="802"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1088"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r>
      <w:tr w:rsidR="000D3F7A" w:rsidRPr="00450510" w:rsidTr="00450510">
        <w:trPr>
          <w:trHeight w:val="340"/>
        </w:trPr>
        <w:tc>
          <w:tcPr>
            <w:tcW w:w="383" w:type="pct"/>
            <w:vMerge/>
            <w:vAlign w:val="center"/>
            <w:hideMark/>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bCs/>
                <w:sz w:val="18"/>
                <w:szCs w:val="18"/>
              </w:rPr>
            </w:pPr>
            <w:r w:rsidRPr="00450510">
              <w:rPr>
                <w:rFonts w:ascii="Times New Roman" w:hAnsi="Times New Roman" w:cs="Times New Roman"/>
                <w:bCs/>
                <w:sz w:val="18"/>
                <w:szCs w:val="18"/>
              </w:rPr>
              <w:t>小计</w:t>
            </w:r>
          </w:p>
        </w:tc>
        <w:tc>
          <w:tcPr>
            <w:tcW w:w="833"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676"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r w:rsidRPr="00450510">
              <w:rPr>
                <w:rFonts w:ascii="Times New Roman" w:eastAsia="Times New Roman" w:hAnsi="Times New Roman" w:cs="Times New Roman"/>
                <w:sz w:val="18"/>
                <w:szCs w:val="18"/>
              </w:rPr>
              <w:t>67200</w:t>
            </w:r>
          </w:p>
        </w:tc>
        <w:tc>
          <w:tcPr>
            <w:tcW w:w="802"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c>
          <w:tcPr>
            <w:tcW w:w="1088" w:type="pct"/>
            <w:vAlign w:val="center"/>
            <w:hideMark/>
          </w:tcPr>
          <w:p w:rsidR="000D3F7A" w:rsidRPr="00450510" w:rsidRDefault="000D3F7A" w:rsidP="00450510">
            <w:pPr>
              <w:pStyle w:val="TableParagraph"/>
              <w:rPr>
                <w:rFonts w:ascii="Times New Roman" w:eastAsia="Times New Roman" w:hAnsi="Times New Roman" w:cs="Times New Roman"/>
                <w:sz w:val="18"/>
                <w:szCs w:val="18"/>
              </w:rPr>
            </w:pPr>
          </w:p>
        </w:tc>
      </w:tr>
      <w:tr w:rsidR="000D3F7A" w:rsidRPr="00450510" w:rsidTr="00450510">
        <w:trPr>
          <w:trHeight w:val="340"/>
        </w:trPr>
        <w:tc>
          <w:tcPr>
            <w:tcW w:w="5000" w:type="pct"/>
            <w:gridSpan w:val="7"/>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三、环境保护仪器设备及安装（无、委托地方监测站实施环境监测）</w:t>
            </w:r>
          </w:p>
        </w:tc>
      </w:tr>
      <w:tr w:rsidR="000D3F7A" w:rsidRPr="00450510" w:rsidTr="00450510">
        <w:trPr>
          <w:trHeight w:val="340"/>
        </w:trPr>
        <w:tc>
          <w:tcPr>
            <w:tcW w:w="5000" w:type="pct"/>
            <w:gridSpan w:val="7"/>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四、环境临时保护措施</w:t>
            </w: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w:t>
            </w:r>
          </w:p>
        </w:tc>
        <w:tc>
          <w:tcPr>
            <w:tcW w:w="64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废污水处理设施</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中和沉淀池</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400 </w:t>
            </w:r>
            <w:r w:rsidRPr="00450510">
              <w:rPr>
                <w:rFonts w:ascii="Times New Roman" w:hAnsi="Times New Roman" w:cs="Times New Roman"/>
                <w:sz w:val="18"/>
                <w:szCs w:val="18"/>
              </w:rPr>
              <w:t>元</w:t>
            </w:r>
            <w:r w:rsidRPr="00450510">
              <w:rPr>
                <w:rFonts w:ascii="Times New Roman" w:hAnsi="Times New Roman" w:cs="Times New Roman"/>
                <w:sz w:val="18"/>
                <w:szCs w:val="18"/>
              </w:rPr>
              <w:t>/m³</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6400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HRT=3h</w:t>
            </w:r>
            <w:r w:rsidRPr="00450510">
              <w:rPr>
                <w:rFonts w:ascii="Times New Roman" w:hAnsi="Times New Roman" w:cs="Times New Roman"/>
                <w:sz w:val="18"/>
                <w:szCs w:val="18"/>
                <w:lang w:eastAsia="zh-CN"/>
              </w:rPr>
              <w:t>，沉淀池土建投资占</w:t>
            </w:r>
            <w:r w:rsidRPr="00450510">
              <w:rPr>
                <w:rFonts w:ascii="Times New Roman" w:hAnsi="Times New Roman" w:cs="Times New Roman"/>
                <w:sz w:val="18"/>
                <w:szCs w:val="18"/>
                <w:lang w:eastAsia="zh-CN"/>
              </w:rPr>
              <w:t xml:space="preserve"> 50%</w:t>
            </w:r>
            <w:r w:rsidRPr="00450510">
              <w:rPr>
                <w:rFonts w:ascii="Times New Roman" w:hAnsi="Times New Roman" w:cs="Times New Roman"/>
                <w:sz w:val="18"/>
                <w:szCs w:val="18"/>
                <w:lang w:eastAsia="zh-CN"/>
              </w:rPr>
              <w:t>计</w:t>
            </w:r>
          </w:p>
        </w:tc>
      </w:tr>
      <w:tr w:rsidR="000D3F7A" w:rsidRPr="00450510" w:rsidTr="00450510">
        <w:trPr>
          <w:trHeight w:val="340"/>
        </w:trPr>
        <w:tc>
          <w:tcPr>
            <w:tcW w:w="383" w:type="pct"/>
            <w:vAlign w:val="center"/>
          </w:tcPr>
          <w:p w:rsidR="000D3F7A" w:rsidRPr="00450510" w:rsidRDefault="000D3F7A" w:rsidP="00450510">
            <w:pPr>
              <w:autoSpaceDE w:val="0"/>
              <w:autoSpaceDN w:val="0"/>
              <w:spacing w:line="240" w:lineRule="auto"/>
              <w:ind w:firstLine="360"/>
              <w:jc w:val="center"/>
              <w:rPr>
                <w:sz w:val="18"/>
                <w:szCs w:val="18"/>
              </w:rPr>
            </w:pPr>
          </w:p>
        </w:tc>
        <w:tc>
          <w:tcPr>
            <w:tcW w:w="642" w:type="pct"/>
            <w:vAlign w:val="center"/>
          </w:tcPr>
          <w:p w:rsidR="000D3F7A" w:rsidRPr="00450510" w:rsidRDefault="000D3F7A" w:rsidP="00450510">
            <w:pPr>
              <w:autoSpaceDE w:val="0"/>
              <w:autoSpaceDN w:val="0"/>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沉淀隔离池</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400 </w:t>
            </w:r>
            <w:r w:rsidRPr="00450510">
              <w:rPr>
                <w:rFonts w:ascii="Times New Roman" w:hAnsi="Times New Roman" w:cs="Times New Roman"/>
                <w:sz w:val="18"/>
                <w:szCs w:val="18"/>
              </w:rPr>
              <w:t>元</w:t>
            </w:r>
            <w:r w:rsidRPr="00450510">
              <w:rPr>
                <w:rFonts w:ascii="Times New Roman" w:hAnsi="Times New Roman" w:cs="Times New Roman"/>
                <w:sz w:val="18"/>
                <w:szCs w:val="18"/>
              </w:rPr>
              <w:t>/m³</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1600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pacing w:val="-1"/>
                <w:sz w:val="18"/>
                <w:szCs w:val="18"/>
                <w:lang w:eastAsia="zh-CN"/>
              </w:rPr>
              <w:t>HRT=12h</w:t>
            </w:r>
            <w:r w:rsidRPr="00450510">
              <w:rPr>
                <w:rFonts w:ascii="Times New Roman" w:hAnsi="Times New Roman" w:cs="Times New Roman"/>
                <w:spacing w:val="-1"/>
                <w:sz w:val="18"/>
                <w:szCs w:val="18"/>
                <w:lang w:eastAsia="zh-CN"/>
              </w:rPr>
              <w:t>，沉淀池</w:t>
            </w:r>
            <w:r w:rsidRPr="00450510">
              <w:rPr>
                <w:rFonts w:ascii="Times New Roman" w:hAnsi="Times New Roman" w:cs="Times New Roman"/>
                <w:spacing w:val="-9"/>
                <w:sz w:val="18"/>
                <w:szCs w:val="18"/>
                <w:lang w:eastAsia="zh-CN"/>
              </w:rPr>
              <w:t>土建投资占</w:t>
            </w:r>
            <w:r w:rsidRPr="00450510">
              <w:rPr>
                <w:rFonts w:ascii="Times New Roman" w:hAnsi="Times New Roman" w:cs="Times New Roman"/>
                <w:spacing w:val="-9"/>
                <w:sz w:val="18"/>
                <w:szCs w:val="18"/>
                <w:lang w:eastAsia="zh-CN"/>
              </w:rPr>
              <w:t xml:space="preserve"> </w:t>
            </w:r>
            <w:r w:rsidRPr="00450510">
              <w:rPr>
                <w:rFonts w:ascii="Times New Roman" w:hAnsi="Times New Roman" w:cs="Times New Roman"/>
                <w:sz w:val="18"/>
                <w:szCs w:val="18"/>
                <w:lang w:eastAsia="zh-CN"/>
              </w:rPr>
              <w:t>80%</w:t>
            </w:r>
            <w:r w:rsidRPr="00450510">
              <w:rPr>
                <w:rFonts w:ascii="Times New Roman" w:hAnsi="Times New Roman" w:cs="Times New Roman"/>
                <w:sz w:val="18"/>
                <w:szCs w:val="18"/>
                <w:lang w:eastAsia="zh-CN"/>
              </w:rPr>
              <w:t>计</w:t>
            </w:r>
          </w:p>
        </w:tc>
      </w:tr>
      <w:tr w:rsidR="000D3F7A" w:rsidRPr="00450510" w:rsidTr="00450510">
        <w:trPr>
          <w:trHeight w:val="340"/>
        </w:trPr>
        <w:tc>
          <w:tcPr>
            <w:tcW w:w="383" w:type="pct"/>
            <w:vAlign w:val="center"/>
          </w:tcPr>
          <w:p w:rsidR="000D3F7A" w:rsidRPr="00450510" w:rsidRDefault="000D3F7A" w:rsidP="00450510">
            <w:pPr>
              <w:autoSpaceDE w:val="0"/>
              <w:autoSpaceDN w:val="0"/>
              <w:spacing w:line="240" w:lineRule="auto"/>
              <w:ind w:firstLine="360"/>
              <w:jc w:val="center"/>
              <w:rPr>
                <w:sz w:val="18"/>
                <w:szCs w:val="18"/>
              </w:rPr>
            </w:pPr>
          </w:p>
        </w:tc>
        <w:tc>
          <w:tcPr>
            <w:tcW w:w="642" w:type="pct"/>
            <w:vAlign w:val="center"/>
          </w:tcPr>
          <w:p w:rsidR="000D3F7A" w:rsidRPr="00450510" w:rsidRDefault="000D3F7A" w:rsidP="00450510">
            <w:pPr>
              <w:autoSpaceDE w:val="0"/>
              <w:autoSpaceDN w:val="0"/>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化粪池（规模</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12m³/d</w:t>
            </w:r>
            <w:r w:rsidRPr="00450510">
              <w:rPr>
                <w:rFonts w:ascii="Times New Roman" w:hAnsi="Times New Roman" w:cs="Times New Roman"/>
                <w:sz w:val="18"/>
                <w:szCs w:val="18"/>
              </w:rPr>
              <w:t>）</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2500 </w:t>
            </w:r>
            <w:r w:rsidRPr="00450510">
              <w:rPr>
                <w:rFonts w:ascii="Times New Roman" w:hAnsi="Times New Roman" w:cs="Times New Roman"/>
                <w:sz w:val="18"/>
                <w:szCs w:val="18"/>
              </w:rPr>
              <w:t>元</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/d.m³</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12500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12m³</w:t>
            </w:r>
            <w:r w:rsidRPr="00450510">
              <w:rPr>
                <w:rFonts w:ascii="Times New Roman" w:hAnsi="Times New Roman" w:cs="Times New Roman"/>
                <w:sz w:val="18"/>
                <w:szCs w:val="18"/>
                <w:lang w:eastAsia="zh-CN"/>
              </w:rPr>
              <w:t>一座，处理生活污水和粪便</w:t>
            </w: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噪声防治</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隔声窗</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100 </w:t>
            </w:r>
            <w:r w:rsidRPr="00450510">
              <w:rPr>
                <w:rFonts w:ascii="Times New Roman" w:hAnsi="Times New Roman" w:cs="Times New Roman"/>
                <w:sz w:val="18"/>
                <w:szCs w:val="18"/>
              </w:rPr>
              <w:t>元</w:t>
            </w:r>
            <w:r w:rsidRPr="00450510">
              <w:rPr>
                <w:rFonts w:ascii="Times New Roman" w:hAnsi="Times New Roman" w:cs="Times New Roman"/>
                <w:sz w:val="18"/>
                <w:szCs w:val="18"/>
              </w:rPr>
              <w:t>/m²</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施工人员配耳塞及其他措施</w:t>
            </w: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固体废物处理</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生活垃圾处理</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120 </w:t>
            </w:r>
            <w:r w:rsidRPr="00450510">
              <w:rPr>
                <w:rFonts w:ascii="Times New Roman" w:hAnsi="Times New Roman" w:cs="Times New Roman"/>
                <w:sz w:val="18"/>
                <w:szCs w:val="18"/>
              </w:rPr>
              <w:t>元</w:t>
            </w:r>
            <w:r w:rsidRPr="00450510">
              <w:rPr>
                <w:rFonts w:ascii="Times New Roman" w:hAnsi="Times New Roman" w:cs="Times New Roman"/>
                <w:sz w:val="18"/>
                <w:szCs w:val="18"/>
              </w:rPr>
              <w:t>/t</w:t>
            </w:r>
          </w:p>
        </w:tc>
        <w:tc>
          <w:tcPr>
            <w:tcW w:w="577"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48000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4</w:t>
            </w:r>
          </w:p>
        </w:tc>
        <w:tc>
          <w:tcPr>
            <w:tcW w:w="64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空气质量控制</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洒水车租用</w:t>
            </w: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50000/</w:t>
            </w:r>
            <w:r w:rsidRPr="00450510">
              <w:rPr>
                <w:rFonts w:ascii="Times New Roman" w:hAnsi="Times New Roman" w:cs="Times New Roman"/>
                <w:sz w:val="18"/>
                <w:szCs w:val="18"/>
              </w:rPr>
              <w:t>辆</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autoSpaceDE w:val="0"/>
              <w:autoSpaceDN w:val="0"/>
              <w:spacing w:line="240" w:lineRule="auto"/>
              <w:ind w:firstLine="360"/>
              <w:jc w:val="center"/>
              <w:rPr>
                <w:sz w:val="18"/>
                <w:szCs w:val="18"/>
              </w:rPr>
            </w:pPr>
          </w:p>
        </w:tc>
        <w:tc>
          <w:tcPr>
            <w:tcW w:w="642" w:type="pct"/>
            <w:vAlign w:val="center"/>
          </w:tcPr>
          <w:p w:rsidR="000D3F7A" w:rsidRPr="00450510" w:rsidRDefault="000D3F7A" w:rsidP="00450510">
            <w:pPr>
              <w:autoSpaceDE w:val="0"/>
              <w:autoSpaceDN w:val="0"/>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施工区一次性</w:t>
            </w:r>
          </w:p>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清理消毒</w:t>
            </w:r>
          </w:p>
        </w:tc>
        <w:tc>
          <w:tcPr>
            <w:tcW w:w="676" w:type="pct"/>
            <w:vAlign w:val="center"/>
          </w:tcPr>
          <w:p w:rsidR="000D3F7A" w:rsidRPr="00450510" w:rsidRDefault="000D3F7A" w:rsidP="00450510">
            <w:pPr>
              <w:pStyle w:val="TableParagraph"/>
              <w:rPr>
                <w:rFonts w:ascii="Times New Roman" w:hAnsi="Times New Roman" w:cs="Times New Roman"/>
                <w:sz w:val="18"/>
                <w:szCs w:val="18"/>
                <w:lang w:eastAsia="zh-CN"/>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20000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人群健康</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防护</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卫生防疫（灭</w:t>
            </w:r>
          </w:p>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鼠、灭蝇）</w:t>
            </w:r>
          </w:p>
        </w:tc>
        <w:tc>
          <w:tcPr>
            <w:tcW w:w="676" w:type="pct"/>
            <w:vAlign w:val="center"/>
          </w:tcPr>
          <w:p w:rsidR="000D3F7A" w:rsidRPr="00450510" w:rsidRDefault="000D3F7A" w:rsidP="00450510">
            <w:pPr>
              <w:pStyle w:val="TableParagraph"/>
              <w:rPr>
                <w:rFonts w:ascii="Times New Roman" w:hAnsi="Times New Roman" w:cs="Times New Roman"/>
                <w:sz w:val="18"/>
                <w:szCs w:val="18"/>
                <w:lang w:eastAsia="zh-CN"/>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15000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bCs/>
                <w:sz w:val="18"/>
                <w:szCs w:val="18"/>
              </w:rPr>
            </w:pPr>
            <w:r w:rsidRPr="00450510">
              <w:rPr>
                <w:rFonts w:ascii="Times New Roman" w:hAnsi="Times New Roman" w:cs="Times New Roman"/>
                <w:bCs/>
                <w:sz w:val="18"/>
                <w:szCs w:val="18"/>
              </w:rPr>
              <w:t>小计</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bCs/>
                <w:sz w:val="18"/>
                <w:szCs w:val="18"/>
              </w:rPr>
            </w:pPr>
            <w:r w:rsidRPr="00450510">
              <w:rPr>
                <w:rFonts w:ascii="Times New Roman" w:hAnsi="Times New Roman" w:cs="Times New Roman"/>
                <w:bCs/>
                <w:sz w:val="18"/>
                <w:szCs w:val="18"/>
              </w:rPr>
              <w:t>163500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5000" w:type="pct"/>
            <w:gridSpan w:val="7"/>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五、环境保护独立费用</w:t>
            </w: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w:t>
            </w:r>
          </w:p>
        </w:tc>
        <w:tc>
          <w:tcPr>
            <w:tcW w:w="64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环境保护建设管理费</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管理人员经常费</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autoSpaceDE w:val="0"/>
              <w:autoSpaceDN w:val="0"/>
              <w:spacing w:line="240" w:lineRule="auto"/>
              <w:ind w:firstLine="360"/>
              <w:jc w:val="center"/>
              <w:rPr>
                <w:sz w:val="18"/>
                <w:szCs w:val="18"/>
              </w:rPr>
            </w:pPr>
          </w:p>
        </w:tc>
        <w:tc>
          <w:tcPr>
            <w:tcW w:w="642" w:type="pct"/>
            <w:vAlign w:val="center"/>
          </w:tcPr>
          <w:p w:rsidR="000D3F7A" w:rsidRPr="00450510" w:rsidRDefault="000D3F7A" w:rsidP="00450510">
            <w:pPr>
              <w:autoSpaceDE w:val="0"/>
              <w:autoSpaceDN w:val="0"/>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环境保护竣工验收费</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150000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autoSpaceDE w:val="0"/>
              <w:autoSpaceDN w:val="0"/>
              <w:spacing w:line="240" w:lineRule="auto"/>
              <w:ind w:firstLine="360"/>
              <w:jc w:val="center"/>
              <w:rPr>
                <w:sz w:val="18"/>
                <w:szCs w:val="18"/>
              </w:rPr>
            </w:pPr>
          </w:p>
        </w:tc>
        <w:tc>
          <w:tcPr>
            <w:tcW w:w="642" w:type="pct"/>
            <w:vAlign w:val="center"/>
          </w:tcPr>
          <w:p w:rsidR="000D3F7A" w:rsidRPr="00450510" w:rsidRDefault="000D3F7A" w:rsidP="00450510">
            <w:pPr>
              <w:autoSpaceDE w:val="0"/>
              <w:autoSpaceDN w:val="0"/>
              <w:spacing w:line="240" w:lineRule="auto"/>
              <w:ind w:firstLine="360"/>
              <w:jc w:val="center"/>
              <w:rPr>
                <w:sz w:val="18"/>
                <w:szCs w:val="18"/>
              </w:rPr>
            </w:pPr>
          </w:p>
        </w:tc>
        <w:tc>
          <w:tcPr>
            <w:tcW w:w="833" w:type="pct"/>
            <w:vAlign w:val="center"/>
            <w:hideMark/>
          </w:tcPr>
          <w:p w:rsidR="000D3F7A" w:rsidRPr="00450510" w:rsidRDefault="000D3F7A" w:rsidP="00450510">
            <w:pPr>
              <w:pStyle w:val="TableParagraph"/>
              <w:rPr>
                <w:rFonts w:ascii="Times New Roman" w:hAnsi="Times New Roman" w:cs="Times New Roman"/>
                <w:sz w:val="18"/>
                <w:szCs w:val="18"/>
                <w:lang w:eastAsia="zh-CN"/>
              </w:rPr>
            </w:pPr>
            <w:r w:rsidRPr="00450510">
              <w:rPr>
                <w:rFonts w:ascii="Times New Roman" w:hAnsi="Times New Roman" w:cs="Times New Roman"/>
                <w:sz w:val="18"/>
                <w:szCs w:val="18"/>
                <w:lang w:eastAsia="zh-CN"/>
              </w:rPr>
              <w:t>宣传教育及技术</w:t>
            </w:r>
            <w:r w:rsidRPr="00450510">
              <w:rPr>
                <w:rFonts w:ascii="Times New Roman" w:hAnsi="Times New Roman" w:cs="Times New Roman"/>
                <w:sz w:val="18"/>
                <w:szCs w:val="18"/>
                <w:lang w:eastAsia="zh-CN"/>
              </w:rPr>
              <w:lastRenderedPageBreak/>
              <w:t>培训费</w:t>
            </w:r>
          </w:p>
        </w:tc>
        <w:tc>
          <w:tcPr>
            <w:tcW w:w="676" w:type="pct"/>
            <w:vAlign w:val="center"/>
          </w:tcPr>
          <w:p w:rsidR="000D3F7A" w:rsidRPr="00450510" w:rsidRDefault="000D3F7A" w:rsidP="00450510">
            <w:pPr>
              <w:pStyle w:val="TableParagraph"/>
              <w:rPr>
                <w:rFonts w:ascii="Times New Roman" w:hAnsi="Times New Roman" w:cs="Times New Roman"/>
                <w:sz w:val="18"/>
                <w:szCs w:val="18"/>
                <w:lang w:eastAsia="zh-CN"/>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lastRenderedPageBreak/>
              <w:t>2</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环境监理</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费</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 xml:space="preserve">40000 </w:t>
            </w:r>
            <w:r w:rsidRPr="00450510">
              <w:rPr>
                <w:rFonts w:ascii="Times New Roman" w:hAnsi="Times New Roman" w:cs="Times New Roman"/>
                <w:sz w:val="18"/>
                <w:szCs w:val="18"/>
              </w:rPr>
              <w:t>元</w:t>
            </w:r>
            <w:r w:rsidRPr="00450510">
              <w:rPr>
                <w:rFonts w:ascii="Times New Roman" w:hAnsi="Times New Roman" w:cs="Times New Roman"/>
                <w:sz w:val="18"/>
                <w:szCs w:val="18"/>
              </w:rPr>
              <w:t>/</w:t>
            </w:r>
            <w:r w:rsidRPr="00450510">
              <w:rPr>
                <w:rFonts w:ascii="Times New Roman" w:hAnsi="Times New Roman" w:cs="Times New Roman"/>
                <w:sz w:val="18"/>
                <w:szCs w:val="18"/>
              </w:rPr>
              <w:t>人</w:t>
            </w:r>
            <w:r w:rsidRPr="00450510">
              <w:rPr>
                <w:rFonts w:ascii="Times New Roman" w:hAnsi="Times New Roman" w:cs="Times New Roman"/>
                <w:sz w:val="18"/>
                <w:szCs w:val="18"/>
              </w:rPr>
              <w:t>.</w:t>
            </w:r>
            <w:r w:rsidRPr="00450510">
              <w:rPr>
                <w:rFonts w:ascii="Times New Roman" w:hAnsi="Times New Roman" w:cs="Times New Roman"/>
                <w:sz w:val="18"/>
                <w:szCs w:val="18"/>
              </w:rPr>
              <w:t>年</w:t>
            </w: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120000</w:t>
            </w:r>
          </w:p>
        </w:tc>
        <w:tc>
          <w:tcPr>
            <w:tcW w:w="80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3</w:t>
            </w: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环境保护科研咨询费</w:t>
            </w:r>
          </w:p>
        </w:tc>
        <w:tc>
          <w:tcPr>
            <w:tcW w:w="833"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环境影响评价费</w:t>
            </w: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150000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施工期</w:t>
            </w: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小计</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500000</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基本预备</w:t>
            </w:r>
          </w:p>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费</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45405</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tcPr>
          <w:p w:rsidR="000D3F7A" w:rsidRPr="00450510" w:rsidRDefault="000D3F7A" w:rsidP="00450510">
            <w:pPr>
              <w:pStyle w:val="TableParagraph"/>
              <w:rPr>
                <w:rFonts w:ascii="Times New Roman" w:hAnsi="Times New Roman" w:cs="Times New Roman"/>
                <w:sz w:val="18"/>
                <w:szCs w:val="18"/>
              </w:rPr>
            </w:pPr>
          </w:p>
        </w:tc>
      </w:tr>
      <w:tr w:rsidR="000D3F7A" w:rsidRPr="00450510" w:rsidTr="00450510">
        <w:trPr>
          <w:trHeight w:val="340"/>
        </w:trPr>
        <w:tc>
          <w:tcPr>
            <w:tcW w:w="383" w:type="pct"/>
            <w:vAlign w:val="center"/>
          </w:tcPr>
          <w:p w:rsidR="000D3F7A" w:rsidRPr="00450510" w:rsidRDefault="000D3F7A" w:rsidP="00450510">
            <w:pPr>
              <w:pStyle w:val="TableParagraph"/>
              <w:rPr>
                <w:rFonts w:ascii="Times New Roman" w:hAnsi="Times New Roman" w:cs="Times New Roman"/>
                <w:sz w:val="18"/>
                <w:szCs w:val="18"/>
              </w:rPr>
            </w:pPr>
          </w:p>
        </w:tc>
        <w:tc>
          <w:tcPr>
            <w:tcW w:w="642"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总计</w:t>
            </w:r>
          </w:p>
        </w:tc>
        <w:tc>
          <w:tcPr>
            <w:tcW w:w="833" w:type="pct"/>
            <w:vAlign w:val="center"/>
          </w:tcPr>
          <w:p w:rsidR="000D3F7A" w:rsidRPr="00450510" w:rsidRDefault="000D3F7A" w:rsidP="00450510">
            <w:pPr>
              <w:pStyle w:val="TableParagraph"/>
              <w:rPr>
                <w:rFonts w:ascii="Times New Roman" w:hAnsi="Times New Roman" w:cs="Times New Roman"/>
                <w:sz w:val="18"/>
                <w:szCs w:val="18"/>
              </w:rPr>
            </w:pPr>
          </w:p>
        </w:tc>
        <w:tc>
          <w:tcPr>
            <w:tcW w:w="676" w:type="pct"/>
            <w:vAlign w:val="center"/>
          </w:tcPr>
          <w:p w:rsidR="000D3F7A" w:rsidRPr="00450510" w:rsidRDefault="000D3F7A" w:rsidP="00450510">
            <w:pPr>
              <w:pStyle w:val="TableParagraph"/>
              <w:rPr>
                <w:rFonts w:ascii="Times New Roman" w:hAnsi="Times New Roman" w:cs="Times New Roman"/>
                <w:sz w:val="18"/>
                <w:szCs w:val="18"/>
              </w:rPr>
            </w:pPr>
          </w:p>
        </w:tc>
        <w:tc>
          <w:tcPr>
            <w:tcW w:w="577" w:type="pct"/>
            <w:vAlign w:val="center"/>
            <w:hideMark/>
          </w:tcPr>
          <w:p w:rsidR="000D3F7A" w:rsidRPr="00450510" w:rsidRDefault="000D3F7A" w:rsidP="00450510">
            <w:pPr>
              <w:pStyle w:val="TableParagraph"/>
              <w:rPr>
                <w:rFonts w:ascii="Times New Roman" w:hAnsi="Times New Roman" w:cs="Times New Roman"/>
                <w:sz w:val="18"/>
                <w:szCs w:val="18"/>
              </w:rPr>
            </w:pPr>
            <w:r w:rsidRPr="00450510">
              <w:rPr>
                <w:rFonts w:ascii="Times New Roman" w:hAnsi="Times New Roman" w:cs="Times New Roman"/>
                <w:sz w:val="18"/>
                <w:szCs w:val="18"/>
              </w:rPr>
              <w:t>953505</w:t>
            </w:r>
          </w:p>
        </w:tc>
        <w:tc>
          <w:tcPr>
            <w:tcW w:w="802" w:type="pct"/>
            <w:vAlign w:val="center"/>
          </w:tcPr>
          <w:p w:rsidR="000D3F7A" w:rsidRPr="00450510" w:rsidRDefault="000D3F7A" w:rsidP="00450510">
            <w:pPr>
              <w:pStyle w:val="TableParagraph"/>
              <w:rPr>
                <w:rFonts w:ascii="Times New Roman" w:hAnsi="Times New Roman" w:cs="Times New Roman"/>
                <w:sz w:val="18"/>
                <w:szCs w:val="18"/>
              </w:rPr>
            </w:pPr>
          </w:p>
        </w:tc>
        <w:tc>
          <w:tcPr>
            <w:tcW w:w="1088" w:type="pct"/>
            <w:vAlign w:val="center"/>
            <w:hideMark/>
          </w:tcPr>
          <w:p w:rsidR="000D3F7A" w:rsidRPr="00450510" w:rsidRDefault="000D3F7A" w:rsidP="00450510">
            <w:pPr>
              <w:pStyle w:val="TableParagraph"/>
              <w:rPr>
                <w:rFonts w:ascii="Times New Roman" w:hAnsi="Times New Roman" w:cs="Times New Roman"/>
                <w:sz w:val="18"/>
                <w:szCs w:val="18"/>
              </w:rPr>
            </w:pPr>
          </w:p>
        </w:tc>
      </w:tr>
    </w:tbl>
    <w:p w:rsidR="006175A6" w:rsidRPr="000D3F7A" w:rsidRDefault="00A524F9" w:rsidP="00A524F9">
      <w:pPr>
        <w:pStyle w:val="a3"/>
      </w:pPr>
      <w:bookmarkStart w:id="108" w:name="_Ref80130568"/>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97427">
        <w:rPr>
          <w:noProof/>
        </w:rPr>
        <w:t>10.1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97427">
        <w:rPr>
          <w:noProof/>
        </w:rPr>
        <w:t>2</w:t>
      </w:r>
      <w:r>
        <w:fldChar w:fldCharType="end"/>
      </w:r>
      <w:bookmarkEnd w:id="108"/>
      <w:r>
        <w:rPr>
          <w:rFonts w:hint="eastAsia"/>
        </w:rPr>
        <w:t xml:space="preserve">  </w:t>
      </w:r>
      <w:r>
        <w:rPr>
          <w:rFonts w:hint="eastAsia"/>
        </w:rPr>
        <w:t>水土保持投资</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8"/>
        <w:gridCol w:w="2694"/>
        <w:gridCol w:w="910"/>
        <w:gridCol w:w="1356"/>
        <w:gridCol w:w="910"/>
        <w:gridCol w:w="910"/>
        <w:gridCol w:w="848"/>
      </w:tblGrid>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序号</w:t>
            </w:r>
          </w:p>
        </w:tc>
        <w:tc>
          <w:tcPr>
            <w:tcW w:w="1620"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工程或费用名称</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建安费</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林草工程费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设备费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独立费</w:t>
            </w:r>
          </w:p>
        </w:tc>
        <w:tc>
          <w:tcPr>
            <w:tcW w:w="511" w:type="pct"/>
            <w:vAlign w:val="center"/>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合计</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第一部分</w:t>
            </w:r>
            <w:r w:rsidRPr="00450510">
              <w:rPr>
                <w:rFonts w:ascii="Times New Roman" w:hAnsi="Times New Roman" w:cs="Times New Roman"/>
                <w:sz w:val="20"/>
                <w:szCs w:val="20"/>
              </w:rPr>
              <w:t xml:space="preserve"> </w:t>
            </w:r>
            <w:r w:rsidRPr="00450510">
              <w:rPr>
                <w:rFonts w:ascii="Times New Roman" w:hAnsi="Times New Roman" w:cs="Times New Roman"/>
                <w:sz w:val="20"/>
                <w:szCs w:val="20"/>
              </w:rPr>
              <w:t>工程措施</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697.84</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697.84</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一</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大坝防治区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0.49</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0.49</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二</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导流洞防治区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0.76</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0.76</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三</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输水工程区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7.07</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7.07</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四</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工程管理防治区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4.06</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4.06</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五</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施工场地防治区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21.56</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21.56</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六</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交通道路防治区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232.79</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232.79</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七</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料场防治区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156.47</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156.47</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八</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弃渣场防治区</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274.64</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274.64</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第二部分</w:t>
            </w:r>
            <w:r w:rsidRPr="00450510">
              <w:rPr>
                <w:rFonts w:ascii="Times New Roman" w:hAnsi="Times New Roman" w:cs="Times New Roman"/>
                <w:sz w:val="20"/>
                <w:szCs w:val="20"/>
              </w:rPr>
              <w:t xml:space="preserve"> </w:t>
            </w:r>
            <w:r w:rsidRPr="00450510">
              <w:rPr>
                <w:rFonts w:ascii="Times New Roman" w:hAnsi="Times New Roman" w:cs="Times New Roman"/>
                <w:sz w:val="20"/>
                <w:szCs w:val="20"/>
              </w:rPr>
              <w:t>植物措施</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65.84</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65.84</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一</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输水工程防治区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0.83</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0.83</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二</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工程管理防治区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0.92</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0.92</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三</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施工场地防治区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3.42</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3.42</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四</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交通道路防治区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41.86</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41.86</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五</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料场防治区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1"/>
                <w:szCs w:val="21"/>
              </w:rPr>
            </w:pPr>
            <w:r w:rsidRPr="00450510">
              <w:rPr>
                <w:rFonts w:ascii="Times New Roman" w:hAnsi="Times New Roman" w:cs="Times New Roman"/>
                <w:sz w:val="21"/>
                <w:szCs w:val="21"/>
              </w:rPr>
              <w:t>3.81</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3.81</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六</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弃渣场防治区</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14.99</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14.99</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第三部分</w:t>
            </w:r>
            <w:r w:rsidRPr="00450510">
              <w:rPr>
                <w:rFonts w:ascii="Times New Roman" w:hAnsi="Times New Roman" w:cs="Times New Roman"/>
                <w:sz w:val="20"/>
                <w:szCs w:val="20"/>
              </w:rPr>
              <w:t xml:space="preserve"> </w:t>
            </w:r>
            <w:r w:rsidRPr="00450510">
              <w:rPr>
                <w:rFonts w:ascii="Times New Roman" w:hAnsi="Times New Roman" w:cs="Times New Roman"/>
                <w:sz w:val="20"/>
                <w:szCs w:val="20"/>
              </w:rPr>
              <w:t>临时工程</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53.07</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53.07</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一</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临时防护工程</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37.80</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37.80</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二</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其他临时工程</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15.27</w:t>
            </w: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15.27</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第四部分</w:t>
            </w:r>
            <w:r w:rsidRPr="00450510">
              <w:rPr>
                <w:rFonts w:ascii="Times New Roman" w:hAnsi="Times New Roman" w:cs="Times New Roman"/>
                <w:sz w:val="20"/>
                <w:szCs w:val="20"/>
              </w:rPr>
              <w:t xml:space="preserve"> </w:t>
            </w:r>
            <w:r w:rsidRPr="00450510">
              <w:rPr>
                <w:rFonts w:ascii="Times New Roman" w:hAnsi="Times New Roman" w:cs="Times New Roman"/>
                <w:sz w:val="20"/>
                <w:szCs w:val="20"/>
              </w:rPr>
              <w:t>独立费用</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99.33</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99.33</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一</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建设管理费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16.33</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16.33</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二</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工程建设监理费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12.00</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12.00</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三</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科研勘测设计费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20.00</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20.00</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四</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水土保持监测费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31.00</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31.00</w:t>
            </w:r>
          </w:p>
        </w:tc>
      </w:tr>
      <w:tr w:rsidR="00A524F9" w:rsidRPr="00450510" w:rsidTr="007E0B4A">
        <w:trPr>
          <w:trHeight w:val="340"/>
        </w:trPr>
        <w:tc>
          <w:tcPr>
            <w:tcW w:w="414"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五</w:t>
            </w: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lang w:eastAsia="zh-CN"/>
              </w:rPr>
            </w:pPr>
            <w:r w:rsidRPr="00450510">
              <w:rPr>
                <w:rFonts w:ascii="Times New Roman" w:hAnsi="Times New Roman" w:cs="Times New Roman"/>
                <w:sz w:val="20"/>
                <w:szCs w:val="20"/>
                <w:lang w:eastAsia="zh-CN"/>
              </w:rPr>
              <w:t>水土保持设施竣工验收费</w:t>
            </w:r>
          </w:p>
        </w:tc>
        <w:tc>
          <w:tcPr>
            <w:tcW w:w="547" w:type="pct"/>
            <w:vAlign w:val="center"/>
          </w:tcPr>
          <w:p w:rsidR="00A524F9" w:rsidRPr="00450510" w:rsidRDefault="00A524F9" w:rsidP="007E0B4A">
            <w:pPr>
              <w:pStyle w:val="TableParagraph"/>
              <w:rPr>
                <w:rFonts w:ascii="Times New Roman" w:hAnsi="Times New Roman" w:cs="Times New Roman"/>
                <w:sz w:val="20"/>
                <w:szCs w:val="20"/>
                <w:lang w:eastAsia="zh-CN"/>
              </w:rPr>
            </w:pPr>
          </w:p>
        </w:tc>
        <w:tc>
          <w:tcPr>
            <w:tcW w:w="815" w:type="pct"/>
            <w:vAlign w:val="center"/>
          </w:tcPr>
          <w:p w:rsidR="00A524F9" w:rsidRPr="00450510" w:rsidRDefault="00A524F9" w:rsidP="007E0B4A">
            <w:pPr>
              <w:pStyle w:val="TableParagraph"/>
              <w:rPr>
                <w:rFonts w:ascii="Times New Roman" w:hAnsi="Times New Roman" w:cs="Times New Roman"/>
                <w:sz w:val="20"/>
                <w:szCs w:val="20"/>
                <w:lang w:eastAsia="zh-CN"/>
              </w:rPr>
            </w:pPr>
          </w:p>
        </w:tc>
        <w:tc>
          <w:tcPr>
            <w:tcW w:w="547" w:type="pct"/>
            <w:vAlign w:val="center"/>
          </w:tcPr>
          <w:p w:rsidR="00A524F9" w:rsidRPr="00450510" w:rsidRDefault="00A524F9" w:rsidP="007E0B4A">
            <w:pPr>
              <w:pStyle w:val="TableParagraph"/>
              <w:rPr>
                <w:rFonts w:ascii="Times New Roman" w:hAnsi="Times New Roman" w:cs="Times New Roman"/>
                <w:sz w:val="20"/>
                <w:szCs w:val="20"/>
                <w:lang w:eastAsia="zh-CN"/>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20.00</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20.00</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第一至第四部分合计</w:t>
            </w: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750.91</w:t>
            </w:r>
          </w:p>
        </w:tc>
        <w:tc>
          <w:tcPr>
            <w:tcW w:w="815"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65.84</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99.33</w:t>
            </w: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916.08</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预备费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27.48</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水土保持补偿费</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43.62</w:t>
            </w:r>
          </w:p>
        </w:tc>
      </w:tr>
      <w:tr w:rsidR="00A524F9" w:rsidRPr="00450510" w:rsidTr="007E0B4A">
        <w:trPr>
          <w:trHeight w:val="340"/>
        </w:trPr>
        <w:tc>
          <w:tcPr>
            <w:tcW w:w="414" w:type="pct"/>
            <w:vAlign w:val="center"/>
          </w:tcPr>
          <w:p w:rsidR="00A524F9" w:rsidRPr="00450510" w:rsidRDefault="00A524F9" w:rsidP="007E0B4A">
            <w:pPr>
              <w:pStyle w:val="TableParagraph"/>
              <w:rPr>
                <w:rFonts w:ascii="Times New Roman" w:hAnsi="Times New Roman" w:cs="Times New Roman"/>
                <w:sz w:val="20"/>
                <w:szCs w:val="20"/>
              </w:rPr>
            </w:pPr>
          </w:p>
        </w:tc>
        <w:tc>
          <w:tcPr>
            <w:tcW w:w="1620"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水土保持总投资</w:t>
            </w: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815"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47" w:type="pct"/>
            <w:vAlign w:val="center"/>
          </w:tcPr>
          <w:p w:rsidR="00A524F9" w:rsidRPr="00450510" w:rsidRDefault="00A524F9" w:rsidP="007E0B4A">
            <w:pPr>
              <w:pStyle w:val="TableParagraph"/>
              <w:rPr>
                <w:rFonts w:ascii="Times New Roman" w:hAnsi="Times New Roman" w:cs="Times New Roman"/>
                <w:sz w:val="20"/>
                <w:szCs w:val="20"/>
              </w:rPr>
            </w:pPr>
          </w:p>
        </w:tc>
        <w:tc>
          <w:tcPr>
            <w:tcW w:w="511" w:type="pct"/>
            <w:vAlign w:val="center"/>
            <w:hideMark/>
          </w:tcPr>
          <w:p w:rsidR="00A524F9" w:rsidRPr="00450510" w:rsidRDefault="00A524F9" w:rsidP="007E0B4A">
            <w:pPr>
              <w:pStyle w:val="TableParagraph"/>
              <w:rPr>
                <w:rFonts w:ascii="Times New Roman" w:hAnsi="Times New Roman" w:cs="Times New Roman"/>
                <w:sz w:val="20"/>
                <w:szCs w:val="20"/>
              </w:rPr>
            </w:pPr>
            <w:r w:rsidRPr="00450510">
              <w:rPr>
                <w:rFonts w:ascii="Times New Roman" w:hAnsi="Times New Roman" w:cs="Times New Roman"/>
                <w:sz w:val="20"/>
                <w:szCs w:val="20"/>
              </w:rPr>
              <w:t>987.19</w:t>
            </w:r>
          </w:p>
        </w:tc>
      </w:tr>
    </w:tbl>
    <w:p w:rsidR="006175A6" w:rsidRDefault="006175A6">
      <w:pPr>
        <w:ind w:firstLine="480"/>
      </w:pPr>
    </w:p>
    <w:p w:rsidR="006175A6" w:rsidRDefault="009B4BA7">
      <w:pPr>
        <w:pStyle w:val="2"/>
      </w:pPr>
      <w:bookmarkStart w:id="109" w:name="_Toc80170149"/>
      <w:r>
        <w:rPr>
          <w:rFonts w:hint="eastAsia"/>
        </w:rPr>
        <w:t>环境影响经济损益简要分析</w:t>
      </w:r>
      <w:bookmarkEnd w:id="109"/>
    </w:p>
    <w:p w:rsidR="006175A6" w:rsidRDefault="009B4BA7">
      <w:pPr>
        <w:ind w:firstLine="480"/>
      </w:pPr>
      <w:r>
        <w:rPr>
          <w:rFonts w:hint="eastAsia"/>
        </w:rPr>
        <w:t>本工程环境经济损益分析的目的是运用环境经济学原理，在考虑工程建设与生态环境、社会环境以及区域社会经济的持续、稳定、协调发展前提下，运用费用—效益分析方法对工程的环境效益和损失进行分析，从环保角度评判工程建设的合理性。环境影响经济损益分析的主要对象，就是工程对环境影响所产生的损失和效益。环境影响带来的经济损失，是由于环境资源的功能遭到了破坏所产生的；环境影响带来的经济效益，也往往表现在社会、生态、景观等方面，两者均难以用货币量化。因此，本项目对环境影响带来的经济损失和经济效益进行定性描述的方式进行分析。</w:t>
      </w:r>
    </w:p>
    <w:p w:rsidR="006175A6" w:rsidRDefault="009B4BA7">
      <w:pPr>
        <w:pStyle w:val="3"/>
      </w:pPr>
      <w:bookmarkStart w:id="110" w:name="_Ref80167648"/>
      <w:r>
        <w:rPr>
          <w:rFonts w:hint="eastAsia"/>
        </w:rPr>
        <w:t>效益</w:t>
      </w:r>
      <w:bookmarkEnd w:id="110"/>
    </w:p>
    <w:p w:rsidR="006175A6" w:rsidRDefault="009B4BA7">
      <w:pPr>
        <w:ind w:firstLine="480"/>
      </w:pPr>
      <w:r>
        <w:rPr>
          <w:rFonts w:hint="eastAsia"/>
        </w:rPr>
        <w:t>（</w:t>
      </w:r>
      <w:r>
        <w:rPr>
          <w:rFonts w:hint="eastAsia"/>
        </w:rPr>
        <w:t>1</w:t>
      </w:r>
      <w:r>
        <w:rPr>
          <w:rFonts w:hint="eastAsia"/>
        </w:rPr>
        <w:t>）社会经济效益</w:t>
      </w:r>
    </w:p>
    <w:p w:rsidR="006175A6" w:rsidRDefault="009B4BA7">
      <w:pPr>
        <w:ind w:firstLine="480"/>
      </w:pPr>
      <w:r>
        <w:rPr>
          <w:rFonts w:hint="eastAsia"/>
        </w:rPr>
        <w:t>工程建设运行，将发挥其供水、灌溉等功能，供区供水水质得以改善，灌区生产生活条件将得到有效改善，改善白帝城旅游景区严重缺水的现状，有利于工、农业增产增效，农民脱贫致富，对发挥区位优势、实现产业结构调整、优势资源开发都具有积极作用；对提高人民生活水平具有重大意义。</w:t>
      </w:r>
    </w:p>
    <w:p w:rsidR="006175A6" w:rsidRDefault="009B4BA7">
      <w:pPr>
        <w:ind w:firstLine="480"/>
      </w:pPr>
      <w:r>
        <w:rPr>
          <w:rFonts w:hint="eastAsia"/>
        </w:rPr>
        <w:t>（</w:t>
      </w:r>
      <w:r>
        <w:rPr>
          <w:rFonts w:hint="eastAsia"/>
        </w:rPr>
        <w:t>2</w:t>
      </w:r>
      <w:r>
        <w:rPr>
          <w:rFonts w:hint="eastAsia"/>
        </w:rPr>
        <w:t>）经济效益</w:t>
      </w:r>
    </w:p>
    <w:p w:rsidR="00FB52E5" w:rsidRDefault="00FB52E5">
      <w:pPr>
        <w:ind w:firstLine="480"/>
      </w:pPr>
      <w:r w:rsidRPr="00FB52E5">
        <w:rPr>
          <w:rFonts w:hint="eastAsia"/>
        </w:rPr>
        <w:t>根据本项目的用水规划，主要包括生活用水、农业灌溉、工商业用水、环境及公共用水和生态工业园用水，另外本项目对流域下游具有积极地防洪功能。其供水经济效益可分为两个部分，可定量经济效益和不可定量经济效益。</w:t>
      </w:r>
    </w:p>
    <w:p w:rsidR="00FB52E5" w:rsidRDefault="00FB52E5" w:rsidP="00FB52E5">
      <w:pPr>
        <w:ind w:firstLine="480"/>
      </w:pPr>
      <w:r>
        <w:rPr>
          <w:rFonts w:hint="eastAsia"/>
        </w:rPr>
        <w:t>农业灌溉用水效益：农业灌溉年供水量</w:t>
      </w:r>
      <w:r>
        <w:rPr>
          <w:rFonts w:hint="eastAsia"/>
        </w:rPr>
        <w:t xml:space="preserve"> 1346 </w:t>
      </w:r>
      <w:r>
        <w:rPr>
          <w:rFonts w:hint="eastAsia"/>
        </w:rPr>
        <w:t>万</w:t>
      </w:r>
      <w:r>
        <w:rPr>
          <w:rFonts w:hint="eastAsia"/>
        </w:rPr>
        <w:t xml:space="preserve"> m</w:t>
      </w:r>
      <w:r>
        <w:rPr>
          <w:rFonts w:hint="eastAsia"/>
        </w:rPr>
        <w:t>³，灌溉总面积</w:t>
      </w:r>
      <w:r>
        <w:rPr>
          <w:rFonts w:hint="eastAsia"/>
        </w:rPr>
        <w:t xml:space="preserve"> 27551 </w:t>
      </w:r>
      <w:r>
        <w:rPr>
          <w:rFonts w:hint="eastAsia"/>
        </w:rPr>
        <w:t>亩，按每年综合增收</w:t>
      </w:r>
      <w:r>
        <w:rPr>
          <w:rFonts w:hint="eastAsia"/>
        </w:rPr>
        <w:t xml:space="preserve"> 120 </w:t>
      </w:r>
      <w:r>
        <w:rPr>
          <w:rFonts w:hint="eastAsia"/>
        </w:rPr>
        <w:t>元</w:t>
      </w:r>
      <w:r>
        <w:rPr>
          <w:rFonts w:hint="eastAsia"/>
        </w:rPr>
        <w:t>/</w:t>
      </w:r>
      <w:r>
        <w:rPr>
          <w:rFonts w:hint="eastAsia"/>
        </w:rPr>
        <w:t>亩计算，农业灌溉用水效益</w:t>
      </w:r>
      <w:r>
        <w:rPr>
          <w:rFonts w:hint="eastAsia"/>
        </w:rPr>
        <w:t xml:space="preserve"> 330.61 </w:t>
      </w:r>
      <w:r>
        <w:rPr>
          <w:rFonts w:hint="eastAsia"/>
        </w:rPr>
        <w:t>万元。</w:t>
      </w:r>
    </w:p>
    <w:p w:rsidR="00FB52E5" w:rsidRDefault="00FB52E5" w:rsidP="00FB52E5">
      <w:pPr>
        <w:ind w:firstLine="480"/>
      </w:pPr>
      <w:r>
        <w:rPr>
          <w:rFonts w:hint="eastAsia"/>
        </w:rPr>
        <w:t>供水效益：到规划水平年</w:t>
      </w:r>
      <w:r>
        <w:rPr>
          <w:rFonts w:hint="eastAsia"/>
        </w:rPr>
        <w:t xml:space="preserve"> 2030 </w:t>
      </w:r>
      <w:r>
        <w:rPr>
          <w:rFonts w:hint="eastAsia"/>
        </w:rPr>
        <w:t>年工业增加</w:t>
      </w:r>
      <w:r>
        <w:rPr>
          <w:rFonts w:hint="eastAsia"/>
        </w:rPr>
        <w:t xml:space="preserve"> 25.2 </w:t>
      </w:r>
      <w:r>
        <w:rPr>
          <w:rFonts w:hint="eastAsia"/>
        </w:rPr>
        <w:t>万元，受水区工业需水量为</w:t>
      </w:r>
      <w:r>
        <w:rPr>
          <w:rFonts w:hint="eastAsia"/>
        </w:rPr>
        <w:t xml:space="preserve"> 569.4 </w:t>
      </w:r>
      <w:r>
        <w:rPr>
          <w:rFonts w:hint="eastAsia"/>
        </w:rPr>
        <w:t>万</w:t>
      </w:r>
      <w:r>
        <w:rPr>
          <w:rFonts w:hint="eastAsia"/>
        </w:rPr>
        <w:t xml:space="preserve"> m</w:t>
      </w:r>
      <w:r>
        <w:rPr>
          <w:rFonts w:hint="eastAsia"/>
        </w:rPr>
        <w:t>³，按照集镇工业产值万元单位耗水量</w:t>
      </w:r>
      <w:r>
        <w:rPr>
          <w:rFonts w:hint="eastAsia"/>
        </w:rPr>
        <w:t xml:space="preserve"> 45m</w:t>
      </w:r>
      <w:r>
        <w:rPr>
          <w:rFonts w:hint="eastAsia"/>
        </w:rPr>
        <w:t>³</w:t>
      </w:r>
      <w:r>
        <w:rPr>
          <w:rFonts w:hint="eastAsia"/>
        </w:rPr>
        <w:t>/</w:t>
      </w:r>
      <w:r>
        <w:rPr>
          <w:rFonts w:hint="eastAsia"/>
        </w:rPr>
        <w:t>万元，水循环次数</w:t>
      </w:r>
      <w:r>
        <w:rPr>
          <w:rFonts w:hint="eastAsia"/>
        </w:rPr>
        <w:t xml:space="preserve"> 5 </w:t>
      </w:r>
      <w:r>
        <w:rPr>
          <w:rFonts w:hint="eastAsia"/>
        </w:rPr>
        <w:t>次及水回收所占比率</w:t>
      </w:r>
      <w:r>
        <w:rPr>
          <w:rFonts w:hint="eastAsia"/>
        </w:rPr>
        <w:t xml:space="preserve"> 10%</w:t>
      </w:r>
      <w:r>
        <w:rPr>
          <w:rFonts w:hint="eastAsia"/>
        </w:rPr>
        <w:t>。经计算分析，工业用水效益为</w:t>
      </w:r>
      <w:r>
        <w:rPr>
          <w:rFonts w:hint="eastAsia"/>
        </w:rPr>
        <w:t>569.4</w:t>
      </w:r>
      <w:r>
        <w:rPr>
          <w:rFonts w:hint="eastAsia"/>
        </w:rPr>
        <w:t>×</w:t>
      </w:r>
      <w:r>
        <w:rPr>
          <w:rFonts w:hint="eastAsia"/>
        </w:rPr>
        <w:t>10000/45/5</w:t>
      </w:r>
      <w:r>
        <w:rPr>
          <w:rFonts w:hint="eastAsia"/>
        </w:rPr>
        <w:t>×</w:t>
      </w:r>
      <w:r>
        <w:rPr>
          <w:rFonts w:hint="eastAsia"/>
        </w:rPr>
        <w:t xml:space="preserve">10%=2530.67 </w:t>
      </w:r>
      <w:r>
        <w:rPr>
          <w:rFonts w:hint="eastAsia"/>
        </w:rPr>
        <w:t>万元。</w:t>
      </w:r>
    </w:p>
    <w:p w:rsidR="00FB52E5" w:rsidRDefault="00FB52E5">
      <w:pPr>
        <w:ind w:firstLine="480"/>
      </w:pPr>
      <w:r>
        <w:rPr>
          <w:rFonts w:hint="eastAsia"/>
        </w:rPr>
        <w:t>根据上述计算，可定量经济效益</w:t>
      </w:r>
      <w:r w:rsidRPr="00FB52E5">
        <w:rPr>
          <w:rFonts w:hint="eastAsia"/>
        </w:rPr>
        <w:t>为</w:t>
      </w:r>
      <w:r w:rsidRPr="00FB52E5">
        <w:rPr>
          <w:rFonts w:hint="eastAsia"/>
        </w:rPr>
        <w:t xml:space="preserve"> 2861.28 </w:t>
      </w:r>
      <w:r w:rsidRPr="00FB52E5">
        <w:rPr>
          <w:rFonts w:hint="eastAsia"/>
        </w:rPr>
        <w:t>万元。</w:t>
      </w:r>
    </w:p>
    <w:p w:rsidR="00FB52E5" w:rsidRDefault="00FB52E5">
      <w:pPr>
        <w:ind w:firstLine="480"/>
      </w:pPr>
      <w:r>
        <w:rPr>
          <w:rFonts w:hint="eastAsia"/>
        </w:rPr>
        <w:t>不可定量经济效益主要包括村镇居民用水、</w:t>
      </w:r>
      <w:r w:rsidRPr="00FB52E5">
        <w:rPr>
          <w:rFonts w:hint="eastAsia"/>
        </w:rPr>
        <w:t>公共建筑用水</w:t>
      </w:r>
      <w:r>
        <w:rPr>
          <w:rFonts w:hint="eastAsia"/>
        </w:rPr>
        <w:t>、工业用水等等。</w:t>
      </w:r>
    </w:p>
    <w:p w:rsidR="006175A6" w:rsidRDefault="009B4BA7">
      <w:pPr>
        <w:pStyle w:val="3"/>
      </w:pPr>
      <w:r>
        <w:rPr>
          <w:rFonts w:hint="eastAsia"/>
        </w:rPr>
        <w:lastRenderedPageBreak/>
        <w:t>损失</w:t>
      </w:r>
    </w:p>
    <w:p w:rsidR="006175A6" w:rsidRDefault="009B4BA7">
      <w:pPr>
        <w:ind w:firstLine="480"/>
      </w:pPr>
      <w:r>
        <w:rPr>
          <w:rFonts w:hint="eastAsia"/>
        </w:rPr>
        <w:t>以减免工程对环境的不利影响或恢复、补偿环境效益所采取的保护和补偿措施费用，作为反映工程环境影响损失大小的尺度。在工程建设所带来的各类损失中，可以货币化体现的主要包括工程征占地带来的移民安置补偿费、工程环保投资。</w:t>
      </w:r>
    </w:p>
    <w:p w:rsidR="006175A6" w:rsidRDefault="009B4BA7">
      <w:pPr>
        <w:ind w:firstLine="480"/>
      </w:pPr>
      <w:r>
        <w:rPr>
          <w:rFonts w:hint="eastAsia"/>
        </w:rPr>
        <w:t>（</w:t>
      </w:r>
      <w:r>
        <w:rPr>
          <w:rFonts w:hint="eastAsia"/>
        </w:rPr>
        <w:t>1</w:t>
      </w:r>
      <w:r>
        <w:rPr>
          <w:rFonts w:hint="eastAsia"/>
        </w:rPr>
        <w:t>）建设征地损失</w:t>
      </w:r>
    </w:p>
    <w:p w:rsidR="006175A6" w:rsidRPr="00FB52E5" w:rsidRDefault="009B4BA7">
      <w:pPr>
        <w:ind w:firstLine="480"/>
      </w:pPr>
      <w:r w:rsidRPr="00FB52E5">
        <w:rPr>
          <w:rFonts w:hint="eastAsia"/>
        </w:rPr>
        <w:t>根据初设报告，工程建设征地和移民安置补偿投资估算总额为</w:t>
      </w:r>
      <w:r w:rsidR="00FB52E5" w:rsidRPr="00FB52E5">
        <w:t>2021.13</w:t>
      </w:r>
      <w:r w:rsidRPr="00FB52E5">
        <w:rPr>
          <w:rFonts w:hint="eastAsia"/>
        </w:rPr>
        <w:t>万元。</w:t>
      </w:r>
    </w:p>
    <w:p w:rsidR="006175A6" w:rsidRPr="00FB52E5" w:rsidRDefault="009B4BA7">
      <w:pPr>
        <w:ind w:firstLine="480"/>
      </w:pPr>
      <w:r w:rsidRPr="00FB52E5">
        <w:rPr>
          <w:rFonts w:hint="eastAsia"/>
        </w:rPr>
        <w:t>（</w:t>
      </w:r>
      <w:r w:rsidRPr="00FB52E5">
        <w:rPr>
          <w:rFonts w:hint="eastAsia"/>
        </w:rPr>
        <w:t>2</w:t>
      </w:r>
      <w:r w:rsidRPr="00FB52E5">
        <w:rPr>
          <w:rFonts w:hint="eastAsia"/>
        </w:rPr>
        <w:t>）环保措施费用</w:t>
      </w:r>
    </w:p>
    <w:p w:rsidR="00CE2BA2" w:rsidRDefault="009B4BA7">
      <w:pPr>
        <w:ind w:firstLine="480"/>
      </w:pPr>
      <w:r w:rsidRPr="00FB52E5">
        <w:rPr>
          <w:rFonts w:hint="eastAsia"/>
        </w:rPr>
        <w:t>工程环保措施主要包括施工期及工程建成后水污染治理，施工期大气污染污染治理、固体废弃物处理、水库周边绿化带建设投资等在内，工程</w:t>
      </w:r>
      <w:r w:rsidR="00FB52E5" w:rsidRPr="00FB52E5">
        <w:rPr>
          <w:rFonts w:hint="eastAsia"/>
        </w:rPr>
        <w:t>基础</w:t>
      </w:r>
      <w:r w:rsidRPr="00FB52E5">
        <w:rPr>
          <w:rFonts w:hint="eastAsia"/>
        </w:rPr>
        <w:t>环保投资为</w:t>
      </w:r>
      <w:r w:rsidR="00FB52E5" w:rsidRPr="00FB52E5">
        <w:t>95.35</w:t>
      </w:r>
      <w:r w:rsidRPr="00FB52E5">
        <w:rPr>
          <w:rFonts w:hint="eastAsia"/>
        </w:rPr>
        <w:t>万元</w:t>
      </w:r>
      <w:r w:rsidR="00FB52E5" w:rsidRPr="00FB52E5">
        <w:rPr>
          <w:rFonts w:hint="eastAsia"/>
        </w:rPr>
        <w:t>，水土保持投资为</w:t>
      </w:r>
      <w:r w:rsidR="00FB52E5" w:rsidRPr="00FB52E5">
        <w:t>987.19</w:t>
      </w:r>
      <w:r w:rsidR="00CE2BA2">
        <w:rPr>
          <w:rFonts w:hint="eastAsia"/>
        </w:rPr>
        <w:t>。</w:t>
      </w:r>
    </w:p>
    <w:p w:rsidR="006175A6" w:rsidRDefault="00CE2BA2">
      <w:pPr>
        <w:ind w:firstLine="480"/>
      </w:pPr>
      <w:r>
        <w:rPr>
          <w:rFonts w:hint="eastAsia"/>
        </w:rPr>
        <w:t>项目</w:t>
      </w:r>
      <w:r w:rsidR="00FB52E5" w:rsidRPr="00FB52E5">
        <w:rPr>
          <w:rFonts w:hint="eastAsia"/>
        </w:rPr>
        <w:t>建设征地及环保水保部分总投资共计为</w:t>
      </w:r>
      <w:r w:rsidR="00FB52E5" w:rsidRPr="00FB52E5">
        <w:t>3103.67</w:t>
      </w:r>
      <w:r w:rsidR="00FB52E5" w:rsidRPr="00FB52E5">
        <w:rPr>
          <w:rFonts w:hint="eastAsia"/>
        </w:rPr>
        <w:t>万元</w:t>
      </w:r>
      <w:r w:rsidR="009B4BA7" w:rsidRPr="00FB52E5">
        <w:rPr>
          <w:rFonts w:hint="eastAsia"/>
        </w:rPr>
        <w:t>。</w:t>
      </w:r>
    </w:p>
    <w:p w:rsidR="006175A6" w:rsidRDefault="009B4BA7">
      <w:pPr>
        <w:pStyle w:val="3"/>
      </w:pPr>
      <w:r>
        <w:rPr>
          <w:rFonts w:hint="eastAsia"/>
        </w:rPr>
        <w:t>损益比较分析</w:t>
      </w:r>
    </w:p>
    <w:p w:rsidR="006175A6" w:rsidRDefault="009B4BA7">
      <w:pPr>
        <w:ind w:firstLine="480"/>
      </w:pPr>
      <w:r w:rsidRPr="00FB52E5">
        <w:rPr>
          <w:rFonts w:hint="eastAsia"/>
        </w:rPr>
        <w:t>综合</w:t>
      </w:r>
      <w:r w:rsidR="00FB52E5" w:rsidRPr="00FB52E5">
        <w:rPr>
          <w:rFonts w:hint="eastAsia"/>
        </w:rPr>
        <w:t>上述章节</w:t>
      </w:r>
      <w:r w:rsidRPr="00FB52E5">
        <w:rPr>
          <w:rFonts w:hint="eastAsia"/>
        </w:rPr>
        <w:t>分析不难看出，除了工程永久征地损失为不可逆环境经济损失，其它环保投资均为一次性或</w:t>
      </w:r>
      <w:r w:rsidR="00FB52E5">
        <w:rPr>
          <w:rFonts w:hint="eastAsia"/>
        </w:rPr>
        <w:t>短期的环境经济损失，工程社会效益和经济效益明显，工程灌溉、供水</w:t>
      </w:r>
      <w:r>
        <w:rPr>
          <w:rFonts w:hint="eastAsia"/>
        </w:rPr>
        <w:t>所带来的经济收益将是长期的，对提高当地人民生活水平、促进民族团结、维护政治稳定都具有重要意义。</w:t>
      </w:r>
    </w:p>
    <w:p w:rsidR="006175A6" w:rsidRDefault="009B4BA7">
      <w:pPr>
        <w:ind w:firstLine="480"/>
      </w:pPr>
      <w:r>
        <w:rPr>
          <w:rFonts w:hint="eastAsia"/>
        </w:rPr>
        <w:t>（</w:t>
      </w:r>
      <w:r>
        <w:rPr>
          <w:rFonts w:hint="eastAsia"/>
        </w:rPr>
        <w:t>2</w:t>
      </w:r>
      <w:r>
        <w:rPr>
          <w:rFonts w:hint="eastAsia"/>
        </w:rPr>
        <w:t>）定量计算</w:t>
      </w:r>
    </w:p>
    <w:p w:rsidR="006175A6" w:rsidRDefault="009B4BA7">
      <w:pPr>
        <w:ind w:firstLine="480"/>
      </w:pPr>
      <w:r>
        <w:rPr>
          <w:rFonts w:hint="eastAsia"/>
        </w:rPr>
        <w:t>工程带来的效</w:t>
      </w:r>
      <w:r w:rsidRPr="00CE2BA2">
        <w:rPr>
          <w:rFonts w:hint="eastAsia"/>
        </w:rPr>
        <w:t>益和损失量化计算见</w:t>
      </w:r>
      <w:r w:rsidR="00FB52E5" w:rsidRPr="00CE2BA2">
        <w:rPr>
          <w:rFonts w:hint="eastAsia"/>
        </w:rPr>
        <w:t>下表</w:t>
      </w:r>
      <w:r w:rsidRPr="00CE2BA2">
        <w:rPr>
          <w:rFonts w:hint="eastAsia"/>
        </w:rPr>
        <w:t>。工程建成后能够带来每年约</w:t>
      </w:r>
      <w:r w:rsidR="00FB52E5" w:rsidRPr="00CE2BA2">
        <w:t>2861.28</w:t>
      </w:r>
      <w:r w:rsidRPr="00CE2BA2">
        <w:rPr>
          <w:rFonts w:hint="eastAsia"/>
        </w:rPr>
        <w:t xml:space="preserve"> </w:t>
      </w:r>
      <w:r w:rsidRPr="00CE2BA2">
        <w:rPr>
          <w:rFonts w:hint="eastAsia"/>
        </w:rPr>
        <w:t>万元的直接和间接经济效益，运行</w:t>
      </w:r>
      <w:r w:rsidRPr="00CE2BA2">
        <w:rPr>
          <w:rFonts w:hint="eastAsia"/>
        </w:rPr>
        <w:t xml:space="preserve">1 </w:t>
      </w:r>
      <w:r w:rsidRPr="00CE2BA2">
        <w:rPr>
          <w:rFonts w:hint="eastAsia"/>
        </w:rPr>
        <w:t>年后，即可大于工程一次性损失。</w:t>
      </w:r>
    </w:p>
    <w:p w:rsidR="006175A6" w:rsidRDefault="009B4BA7">
      <w:pPr>
        <w:pStyle w:val="a3"/>
      </w:pPr>
      <w:r>
        <w:rPr>
          <w:rFonts w:hint="eastAsia"/>
        </w:rPr>
        <w:t>表</w:t>
      </w:r>
      <w:r>
        <w:rPr>
          <w:rFonts w:hint="eastAsia"/>
        </w:rPr>
        <w:t xml:space="preserve"> </w:t>
      </w:r>
      <w:r w:rsidR="00A524F9">
        <w:fldChar w:fldCharType="begin"/>
      </w:r>
      <w:r w:rsidR="00A524F9">
        <w:instrText xml:space="preserve"> </w:instrText>
      </w:r>
      <w:r w:rsidR="00A524F9">
        <w:rPr>
          <w:rFonts w:hint="eastAsia"/>
        </w:rPr>
        <w:instrText>STYLEREF 2 \s</w:instrText>
      </w:r>
      <w:r w:rsidR="00A524F9">
        <w:instrText xml:space="preserve"> </w:instrText>
      </w:r>
      <w:r w:rsidR="00A524F9">
        <w:fldChar w:fldCharType="separate"/>
      </w:r>
      <w:r w:rsidR="00E97427">
        <w:rPr>
          <w:noProof/>
        </w:rPr>
        <w:t>10.2</w:t>
      </w:r>
      <w:r w:rsidR="00A524F9">
        <w:fldChar w:fldCharType="end"/>
      </w:r>
      <w:r w:rsidR="00A524F9">
        <w:noBreakHyphen/>
      </w:r>
      <w:r w:rsidR="00A524F9">
        <w:fldChar w:fldCharType="begin"/>
      </w:r>
      <w:r w:rsidR="00A524F9">
        <w:instrText xml:space="preserve"> </w:instrText>
      </w:r>
      <w:r w:rsidR="00A524F9">
        <w:rPr>
          <w:rFonts w:hint="eastAsia"/>
        </w:rPr>
        <w:instrText xml:space="preserve">SEQ </w:instrText>
      </w:r>
      <w:r w:rsidR="00A524F9">
        <w:rPr>
          <w:rFonts w:hint="eastAsia"/>
        </w:rPr>
        <w:instrText>表</w:instrText>
      </w:r>
      <w:r w:rsidR="00A524F9">
        <w:rPr>
          <w:rFonts w:hint="eastAsia"/>
        </w:rPr>
        <w:instrText xml:space="preserve"> \* ARABIC \s 2</w:instrText>
      </w:r>
      <w:r w:rsidR="00A524F9">
        <w:instrText xml:space="preserve"> </w:instrText>
      </w:r>
      <w:r w:rsidR="00A524F9">
        <w:fldChar w:fldCharType="separate"/>
      </w:r>
      <w:r w:rsidR="00E97427">
        <w:rPr>
          <w:noProof/>
        </w:rPr>
        <w:t>1</w:t>
      </w:r>
      <w:r w:rsidR="00A524F9">
        <w:fldChar w:fldCharType="end"/>
      </w:r>
      <w:r>
        <w:rPr>
          <w:rFonts w:hint="eastAsia"/>
        </w:rPr>
        <w:t xml:space="preserve">  </w:t>
      </w:r>
      <w:r>
        <w:rPr>
          <w:rFonts w:hint="eastAsia"/>
        </w:rPr>
        <w:t>工程建设效益</w:t>
      </w:r>
      <w:r>
        <w:rPr>
          <w:rFonts w:hint="eastAsia"/>
        </w:rPr>
        <w:t>/</w:t>
      </w:r>
      <w:r>
        <w:rPr>
          <w:rFonts w:hint="eastAsia"/>
        </w:rPr>
        <w:t>损失计算表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889"/>
        <w:gridCol w:w="2661"/>
        <w:gridCol w:w="2037"/>
      </w:tblGrid>
      <w:tr w:rsidR="00FB52E5" w:rsidRPr="00CE2BA2" w:rsidTr="00CE2BA2">
        <w:trPr>
          <w:trHeight w:val="340"/>
          <w:jc w:val="center"/>
        </w:trPr>
        <w:tc>
          <w:tcPr>
            <w:tcW w:w="2175" w:type="pct"/>
            <w:gridSpan w:val="2"/>
            <w:vAlign w:val="center"/>
            <w:hideMark/>
          </w:tcPr>
          <w:p w:rsidR="00FB52E5" w:rsidRPr="00CE2BA2" w:rsidRDefault="00FB52E5"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效益项</w:t>
            </w:r>
          </w:p>
        </w:tc>
        <w:tc>
          <w:tcPr>
            <w:tcW w:w="2825" w:type="pct"/>
            <w:gridSpan w:val="2"/>
            <w:vAlign w:val="center"/>
            <w:hideMark/>
          </w:tcPr>
          <w:p w:rsidR="00FB52E5" w:rsidRPr="00CE2BA2" w:rsidRDefault="00FB52E5"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损失项</w:t>
            </w:r>
          </w:p>
        </w:tc>
      </w:tr>
      <w:tr w:rsidR="00FB52E5" w:rsidRPr="00CE2BA2" w:rsidTr="00CE2BA2">
        <w:trPr>
          <w:trHeight w:val="340"/>
          <w:jc w:val="center"/>
        </w:trPr>
        <w:tc>
          <w:tcPr>
            <w:tcW w:w="1039" w:type="pct"/>
            <w:vAlign w:val="center"/>
            <w:hideMark/>
          </w:tcPr>
          <w:p w:rsidR="00FB52E5" w:rsidRPr="00CE2BA2" w:rsidRDefault="00FB52E5"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供水效益</w:t>
            </w:r>
          </w:p>
        </w:tc>
        <w:tc>
          <w:tcPr>
            <w:tcW w:w="1136"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330.61</w:t>
            </w:r>
            <w:r w:rsidR="00FB52E5" w:rsidRPr="00CE2BA2">
              <w:rPr>
                <w:rFonts w:ascii="Times New Roman" w:hAnsi="Times New Roman" w:cs="Times New Roman"/>
                <w:sz w:val="21"/>
                <w:szCs w:val="21"/>
              </w:rPr>
              <w:t>万元</w:t>
            </w:r>
            <w:r w:rsidR="00FB52E5" w:rsidRPr="00CE2BA2">
              <w:rPr>
                <w:rFonts w:ascii="Times New Roman" w:hAnsi="Times New Roman" w:cs="Times New Roman"/>
                <w:sz w:val="21"/>
                <w:szCs w:val="21"/>
              </w:rPr>
              <w:t>/</w:t>
            </w:r>
            <w:r w:rsidR="00FB52E5" w:rsidRPr="00CE2BA2">
              <w:rPr>
                <w:rFonts w:ascii="Times New Roman" w:hAnsi="Times New Roman" w:cs="Times New Roman"/>
                <w:sz w:val="21"/>
                <w:szCs w:val="21"/>
              </w:rPr>
              <w:t>年</w:t>
            </w:r>
          </w:p>
        </w:tc>
        <w:tc>
          <w:tcPr>
            <w:tcW w:w="1600" w:type="pct"/>
            <w:vAlign w:val="center"/>
            <w:hideMark/>
          </w:tcPr>
          <w:p w:rsidR="00FB52E5" w:rsidRPr="00CE2BA2" w:rsidRDefault="00FB52E5" w:rsidP="00FB52E5">
            <w:pPr>
              <w:pStyle w:val="TableParagraph"/>
              <w:rPr>
                <w:rFonts w:ascii="Times New Roman" w:hAnsi="Times New Roman" w:cs="Times New Roman"/>
                <w:sz w:val="21"/>
                <w:szCs w:val="21"/>
                <w:lang w:eastAsia="zh-CN"/>
              </w:rPr>
            </w:pPr>
            <w:r w:rsidRPr="00CE2BA2">
              <w:rPr>
                <w:rFonts w:ascii="Times New Roman" w:hAnsi="Times New Roman" w:cs="Times New Roman"/>
                <w:spacing w:val="-3"/>
                <w:sz w:val="21"/>
                <w:szCs w:val="21"/>
                <w:lang w:eastAsia="zh-CN"/>
              </w:rPr>
              <w:t>建设征地损失</w:t>
            </w:r>
            <w:r w:rsidRPr="00CE2BA2">
              <w:rPr>
                <w:rFonts w:ascii="Times New Roman" w:hAnsi="Times New Roman" w:cs="Times New Roman"/>
                <w:sz w:val="21"/>
                <w:szCs w:val="21"/>
                <w:lang w:eastAsia="zh-CN"/>
              </w:rPr>
              <w:t>（一次性）</w:t>
            </w:r>
          </w:p>
        </w:tc>
        <w:tc>
          <w:tcPr>
            <w:tcW w:w="1225"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2021.13</w:t>
            </w:r>
            <w:r w:rsidR="00FB52E5" w:rsidRPr="00CE2BA2">
              <w:rPr>
                <w:rFonts w:ascii="Times New Roman" w:hAnsi="Times New Roman" w:cs="Times New Roman"/>
                <w:sz w:val="21"/>
                <w:szCs w:val="21"/>
              </w:rPr>
              <w:t xml:space="preserve"> </w:t>
            </w:r>
            <w:r w:rsidR="00FB52E5" w:rsidRPr="00CE2BA2">
              <w:rPr>
                <w:rFonts w:ascii="Times New Roman" w:hAnsi="Times New Roman" w:cs="Times New Roman"/>
                <w:sz w:val="21"/>
                <w:szCs w:val="21"/>
              </w:rPr>
              <w:t>万元</w:t>
            </w:r>
          </w:p>
        </w:tc>
      </w:tr>
      <w:tr w:rsidR="00CE2BA2" w:rsidRPr="00CE2BA2" w:rsidTr="00CE2BA2">
        <w:trPr>
          <w:trHeight w:val="340"/>
          <w:jc w:val="center"/>
        </w:trPr>
        <w:tc>
          <w:tcPr>
            <w:tcW w:w="1039"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lang w:eastAsia="zh-CN"/>
              </w:rPr>
              <w:t>工业</w:t>
            </w:r>
            <w:r w:rsidR="00FB52E5" w:rsidRPr="00CE2BA2">
              <w:rPr>
                <w:rFonts w:ascii="Times New Roman" w:hAnsi="Times New Roman" w:cs="Times New Roman"/>
                <w:sz w:val="21"/>
                <w:szCs w:val="21"/>
              </w:rPr>
              <w:t>效益</w:t>
            </w:r>
          </w:p>
        </w:tc>
        <w:tc>
          <w:tcPr>
            <w:tcW w:w="1136"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2530.67</w:t>
            </w:r>
            <w:r w:rsidR="00FB52E5" w:rsidRPr="00CE2BA2">
              <w:rPr>
                <w:rFonts w:ascii="Times New Roman" w:hAnsi="Times New Roman" w:cs="Times New Roman"/>
                <w:sz w:val="21"/>
                <w:szCs w:val="21"/>
              </w:rPr>
              <w:t>万元</w:t>
            </w:r>
            <w:r w:rsidR="00FB52E5" w:rsidRPr="00CE2BA2">
              <w:rPr>
                <w:rFonts w:ascii="Times New Roman" w:hAnsi="Times New Roman" w:cs="Times New Roman"/>
                <w:sz w:val="21"/>
                <w:szCs w:val="21"/>
              </w:rPr>
              <w:t>/</w:t>
            </w:r>
            <w:r w:rsidR="00FB52E5" w:rsidRPr="00CE2BA2">
              <w:rPr>
                <w:rFonts w:ascii="Times New Roman" w:hAnsi="Times New Roman" w:cs="Times New Roman"/>
                <w:sz w:val="21"/>
                <w:szCs w:val="21"/>
              </w:rPr>
              <w:t>年</w:t>
            </w:r>
          </w:p>
        </w:tc>
        <w:tc>
          <w:tcPr>
            <w:tcW w:w="1600" w:type="pct"/>
            <w:vAlign w:val="center"/>
            <w:hideMark/>
          </w:tcPr>
          <w:p w:rsidR="00FB52E5" w:rsidRPr="00CE2BA2" w:rsidRDefault="00FB52E5" w:rsidP="00FB52E5">
            <w:pPr>
              <w:pStyle w:val="TableParagraph"/>
              <w:rPr>
                <w:rFonts w:ascii="Times New Roman" w:hAnsi="Times New Roman" w:cs="Times New Roman"/>
                <w:sz w:val="21"/>
                <w:szCs w:val="21"/>
                <w:lang w:eastAsia="zh-CN"/>
              </w:rPr>
            </w:pPr>
            <w:r w:rsidRPr="00CE2BA2">
              <w:rPr>
                <w:rFonts w:ascii="Times New Roman" w:hAnsi="Times New Roman" w:cs="Times New Roman"/>
                <w:spacing w:val="-3"/>
                <w:sz w:val="21"/>
                <w:szCs w:val="21"/>
                <w:lang w:eastAsia="zh-CN"/>
              </w:rPr>
              <w:t>环保水保措施费用</w:t>
            </w:r>
            <w:r w:rsidRPr="00CE2BA2">
              <w:rPr>
                <w:rFonts w:ascii="Times New Roman" w:hAnsi="Times New Roman" w:cs="Times New Roman"/>
                <w:sz w:val="21"/>
                <w:szCs w:val="21"/>
                <w:lang w:eastAsia="zh-CN"/>
              </w:rPr>
              <w:t>（一次性）</w:t>
            </w:r>
          </w:p>
        </w:tc>
        <w:tc>
          <w:tcPr>
            <w:tcW w:w="1225"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1082.54</w:t>
            </w:r>
            <w:r w:rsidR="00FB52E5" w:rsidRPr="00CE2BA2">
              <w:rPr>
                <w:rFonts w:ascii="Times New Roman" w:hAnsi="Times New Roman" w:cs="Times New Roman"/>
                <w:sz w:val="21"/>
                <w:szCs w:val="21"/>
              </w:rPr>
              <w:t>万元</w:t>
            </w:r>
          </w:p>
        </w:tc>
      </w:tr>
      <w:tr w:rsidR="00FB52E5" w:rsidRPr="00CE2BA2" w:rsidTr="00CE2BA2">
        <w:trPr>
          <w:trHeight w:val="340"/>
          <w:jc w:val="center"/>
        </w:trPr>
        <w:tc>
          <w:tcPr>
            <w:tcW w:w="1039" w:type="pct"/>
            <w:vAlign w:val="center"/>
            <w:hideMark/>
          </w:tcPr>
          <w:p w:rsidR="00FB52E5" w:rsidRPr="00CE2BA2" w:rsidRDefault="00FB52E5"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合计</w:t>
            </w:r>
          </w:p>
        </w:tc>
        <w:tc>
          <w:tcPr>
            <w:tcW w:w="1136"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2861.28</w:t>
            </w:r>
            <w:r w:rsidR="00FB52E5" w:rsidRPr="00CE2BA2">
              <w:rPr>
                <w:rFonts w:ascii="Times New Roman" w:hAnsi="Times New Roman" w:cs="Times New Roman"/>
                <w:sz w:val="21"/>
                <w:szCs w:val="21"/>
              </w:rPr>
              <w:t>万元</w:t>
            </w:r>
            <w:r w:rsidR="00FB52E5" w:rsidRPr="00CE2BA2">
              <w:rPr>
                <w:rFonts w:ascii="Times New Roman" w:hAnsi="Times New Roman" w:cs="Times New Roman"/>
                <w:sz w:val="21"/>
                <w:szCs w:val="21"/>
              </w:rPr>
              <w:t>/</w:t>
            </w:r>
            <w:r w:rsidR="00FB52E5" w:rsidRPr="00CE2BA2">
              <w:rPr>
                <w:rFonts w:ascii="Times New Roman" w:hAnsi="Times New Roman" w:cs="Times New Roman"/>
                <w:sz w:val="21"/>
                <w:szCs w:val="21"/>
              </w:rPr>
              <w:t>年</w:t>
            </w:r>
          </w:p>
        </w:tc>
        <w:tc>
          <w:tcPr>
            <w:tcW w:w="1600" w:type="pct"/>
            <w:vAlign w:val="center"/>
            <w:hideMark/>
          </w:tcPr>
          <w:p w:rsidR="00FB52E5" w:rsidRPr="00CE2BA2" w:rsidRDefault="00FB52E5"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合计</w:t>
            </w:r>
          </w:p>
        </w:tc>
        <w:tc>
          <w:tcPr>
            <w:tcW w:w="1225" w:type="pct"/>
            <w:vAlign w:val="center"/>
            <w:hideMark/>
          </w:tcPr>
          <w:p w:rsidR="00FB52E5" w:rsidRPr="00CE2BA2" w:rsidRDefault="00CE2BA2" w:rsidP="00FB52E5">
            <w:pPr>
              <w:pStyle w:val="TableParagraph"/>
              <w:rPr>
                <w:rFonts w:ascii="Times New Roman" w:hAnsi="Times New Roman" w:cs="Times New Roman"/>
                <w:sz w:val="21"/>
                <w:szCs w:val="21"/>
              </w:rPr>
            </w:pPr>
            <w:r w:rsidRPr="00CE2BA2">
              <w:rPr>
                <w:rFonts w:ascii="Times New Roman" w:hAnsi="Times New Roman" w:cs="Times New Roman"/>
                <w:sz w:val="21"/>
                <w:szCs w:val="21"/>
              </w:rPr>
              <w:t>3103.67</w:t>
            </w:r>
            <w:r w:rsidR="00FB52E5" w:rsidRPr="00CE2BA2">
              <w:rPr>
                <w:rFonts w:ascii="Times New Roman" w:hAnsi="Times New Roman" w:cs="Times New Roman"/>
                <w:sz w:val="21"/>
                <w:szCs w:val="21"/>
              </w:rPr>
              <w:t>万元</w:t>
            </w:r>
          </w:p>
        </w:tc>
      </w:tr>
    </w:tbl>
    <w:p w:rsidR="006175A6" w:rsidRDefault="009B4BA7">
      <w:pPr>
        <w:pStyle w:val="2"/>
      </w:pPr>
      <w:bookmarkStart w:id="111" w:name="_Toc80170150"/>
      <w:r>
        <w:rPr>
          <w:rFonts w:hint="eastAsia"/>
        </w:rPr>
        <w:t>结论</w:t>
      </w:r>
      <w:bookmarkEnd w:id="111"/>
    </w:p>
    <w:p w:rsidR="006175A6" w:rsidRDefault="009B4BA7">
      <w:pPr>
        <w:ind w:firstLine="480"/>
      </w:pPr>
      <w:r>
        <w:rPr>
          <w:rFonts w:hint="eastAsia"/>
        </w:rPr>
        <w:t>综合分析，从环境经济损益的角度考虑，本工程建设是可行的。</w:t>
      </w:r>
    </w:p>
    <w:p w:rsidR="006175A6" w:rsidRDefault="006175A6">
      <w:pPr>
        <w:ind w:firstLine="480"/>
      </w:pPr>
    </w:p>
    <w:p w:rsidR="006175A6" w:rsidRDefault="006175A6">
      <w:pPr>
        <w:ind w:firstLine="480"/>
      </w:pPr>
    </w:p>
    <w:p w:rsidR="006175A6" w:rsidRDefault="006175A6">
      <w:pPr>
        <w:ind w:firstLine="480"/>
        <w:sectPr w:rsidR="006175A6">
          <w:pgSz w:w="11906" w:h="16838"/>
          <w:pgMar w:top="1440" w:right="1800" w:bottom="1440" w:left="1800" w:header="851" w:footer="992" w:gutter="0"/>
          <w:cols w:space="425"/>
          <w:docGrid w:type="lines" w:linePitch="312"/>
        </w:sectPr>
      </w:pPr>
    </w:p>
    <w:p w:rsidR="006175A6" w:rsidRDefault="009B4BA7">
      <w:pPr>
        <w:pStyle w:val="1"/>
      </w:pPr>
      <w:bookmarkStart w:id="112" w:name="_Toc80170151"/>
      <w:r>
        <w:rPr>
          <w:rFonts w:hint="eastAsia"/>
        </w:rPr>
        <w:lastRenderedPageBreak/>
        <w:t>环境影响评价结论</w:t>
      </w:r>
      <w:bookmarkEnd w:id="112"/>
    </w:p>
    <w:p w:rsidR="006175A6" w:rsidRDefault="0060095B" w:rsidP="0060095B">
      <w:pPr>
        <w:pStyle w:val="2"/>
      </w:pPr>
      <w:bookmarkStart w:id="113" w:name="_Toc80170152"/>
      <w:r w:rsidRPr="0060095B">
        <w:rPr>
          <w:rFonts w:hint="eastAsia"/>
        </w:rPr>
        <w:t>项目概况</w:t>
      </w:r>
      <w:bookmarkEnd w:id="113"/>
    </w:p>
    <w:p w:rsidR="0060095B" w:rsidRDefault="0060095B" w:rsidP="0060095B">
      <w:pPr>
        <w:ind w:firstLine="480"/>
      </w:pPr>
      <w:r>
        <w:rPr>
          <w:rFonts w:hint="eastAsia"/>
        </w:rPr>
        <w:t>兴山县两河口水库工程坝址位于榛子乡石柱村境内，坝址位于榛子乡石柱村高岚河上游的门家河流域上游，地理位置：北纬</w:t>
      </w:r>
      <w:r>
        <w:rPr>
          <w:rFonts w:hint="eastAsia"/>
        </w:rPr>
        <w:t>31</w:t>
      </w:r>
      <w:r>
        <w:rPr>
          <w:rFonts w:hint="eastAsia"/>
        </w:rPr>
        <w:t>°</w:t>
      </w:r>
      <w:r>
        <w:rPr>
          <w:rFonts w:hint="eastAsia"/>
        </w:rPr>
        <w:t>24</w:t>
      </w:r>
      <w:r>
        <w:rPr>
          <w:rFonts w:hint="eastAsia"/>
        </w:rPr>
        <w:t>´，东径</w:t>
      </w:r>
      <w:r>
        <w:rPr>
          <w:rFonts w:hint="eastAsia"/>
        </w:rPr>
        <w:t>111</w:t>
      </w:r>
      <w:r>
        <w:rPr>
          <w:rFonts w:hint="eastAsia"/>
        </w:rPr>
        <w:t>°</w:t>
      </w:r>
      <w:r>
        <w:rPr>
          <w:rFonts w:hint="eastAsia"/>
        </w:rPr>
        <w:t>01</w:t>
      </w:r>
      <w:r>
        <w:rPr>
          <w:rFonts w:hint="eastAsia"/>
        </w:rPr>
        <w:t>´。两河口水库的输水工程，跨榛子乡和黄粮镇，终点位于黄粮镇金家坝村龙洞湾</w:t>
      </w:r>
      <w:r w:rsidRPr="00FA1F46">
        <w:rPr>
          <w:rFonts w:hint="eastAsia"/>
        </w:rPr>
        <w:t>。工程由混凝土拱坝、导流隧洞、输水隧洞、过沟建筑物及其相关附属设施等组成。</w:t>
      </w:r>
      <w:r>
        <w:rPr>
          <w:rFonts w:hint="eastAsia"/>
        </w:rPr>
        <w:t>两河口水库坝址选在河道高程</w:t>
      </w:r>
      <w:r>
        <w:rPr>
          <w:rFonts w:hint="eastAsia"/>
        </w:rPr>
        <w:t>985.0m</w:t>
      </w:r>
      <w:r>
        <w:rPr>
          <w:rFonts w:hint="eastAsia"/>
        </w:rPr>
        <w:t>处，坝型为碾压混凝土拱坝，最大坝高</w:t>
      </w:r>
      <w:r>
        <w:rPr>
          <w:rFonts w:hint="eastAsia"/>
        </w:rPr>
        <w:t>86m</w:t>
      </w:r>
      <w:r>
        <w:rPr>
          <w:rFonts w:hint="eastAsia"/>
        </w:rPr>
        <w:t>，水库设计死水位</w:t>
      </w:r>
      <w:r>
        <w:rPr>
          <w:rFonts w:hint="eastAsia"/>
        </w:rPr>
        <w:t>1013.0m</w:t>
      </w:r>
      <w:r>
        <w:rPr>
          <w:rFonts w:hint="eastAsia"/>
        </w:rPr>
        <w:t>，对应库容</w:t>
      </w:r>
      <w:r>
        <w:rPr>
          <w:rFonts w:hint="eastAsia"/>
        </w:rPr>
        <w:t>91</w:t>
      </w:r>
      <w:r>
        <w:rPr>
          <w:rFonts w:hint="eastAsia"/>
        </w:rPr>
        <w:t>万</w:t>
      </w:r>
      <w:r>
        <w:rPr>
          <w:rFonts w:hint="eastAsia"/>
        </w:rPr>
        <w:t>m</w:t>
      </w:r>
      <w:r>
        <w:rPr>
          <w:rFonts w:hint="eastAsia"/>
        </w:rPr>
        <w:t>³；正常蓄水位</w:t>
      </w:r>
      <w:r>
        <w:rPr>
          <w:rFonts w:hint="eastAsia"/>
        </w:rPr>
        <w:t>1058.00m</w:t>
      </w:r>
      <w:r>
        <w:rPr>
          <w:rFonts w:hint="eastAsia"/>
        </w:rPr>
        <w:t>，对应库容</w:t>
      </w:r>
      <w:r>
        <w:rPr>
          <w:rFonts w:hint="eastAsia"/>
        </w:rPr>
        <w:t>1001</w:t>
      </w:r>
      <w:r>
        <w:rPr>
          <w:rFonts w:hint="eastAsia"/>
        </w:rPr>
        <w:t>万</w:t>
      </w:r>
      <w:r>
        <w:rPr>
          <w:rFonts w:hint="eastAsia"/>
        </w:rPr>
        <w:t>m</w:t>
      </w:r>
      <w:r>
        <w:rPr>
          <w:rFonts w:hint="eastAsia"/>
        </w:rPr>
        <w:t>³，则兴利库容为</w:t>
      </w:r>
      <w:r>
        <w:rPr>
          <w:rFonts w:hint="eastAsia"/>
        </w:rPr>
        <w:t>910</w:t>
      </w:r>
      <w:r>
        <w:rPr>
          <w:rFonts w:hint="eastAsia"/>
        </w:rPr>
        <w:t>万</w:t>
      </w:r>
      <w:r>
        <w:rPr>
          <w:rFonts w:hint="eastAsia"/>
        </w:rPr>
        <w:t>m</w:t>
      </w:r>
      <w:r>
        <w:rPr>
          <w:rFonts w:hint="eastAsia"/>
        </w:rPr>
        <w:t>³，</w:t>
      </w:r>
      <w:r>
        <w:rPr>
          <w:rFonts w:hint="eastAsia"/>
        </w:rPr>
        <w:t>50</w:t>
      </w:r>
      <w:r>
        <w:rPr>
          <w:rFonts w:hint="eastAsia"/>
        </w:rPr>
        <w:t>年一遇设计洪水</w:t>
      </w:r>
      <w:r>
        <w:rPr>
          <w:rFonts w:hint="eastAsia"/>
        </w:rPr>
        <w:t>816m</w:t>
      </w:r>
      <w:r>
        <w:rPr>
          <w:rFonts w:hint="eastAsia"/>
        </w:rPr>
        <w:t>³</w:t>
      </w:r>
      <w:r>
        <w:rPr>
          <w:rFonts w:hint="eastAsia"/>
        </w:rPr>
        <w:t>/s</w:t>
      </w:r>
      <w:r>
        <w:rPr>
          <w:rFonts w:hint="eastAsia"/>
        </w:rPr>
        <w:t>，设计洪水位</w:t>
      </w:r>
      <w:r>
        <w:rPr>
          <w:rFonts w:hint="eastAsia"/>
        </w:rPr>
        <w:t>1058.0m</w:t>
      </w:r>
      <w:r>
        <w:rPr>
          <w:rFonts w:hint="eastAsia"/>
        </w:rPr>
        <w:t>，下泄流量</w:t>
      </w:r>
      <w:r>
        <w:rPr>
          <w:rFonts w:hint="eastAsia"/>
        </w:rPr>
        <w:t>816m</w:t>
      </w:r>
      <w:r>
        <w:rPr>
          <w:rFonts w:hint="eastAsia"/>
        </w:rPr>
        <w:t>³</w:t>
      </w:r>
      <w:r>
        <w:rPr>
          <w:rFonts w:hint="eastAsia"/>
        </w:rPr>
        <w:t>/s</w:t>
      </w:r>
      <w:r>
        <w:rPr>
          <w:rFonts w:hint="eastAsia"/>
        </w:rPr>
        <w:t>；</w:t>
      </w:r>
      <w:r>
        <w:rPr>
          <w:rFonts w:hint="eastAsia"/>
        </w:rPr>
        <w:t>500</w:t>
      </w:r>
      <w:r>
        <w:rPr>
          <w:rFonts w:hint="eastAsia"/>
        </w:rPr>
        <w:t>年一遇校核洪水</w:t>
      </w:r>
      <w:r>
        <w:rPr>
          <w:rFonts w:hint="eastAsia"/>
        </w:rPr>
        <w:t>1386m</w:t>
      </w:r>
      <w:r>
        <w:rPr>
          <w:rFonts w:hint="eastAsia"/>
        </w:rPr>
        <w:t>³</w:t>
      </w:r>
      <w:r>
        <w:rPr>
          <w:rFonts w:hint="eastAsia"/>
        </w:rPr>
        <w:t>/s</w:t>
      </w:r>
      <w:r>
        <w:rPr>
          <w:rFonts w:hint="eastAsia"/>
        </w:rPr>
        <w:t>，校核洪水位</w:t>
      </w:r>
      <w:r>
        <w:rPr>
          <w:rFonts w:hint="eastAsia"/>
        </w:rPr>
        <w:t>1060.00m</w:t>
      </w:r>
      <w:r>
        <w:rPr>
          <w:rFonts w:hint="eastAsia"/>
        </w:rPr>
        <w:t>，下泄流量</w:t>
      </w:r>
      <w:r>
        <w:rPr>
          <w:rFonts w:hint="eastAsia"/>
        </w:rPr>
        <w:t>1177m</w:t>
      </w:r>
      <w:r>
        <w:rPr>
          <w:rFonts w:hint="eastAsia"/>
        </w:rPr>
        <w:t>³</w:t>
      </w:r>
      <w:r>
        <w:rPr>
          <w:rFonts w:hint="eastAsia"/>
        </w:rPr>
        <w:t>/s</w:t>
      </w:r>
      <w:r>
        <w:rPr>
          <w:rFonts w:hint="eastAsia"/>
        </w:rPr>
        <w:t>，对应库容</w:t>
      </w:r>
      <w:r>
        <w:rPr>
          <w:rFonts w:hint="eastAsia"/>
        </w:rPr>
        <w:t>1075</w:t>
      </w:r>
      <w:r>
        <w:rPr>
          <w:rFonts w:hint="eastAsia"/>
        </w:rPr>
        <w:t>万</w:t>
      </w:r>
      <w:r>
        <w:rPr>
          <w:rFonts w:hint="eastAsia"/>
        </w:rPr>
        <w:t>m</w:t>
      </w:r>
      <w:r>
        <w:rPr>
          <w:rFonts w:hint="eastAsia"/>
        </w:rPr>
        <w:t>³。</w:t>
      </w:r>
    </w:p>
    <w:p w:rsidR="0060095B" w:rsidRDefault="0060095B" w:rsidP="0060095B">
      <w:pPr>
        <w:pStyle w:val="2"/>
      </w:pPr>
      <w:bookmarkStart w:id="114" w:name="_Toc80170153"/>
      <w:r w:rsidRPr="0060095B">
        <w:rPr>
          <w:rFonts w:hint="eastAsia"/>
        </w:rPr>
        <w:t>工程建设必要性及相关产业政策、规划符合性</w:t>
      </w:r>
      <w:bookmarkEnd w:id="114"/>
    </w:p>
    <w:p w:rsidR="0060095B" w:rsidRDefault="0060095B" w:rsidP="0060095B">
      <w:pPr>
        <w:ind w:firstLine="480"/>
      </w:pPr>
    </w:p>
    <w:p w:rsidR="0060095B" w:rsidRDefault="0060095B" w:rsidP="0060095B">
      <w:pPr>
        <w:ind w:firstLine="480"/>
      </w:pPr>
      <w:r w:rsidRPr="0060095B">
        <w:rPr>
          <w:rFonts w:hint="eastAsia"/>
        </w:rPr>
        <w:t>4.1.1</w:t>
      </w:r>
      <w:r w:rsidRPr="0060095B">
        <w:rPr>
          <w:rFonts w:hint="eastAsia"/>
        </w:rPr>
        <w:tab/>
      </w:r>
      <w:r w:rsidRPr="0060095B">
        <w:rPr>
          <w:rFonts w:hint="eastAsia"/>
        </w:rPr>
        <w:t>产业政策符合性</w:t>
      </w:r>
    </w:p>
    <w:p w:rsidR="0060095B" w:rsidRDefault="0060095B" w:rsidP="0060095B">
      <w:pPr>
        <w:ind w:firstLine="480"/>
      </w:pPr>
      <w:r>
        <w:rPr>
          <w:rFonts w:hint="eastAsia"/>
        </w:rPr>
        <w:t>本项目属于《国民经济行业分类》（</w:t>
      </w:r>
      <w:r>
        <w:rPr>
          <w:rFonts w:hint="eastAsia"/>
        </w:rPr>
        <w:t>GB/T4754-2017</w:t>
      </w:r>
      <w:r>
        <w:rPr>
          <w:rFonts w:hint="eastAsia"/>
        </w:rPr>
        <w:t>）中的“</w:t>
      </w:r>
      <w:r>
        <w:rPr>
          <w:rFonts w:hint="eastAsia"/>
        </w:rPr>
        <w:t>N7630</w:t>
      </w:r>
      <w:r>
        <w:rPr>
          <w:rFonts w:hint="eastAsia"/>
        </w:rPr>
        <w:t>危天然水收集与分配”行业；</w:t>
      </w:r>
      <w:r>
        <w:t>根据《产业结构调整指导目录》（</w:t>
      </w:r>
      <w:r>
        <w:t>2019</w:t>
      </w:r>
      <w:r>
        <w:t>年本），本项目属于</w:t>
      </w:r>
      <w:r>
        <w:t>“</w:t>
      </w:r>
      <w:r>
        <w:rPr>
          <w:rFonts w:hint="eastAsia"/>
        </w:rPr>
        <w:t>二</w:t>
      </w:r>
      <w:r>
        <w:t>、</w:t>
      </w:r>
      <w:r>
        <w:rPr>
          <w:rFonts w:hint="eastAsia"/>
        </w:rPr>
        <w:t>水利</w:t>
      </w:r>
      <w:r>
        <w:t>”</w:t>
      </w:r>
      <w:r>
        <w:t>类别中</w:t>
      </w:r>
      <w:r>
        <w:t>“</w:t>
      </w:r>
      <w:r>
        <w:rPr>
          <w:rFonts w:hint="eastAsia"/>
        </w:rPr>
        <w:t>、城乡供水水源工程</w:t>
      </w:r>
      <w:r>
        <w:t>”</w:t>
      </w:r>
      <w:r>
        <w:t>类别，属于鼓励类建设项目，项目建设符合国家产业政策。</w:t>
      </w:r>
    </w:p>
    <w:p w:rsidR="0060095B" w:rsidRDefault="0060095B" w:rsidP="0060095B">
      <w:pPr>
        <w:ind w:firstLine="480"/>
      </w:pPr>
      <w:r w:rsidRPr="0060095B">
        <w:rPr>
          <w:rFonts w:hint="eastAsia"/>
        </w:rPr>
        <w:t>《水利改革发展“十三五”规划》符合性分析</w:t>
      </w:r>
    </w:p>
    <w:p w:rsidR="0060095B" w:rsidRDefault="0060095B" w:rsidP="0060095B">
      <w:pPr>
        <w:ind w:firstLine="480"/>
      </w:pPr>
      <w:r>
        <w:rPr>
          <w:rFonts w:hint="eastAsia"/>
        </w:rPr>
        <w:t>根据国家发展改革委、水利部、住房城乡建设部联合印发的《水利改革发展“十三五”规划》，以三峡建成后长江中下游河势控制、洞庭湖鄱阳湖综合整治、蓄滞洪区建设为重点，加强防洪薄弱环节建设，优化调整长江中下游分蓄洪区；以滇中引水、鄂北水资源配置等工程为重点，完善流域水资源调配格局；把保护水生态环境放在更加突出的位置，加强流域生态系统修复和综合治理，强化长江水生生物多样性保护，构建绿色生态廊道；统筹防洪、供水、灌溉、生态、航运、发电等调度需求，协调水库群蓄泄时机与方式，实施长江三峡及上中游干支流控制性水库群联合调度；强化南水北调等重点水源地保护，确保水源地水质安全。</w:t>
      </w:r>
    </w:p>
    <w:p w:rsidR="0060095B" w:rsidRDefault="0060095B" w:rsidP="0060095B">
      <w:pPr>
        <w:ind w:firstLine="480"/>
      </w:pPr>
      <w:r>
        <w:rPr>
          <w:rFonts w:hint="eastAsia"/>
        </w:rPr>
        <w:lastRenderedPageBreak/>
        <w:t>本工程位于长江流域，工程以解决农业灌溉用水为主，并兼顾黄粮镇及周边乡镇村镇居民供水需求，符合《水利改革发展“十三五”规划》。</w:t>
      </w:r>
    </w:p>
    <w:p w:rsidR="0060095B" w:rsidRDefault="0060095B" w:rsidP="0060095B">
      <w:pPr>
        <w:ind w:firstLine="480"/>
      </w:pPr>
      <w:r>
        <w:rPr>
          <w:rFonts w:hint="eastAsia"/>
        </w:rPr>
        <w:t>“三线一单”符合性</w:t>
      </w:r>
    </w:p>
    <w:p w:rsidR="0060095B" w:rsidRDefault="0060095B" w:rsidP="0060095B">
      <w:pPr>
        <w:ind w:firstLine="480"/>
      </w:pPr>
      <w:r w:rsidRPr="0060095B">
        <w:rPr>
          <w:rFonts w:hint="eastAsia"/>
        </w:rPr>
        <w:t>环境质量底线：</w:t>
      </w:r>
      <w:r>
        <w:rPr>
          <w:rFonts w:hint="eastAsia"/>
        </w:rPr>
        <w:t>评价区域地表水水质</w:t>
      </w:r>
      <w:r w:rsidRPr="0060095B">
        <w:rPr>
          <w:rFonts w:hint="eastAsia"/>
        </w:rPr>
        <w:t>符合《地表水环境质量标准》（</w:t>
      </w:r>
      <w:r w:rsidRPr="0060095B">
        <w:rPr>
          <w:rFonts w:hint="eastAsia"/>
        </w:rPr>
        <w:t>GB3838-2002</w:t>
      </w:r>
      <w:r w:rsidRPr="0060095B">
        <w:rPr>
          <w:rFonts w:hint="eastAsia"/>
        </w:rPr>
        <w:t>）</w:t>
      </w:r>
      <w:r w:rsidRPr="0060095B">
        <w:rPr>
          <w:rFonts w:hint="eastAsia"/>
        </w:rPr>
        <w:t xml:space="preserve">III </w:t>
      </w:r>
      <w:r w:rsidRPr="0060095B">
        <w:rPr>
          <w:rFonts w:hint="eastAsia"/>
        </w:rPr>
        <w:t>类标准，环境空气质量</w:t>
      </w:r>
      <w:r>
        <w:rPr>
          <w:rFonts w:hint="eastAsia"/>
        </w:rPr>
        <w:t>属于达标区，</w:t>
      </w:r>
      <w:r w:rsidRPr="0060095B">
        <w:rPr>
          <w:rFonts w:hint="eastAsia"/>
        </w:rPr>
        <w:t>区域声环境质量满足《声环境质量标准》（</w:t>
      </w:r>
      <w:r w:rsidRPr="0060095B">
        <w:rPr>
          <w:rFonts w:hint="eastAsia"/>
        </w:rPr>
        <w:t>GB3096-2008</w:t>
      </w:r>
      <w:r w:rsidRPr="0060095B">
        <w:rPr>
          <w:rFonts w:hint="eastAsia"/>
        </w:rPr>
        <w:t>）中的</w:t>
      </w:r>
      <w:r w:rsidRPr="0060095B">
        <w:rPr>
          <w:rFonts w:hint="eastAsia"/>
        </w:rPr>
        <w:t xml:space="preserve"> </w:t>
      </w:r>
      <w:r>
        <w:rPr>
          <w:rFonts w:hint="eastAsia"/>
        </w:rPr>
        <w:t>1</w:t>
      </w:r>
      <w:r w:rsidRPr="0060095B">
        <w:rPr>
          <w:rFonts w:hint="eastAsia"/>
        </w:rPr>
        <w:t>类标准限值。因此项目所在区域环境质量良好，未超出环境质量底线。</w:t>
      </w:r>
    </w:p>
    <w:p w:rsidR="0060095B" w:rsidRDefault="0060095B" w:rsidP="0060095B">
      <w:pPr>
        <w:ind w:firstLine="480"/>
      </w:pPr>
      <w:r w:rsidRPr="0060095B">
        <w:rPr>
          <w:rFonts w:hint="eastAsia"/>
        </w:rPr>
        <w:t>资源利用上限：</w:t>
      </w:r>
      <w:r>
        <w:rPr>
          <w:rFonts w:hint="eastAsia"/>
        </w:rPr>
        <w:t>本工程不属于污染类建设项目，为水利工程项目，根据测算，以黄粮镇为中心，包括峡口、昭君及古夫共</w:t>
      </w:r>
      <w:r>
        <w:rPr>
          <w:rFonts w:hint="eastAsia"/>
        </w:rPr>
        <w:t>4</w:t>
      </w:r>
      <w:r>
        <w:rPr>
          <w:rFonts w:hint="eastAsia"/>
        </w:rPr>
        <w:t>镇</w:t>
      </w:r>
      <w:r>
        <w:rPr>
          <w:rFonts w:hint="eastAsia"/>
        </w:rPr>
        <w:t>13</w:t>
      </w:r>
      <w:r>
        <w:rPr>
          <w:rFonts w:hint="eastAsia"/>
        </w:rPr>
        <w:t>个村的受水区，涉及国土总面积</w:t>
      </w:r>
      <w:r>
        <w:rPr>
          <w:rFonts w:hint="eastAsia"/>
        </w:rPr>
        <w:t>55.8km</w:t>
      </w:r>
      <w:r>
        <w:rPr>
          <w:rFonts w:hint="eastAsia"/>
        </w:rPr>
        <w:t>²，现状耕地总面积</w:t>
      </w:r>
      <w:r>
        <w:rPr>
          <w:rFonts w:hint="eastAsia"/>
        </w:rPr>
        <w:t>35446</w:t>
      </w:r>
      <w:r>
        <w:rPr>
          <w:rFonts w:hint="eastAsia"/>
        </w:rPr>
        <w:t>亩，总人口</w:t>
      </w:r>
      <w:r>
        <w:rPr>
          <w:rFonts w:hint="eastAsia"/>
        </w:rPr>
        <w:t>26089</w:t>
      </w:r>
      <w:r>
        <w:rPr>
          <w:rFonts w:hint="eastAsia"/>
        </w:rPr>
        <w:t>人。受水区绝大部分属于高岚河流域，因此，按高岚河流域片区计算，产水模数</w:t>
      </w:r>
      <w:r>
        <w:rPr>
          <w:rFonts w:hint="eastAsia"/>
        </w:rPr>
        <w:t>50.5</w:t>
      </w:r>
      <w:r>
        <w:rPr>
          <w:rFonts w:hint="eastAsia"/>
        </w:rPr>
        <w:t>×</w:t>
      </w:r>
      <w:r>
        <w:rPr>
          <w:rFonts w:hint="eastAsia"/>
        </w:rPr>
        <w:t>10</w:t>
      </w:r>
      <w:r>
        <w:rPr>
          <w:rFonts w:hint="eastAsia"/>
          <w:vertAlign w:val="superscript"/>
        </w:rPr>
        <w:t>4</w:t>
      </w:r>
      <w:r>
        <w:rPr>
          <w:rFonts w:hint="eastAsia"/>
        </w:rPr>
        <w:t>m</w:t>
      </w:r>
      <w:r>
        <w:rPr>
          <w:rFonts w:hint="eastAsia"/>
        </w:rPr>
        <w:t>³</w:t>
      </w:r>
      <w:r>
        <w:rPr>
          <w:rFonts w:hint="eastAsia"/>
        </w:rPr>
        <w:t>/km</w:t>
      </w:r>
      <w:r>
        <w:rPr>
          <w:rFonts w:hint="eastAsia"/>
        </w:rPr>
        <w:t>²</w:t>
      </w:r>
      <w:r>
        <w:rPr>
          <w:rFonts w:hint="eastAsia"/>
        </w:rPr>
        <w:t>.</w:t>
      </w:r>
      <w:r>
        <w:rPr>
          <w:rFonts w:hint="eastAsia"/>
        </w:rPr>
        <w:t>年，受水区水资源总量为</w:t>
      </w:r>
      <w:r>
        <w:rPr>
          <w:rFonts w:hint="eastAsia"/>
        </w:rPr>
        <w:t>2820</w:t>
      </w:r>
      <w:r>
        <w:rPr>
          <w:rFonts w:hint="eastAsia"/>
        </w:rPr>
        <w:t>万</w:t>
      </w:r>
      <w:r>
        <w:rPr>
          <w:rFonts w:hint="eastAsia"/>
        </w:rPr>
        <w:t>m</w:t>
      </w:r>
      <w:r>
        <w:rPr>
          <w:rFonts w:hint="eastAsia"/>
        </w:rPr>
        <w:t>³。因此，总体来说，水资源是充足的。</w:t>
      </w:r>
    </w:p>
    <w:p w:rsidR="0060095B" w:rsidRDefault="0060095B" w:rsidP="0060095B">
      <w:pPr>
        <w:ind w:firstLine="480"/>
      </w:pPr>
      <w:r w:rsidRPr="0060095B">
        <w:rPr>
          <w:rFonts w:hint="eastAsia"/>
        </w:rPr>
        <w:t>环境准入负面清单</w:t>
      </w:r>
      <w:r>
        <w:rPr>
          <w:rFonts w:hint="eastAsia"/>
        </w:rPr>
        <w:t>：</w:t>
      </w:r>
    </w:p>
    <w:p w:rsidR="0060095B" w:rsidRDefault="0060095B" w:rsidP="0060095B">
      <w:pPr>
        <w:ind w:firstLine="480"/>
      </w:pPr>
      <w:r>
        <w:rPr>
          <w:rFonts w:hint="eastAsia"/>
        </w:rPr>
        <w:t>本项目为非产污型生态保护项目，不在各类自然保护区、风景名胜区、生态功能保护区、生态敏感与脆弱区等环境敏感区范围内，因此本项目不在宜昌市环境准入负面清单名单内。</w:t>
      </w:r>
    </w:p>
    <w:p w:rsidR="0060095B" w:rsidRDefault="0060095B" w:rsidP="0060095B">
      <w:pPr>
        <w:pStyle w:val="2"/>
      </w:pPr>
      <w:bookmarkStart w:id="115" w:name="_Toc80170154"/>
      <w:r w:rsidRPr="0060095B">
        <w:rPr>
          <w:rFonts w:hint="eastAsia"/>
        </w:rPr>
        <w:t>环境质量现状及保护目标</w:t>
      </w:r>
      <w:bookmarkEnd w:id="115"/>
    </w:p>
    <w:p w:rsidR="0060095B" w:rsidRDefault="0060095B" w:rsidP="0060095B">
      <w:pPr>
        <w:pStyle w:val="3"/>
      </w:pPr>
      <w:r>
        <w:rPr>
          <w:rFonts w:hint="eastAsia"/>
        </w:rPr>
        <w:t>环境质量现状</w:t>
      </w:r>
    </w:p>
    <w:p w:rsidR="0060095B" w:rsidRDefault="0060095B" w:rsidP="0060095B">
      <w:pPr>
        <w:ind w:firstLine="480"/>
      </w:pPr>
      <w:r>
        <w:rPr>
          <w:rFonts w:hint="eastAsia"/>
        </w:rPr>
        <w:t>（</w:t>
      </w:r>
      <w:r>
        <w:rPr>
          <w:rFonts w:hint="eastAsia"/>
        </w:rPr>
        <w:t>1</w:t>
      </w:r>
      <w:r>
        <w:rPr>
          <w:rFonts w:hint="eastAsia"/>
        </w:rPr>
        <w:t>）环境空气质量现状</w:t>
      </w:r>
    </w:p>
    <w:p w:rsidR="0060095B" w:rsidRDefault="0060095B" w:rsidP="0060095B">
      <w:pPr>
        <w:ind w:firstLine="480"/>
      </w:pPr>
      <w:r>
        <w:rPr>
          <w:rFonts w:hint="eastAsia"/>
        </w:rPr>
        <w:t>项目区所处环境执行《环境空气质量标准》（</w:t>
      </w:r>
      <w:r>
        <w:rPr>
          <w:rFonts w:hint="eastAsia"/>
        </w:rPr>
        <w:t>GB3095-2012</w:t>
      </w:r>
      <w:r>
        <w:rPr>
          <w:rFonts w:hint="eastAsia"/>
        </w:rPr>
        <w:t>）的二级标准。项目区域环境空气质量良好。</w:t>
      </w:r>
    </w:p>
    <w:p w:rsidR="0060095B" w:rsidRDefault="0060095B" w:rsidP="0060095B">
      <w:pPr>
        <w:ind w:firstLine="480"/>
      </w:pPr>
      <w:r>
        <w:rPr>
          <w:rFonts w:hint="eastAsia"/>
        </w:rPr>
        <w:t>（</w:t>
      </w:r>
      <w:r>
        <w:rPr>
          <w:rFonts w:hint="eastAsia"/>
        </w:rPr>
        <w:t>2</w:t>
      </w:r>
      <w:r>
        <w:rPr>
          <w:rFonts w:hint="eastAsia"/>
        </w:rPr>
        <w:t>）水环境质量现状</w:t>
      </w:r>
    </w:p>
    <w:p w:rsidR="0060095B" w:rsidRDefault="0060095B" w:rsidP="0060095B">
      <w:pPr>
        <w:ind w:firstLine="480"/>
      </w:pPr>
      <w:r>
        <w:rPr>
          <w:rFonts w:hint="eastAsia"/>
        </w:rPr>
        <w:t>两河口水库所在门家河河段划定为Ⅲ类水域，执行《地表水环境质量标准》（</w:t>
      </w:r>
      <w:r>
        <w:rPr>
          <w:rFonts w:hint="eastAsia"/>
        </w:rPr>
        <w:t>GB3838-2002</w:t>
      </w:r>
      <w:r>
        <w:rPr>
          <w:rFonts w:hint="eastAsia"/>
        </w:rPr>
        <w:t>）Ⅲ类水域水质标准。根据水质现状监测结果，各评价因子指标满足《地表水环境质量标准》（</w:t>
      </w:r>
      <w:r>
        <w:rPr>
          <w:rFonts w:hint="eastAsia"/>
        </w:rPr>
        <w:t>GB3838-2002</w:t>
      </w:r>
      <w:r>
        <w:rPr>
          <w:rFonts w:hint="eastAsia"/>
        </w:rPr>
        <w:t>）Ⅲ类水域水质标准。</w:t>
      </w:r>
    </w:p>
    <w:p w:rsidR="0060095B" w:rsidRDefault="0060095B" w:rsidP="0060095B">
      <w:pPr>
        <w:ind w:firstLine="480"/>
      </w:pPr>
      <w:r>
        <w:rPr>
          <w:rFonts w:hint="eastAsia"/>
        </w:rPr>
        <w:t>（</w:t>
      </w:r>
      <w:r>
        <w:rPr>
          <w:rFonts w:hint="eastAsia"/>
        </w:rPr>
        <w:t>3</w:t>
      </w:r>
      <w:r>
        <w:rPr>
          <w:rFonts w:hint="eastAsia"/>
        </w:rPr>
        <w:t>）声环境质量现状</w:t>
      </w:r>
    </w:p>
    <w:p w:rsidR="0060095B" w:rsidRDefault="0060095B" w:rsidP="0060095B">
      <w:pPr>
        <w:ind w:firstLine="480"/>
      </w:pPr>
      <w:r>
        <w:rPr>
          <w:rFonts w:hint="eastAsia"/>
        </w:rPr>
        <w:t>两河口水库所在区域执行《声环境质量标准》（</w:t>
      </w:r>
      <w:r>
        <w:rPr>
          <w:rFonts w:hint="eastAsia"/>
        </w:rPr>
        <w:t>GB3096-2008</w:t>
      </w:r>
      <w:r>
        <w:rPr>
          <w:rFonts w:hint="eastAsia"/>
        </w:rPr>
        <w:t>）</w:t>
      </w:r>
      <w:r>
        <w:rPr>
          <w:rFonts w:hint="eastAsia"/>
        </w:rPr>
        <w:t>1</w:t>
      </w:r>
      <w:r>
        <w:rPr>
          <w:rFonts w:hint="eastAsia"/>
        </w:rPr>
        <w:t>类标准。项目区域环境噪声现状质量较好。</w:t>
      </w:r>
    </w:p>
    <w:p w:rsidR="0060095B" w:rsidRDefault="0060095B" w:rsidP="0060095B">
      <w:pPr>
        <w:ind w:firstLine="480"/>
      </w:pPr>
      <w:r>
        <w:rPr>
          <w:rFonts w:hint="eastAsia"/>
        </w:rPr>
        <w:lastRenderedPageBreak/>
        <w:t>（</w:t>
      </w:r>
      <w:r>
        <w:rPr>
          <w:rFonts w:hint="eastAsia"/>
        </w:rPr>
        <w:t>4</w:t>
      </w:r>
      <w:r>
        <w:rPr>
          <w:rFonts w:hint="eastAsia"/>
        </w:rPr>
        <w:t>）土壤环境质量现状</w:t>
      </w:r>
    </w:p>
    <w:p w:rsidR="0060095B" w:rsidRDefault="0060095B" w:rsidP="0060095B">
      <w:pPr>
        <w:ind w:firstLine="480"/>
      </w:pPr>
      <w:r w:rsidRPr="0060095B">
        <w:rPr>
          <w:rFonts w:hint="eastAsia"/>
        </w:rPr>
        <w:t>根据现状监测结果可以看出，坝址处土壤监测点数据均可满足《土壤环境质量</w:t>
      </w:r>
      <w:r w:rsidRPr="0060095B">
        <w:rPr>
          <w:rFonts w:hint="eastAsia"/>
        </w:rPr>
        <w:t xml:space="preserve"> </w:t>
      </w:r>
      <w:r w:rsidRPr="0060095B">
        <w:rPr>
          <w:rFonts w:hint="eastAsia"/>
        </w:rPr>
        <w:t>建设用地土壤污染风险管控标准（试行）》（</w:t>
      </w:r>
      <w:r w:rsidRPr="0060095B">
        <w:rPr>
          <w:rFonts w:hint="eastAsia"/>
        </w:rPr>
        <w:t>GB 36600-2018</w:t>
      </w:r>
      <w:r w:rsidRPr="0060095B">
        <w:rPr>
          <w:rFonts w:hint="eastAsia"/>
        </w:rPr>
        <w:t>）中第二类用地风险筛选值的要求，淹没区及周边土壤各监测点位监测值均满足《土壤环境质量</w:t>
      </w:r>
      <w:r w:rsidRPr="0060095B">
        <w:rPr>
          <w:rFonts w:hint="eastAsia"/>
        </w:rPr>
        <w:t xml:space="preserve"> </w:t>
      </w:r>
      <w:r w:rsidRPr="0060095B">
        <w:rPr>
          <w:rFonts w:hint="eastAsia"/>
        </w:rPr>
        <w:t>农用地土壤污染风险管控标准（试行）》（</w:t>
      </w:r>
      <w:r w:rsidRPr="0060095B">
        <w:rPr>
          <w:rFonts w:hint="eastAsia"/>
        </w:rPr>
        <w:t>GB15618-2018</w:t>
      </w:r>
      <w:r w:rsidRPr="0060095B">
        <w:rPr>
          <w:rFonts w:hint="eastAsia"/>
        </w:rPr>
        <w:t>）中其他用地风险筛选值标准。总体土壤环境质量良好。</w:t>
      </w:r>
    </w:p>
    <w:p w:rsidR="0060095B" w:rsidRDefault="0060095B" w:rsidP="0060095B">
      <w:pPr>
        <w:ind w:firstLine="480"/>
      </w:pPr>
      <w:r>
        <w:rPr>
          <w:rFonts w:hint="eastAsia"/>
        </w:rPr>
        <w:t>（</w:t>
      </w:r>
      <w:r>
        <w:rPr>
          <w:rFonts w:hint="eastAsia"/>
        </w:rPr>
        <w:t>5</w:t>
      </w:r>
      <w:r>
        <w:rPr>
          <w:rFonts w:hint="eastAsia"/>
        </w:rPr>
        <w:t>）生态环境</w:t>
      </w:r>
    </w:p>
    <w:p w:rsidR="0060095B" w:rsidRDefault="0060095B" w:rsidP="0060095B">
      <w:pPr>
        <w:ind w:firstLine="480"/>
      </w:pPr>
      <w:r>
        <w:rPr>
          <w:rFonts w:hint="eastAsia"/>
        </w:rPr>
        <w:t>本区生态服务功能主要是城镇生态环境保护和生态经济发展，生态环境保护建设的主要方向和重点是加强城镇生态环境基础设施建设，合理进行生态经济开发，坚持生态保护优先，适度开发，点状发展。</w:t>
      </w:r>
    </w:p>
    <w:p w:rsidR="0060095B" w:rsidRDefault="0060095B" w:rsidP="0060095B">
      <w:pPr>
        <w:pStyle w:val="3"/>
      </w:pPr>
      <w:r w:rsidRPr="0060095B">
        <w:rPr>
          <w:rFonts w:hint="eastAsia"/>
        </w:rPr>
        <w:t>环境保护目标</w:t>
      </w:r>
    </w:p>
    <w:p w:rsidR="0060095B" w:rsidRDefault="0060095B" w:rsidP="0060095B">
      <w:pPr>
        <w:ind w:firstLine="480"/>
      </w:pPr>
      <w:r w:rsidRPr="0060095B">
        <w:rPr>
          <w:rFonts w:hint="eastAsia"/>
        </w:rPr>
        <w:t>拟建项目地处农村，主要地表植被以林地、草地和农地植被为主，工程区尚未发现有珍稀保护和濒危动植物分布。项目区主要地表水体为</w:t>
      </w:r>
      <w:r>
        <w:rPr>
          <w:rFonts w:hint="eastAsia"/>
        </w:rPr>
        <w:t>门家河</w:t>
      </w:r>
      <w:r w:rsidRPr="0060095B">
        <w:rPr>
          <w:rFonts w:hint="eastAsia"/>
        </w:rPr>
        <w:t>；水库淹没区内</w:t>
      </w:r>
      <w:r>
        <w:rPr>
          <w:rFonts w:hint="eastAsia"/>
        </w:rPr>
        <w:t>无居民需要搬迁</w:t>
      </w:r>
      <w:r w:rsidRPr="0060095B">
        <w:rPr>
          <w:rFonts w:hint="eastAsia"/>
        </w:rPr>
        <w:t>安置，坝区施工营地周边有少量零散居民分布。供水管线工程两侧</w:t>
      </w:r>
      <w:r>
        <w:rPr>
          <w:rFonts w:hint="eastAsia"/>
        </w:rPr>
        <w:t>100m</w:t>
      </w:r>
      <w:r w:rsidRPr="0060095B">
        <w:rPr>
          <w:rFonts w:hint="eastAsia"/>
        </w:rPr>
        <w:t>范围内有零散分布的居民等环境敏感点，无铁路、水利枢纽等大型基础设施。</w:t>
      </w:r>
    </w:p>
    <w:p w:rsidR="0060095B" w:rsidRDefault="0060095B" w:rsidP="0060095B">
      <w:pPr>
        <w:pStyle w:val="2"/>
      </w:pPr>
      <w:bookmarkStart w:id="116" w:name="_Toc80170155"/>
      <w:r w:rsidRPr="0060095B">
        <w:rPr>
          <w:rFonts w:hint="eastAsia"/>
        </w:rPr>
        <w:t>环境保护措施及主要环境影响分析</w:t>
      </w:r>
      <w:bookmarkEnd w:id="116"/>
    </w:p>
    <w:p w:rsidR="0060095B" w:rsidRDefault="0060095B" w:rsidP="0060095B">
      <w:pPr>
        <w:pStyle w:val="3"/>
      </w:pPr>
      <w:r w:rsidRPr="0060095B">
        <w:rPr>
          <w:rFonts w:hint="eastAsia"/>
        </w:rPr>
        <w:t>生态环境保护措施及环境影响评价结论</w:t>
      </w:r>
    </w:p>
    <w:p w:rsidR="0060095B" w:rsidRDefault="001572D4" w:rsidP="0060095B">
      <w:pPr>
        <w:ind w:firstLine="480"/>
      </w:pPr>
      <w:r>
        <w:rPr>
          <w:rFonts w:hint="eastAsia"/>
        </w:rPr>
        <w:t>（</w:t>
      </w:r>
      <w:r>
        <w:rPr>
          <w:rFonts w:hint="eastAsia"/>
        </w:rPr>
        <w:t>1</w:t>
      </w:r>
      <w:r>
        <w:rPr>
          <w:rFonts w:hint="eastAsia"/>
        </w:rPr>
        <w:t>）</w:t>
      </w:r>
      <w:r w:rsidRPr="001572D4">
        <w:rPr>
          <w:rFonts w:hint="eastAsia"/>
        </w:rPr>
        <w:t>为减轻减水段减水影响，在大坝设置生态流量放水管，</w:t>
      </w:r>
      <w:r>
        <w:rPr>
          <w:rFonts w:hint="eastAsia"/>
        </w:rPr>
        <w:t>两河口</w:t>
      </w:r>
      <w:r w:rsidRPr="001572D4">
        <w:rPr>
          <w:rFonts w:hint="eastAsia"/>
        </w:rPr>
        <w:t>水库下泄生态基流不得小于</w:t>
      </w:r>
      <w:r>
        <w:rPr>
          <w:rFonts w:hint="eastAsia"/>
        </w:rPr>
        <w:t>0.312</w:t>
      </w:r>
      <w:r w:rsidRPr="001572D4">
        <w:rPr>
          <w:rFonts w:hint="eastAsia"/>
        </w:rPr>
        <w:t>m</w:t>
      </w:r>
      <w:r w:rsidRPr="001572D4">
        <w:rPr>
          <w:rFonts w:hint="eastAsia"/>
          <w:vertAlign w:val="superscript"/>
        </w:rPr>
        <w:t>3</w:t>
      </w:r>
      <w:r w:rsidRPr="001572D4">
        <w:rPr>
          <w:rFonts w:hint="eastAsia"/>
        </w:rPr>
        <w:t>/s</w:t>
      </w:r>
      <w:r w:rsidRPr="001572D4">
        <w:rPr>
          <w:rFonts w:hint="eastAsia"/>
        </w:rPr>
        <w:t>，并须持续放流。</w:t>
      </w:r>
    </w:p>
    <w:p w:rsidR="001572D4" w:rsidRDefault="001572D4" w:rsidP="001572D4">
      <w:pPr>
        <w:ind w:firstLine="480"/>
      </w:pPr>
      <w:r>
        <w:rPr>
          <w:rFonts w:hint="eastAsia"/>
        </w:rPr>
        <w:t>（</w:t>
      </w:r>
      <w:r>
        <w:rPr>
          <w:rFonts w:hint="eastAsia"/>
        </w:rPr>
        <w:t>2</w:t>
      </w:r>
      <w:r>
        <w:rPr>
          <w:rFonts w:hint="eastAsia"/>
        </w:rPr>
        <w:t>）施工期主要采取避让的措施，</w:t>
      </w:r>
      <w:r w:rsidRPr="001572D4">
        <w:rPr>
          <w:rFonts w:hint="eastAsia"/>
        </w:rPr>
        <w:t>通过宣传植物的显著的特征，使施工人员会识别分布在此地的保护植物，避免对保护植物的伤害。</w:t>
      </w:r>
      <w:r>
        <w:rPr>
          <w:rFonts w:hint="eastAsia"/>
        </w:rPr>
        <w:t>无法避让的，施工结束后，对于标志装和伴行道等永久占用的植被，应采取异地补偿的方式减缓对林地的破坏。</w:t>
      </w:r>
      <w:r w:rsidRPr="001572D4">
        <w:rPr>
          <w:rFonts w:hint="eastAsia"/>
        </w:rPr>
        <w:t>本项目移民安置主要为生产安置，结合库区移民情况，合理利用土地资源，在移民安置生产的同时，要利用荒山、荒坡，房前屋后植树造林，积极推广庭院生态，绿化环境，调整种植结构，使移民在短期内恢复和提高现有的生活水平。</w:t>
      </w:r>
      <w:r>
        <w:rPr>
          <w:rFonts w:hint="eastAsia"/>
        </w:rPr>
        <w:t>生态恢复补偿除实施植物保护和恢复措施外，应对工程占用和淹没的有较高生态价值的林地进行造林补偿，最终实现林地的占补平衡。造林补偿应首先安</w:t>
      </w:r>
      <w:r>
        <w:rPr>
          <w:rFonts w:hint="eastAsia"/>
        </w:rPr>
        <w:lastRenderedPageBreak/>
        <w:t>排在库区范围内，并酌情推广到库区外的区域，用以绿化荒山或改善林分质量，选用的树种应为当地普遍种</w:t>
      </w:r>
      <w:r w:rsidR="00E97427">
        <w:rPr>
          <w:rFonts w:hint="eastAsia"/>
        </w:rPr>
        <w:t>（</w:t>
      </w:r>
      <w:r>
        <w:rPr>
          <w:rFonts w:hint="eastAsia"/>
        </w:rPr>
        <w:t>如柏树、杉树等</w:t>
      </w:r>
      <w:r w:rsidR="00E97427">
        <w:rPr>
          <w:rFonts w:hint="eastAsia"/>
        </w:rPr>
        <w:t>）</w:t>
      </w:r>
      <w:r>
        <w:rPr>
          <w:rFonts w:hint="eastAsia"/>
        </w:rPr>
        <w:t>，有较高的造林成活率和生态功能。</w:t>
      </w:r>
    </w:p>
    <w:p w:rsidR="0060095B" w:rsidRDefault="001572D4" w:rsidP="0060095B">
      <w:pPr>
        <w:ind w:firstLine="480"/>
      </w:pPr>
      <w:r w:rsidRPr="001572D4">
        <w:rPr>
          <w:rFonts w:hint="eastAsia"/>
        </w:rPr>
        <w:t>工程施工时，一些大型作业及爆破活动等要避开地上活动的鸟兽及爬行类动物活动的高峰期，不选择晨昏等时间进行。尽量在征地范围内施工，减少对周围植被的占用与压踏；施工时的固体废物与粉状材料物要堆放好，避免流失而影响土质与水质</w:t>
      </w:r>
      <w:r>
        <w:rPr>
          <w:rFonts w:hint="eastAsia"/>
        </w:rPr>
        <w:t>。</w:t>
      </w:r>
    </w:p>
    <w:p w:rsidR="001572D4" w:rsidRDefault="001572D4" w:rsidP="0060095B">
      <w:pPr>
        <w:ind w:firstLine="480"/>
      </w:pPr>
      <w:r>
        <w:rPr>
          <w:rFonts w:hint="eastAsia"/>
        </w:rPr>
        <w:t>（</w:t>
      </w:r>
      <w:r>
        <w:rPr>
          <w:rFonts w:hint="eastAsia"/>
        </w:rPr>
        <w:t>3</w:t>
      </w:r>
      <w:r>
        <w:rPr>
          <w:rFonts w:hint="eastAsia"/>
        </w:rPr>
        <w:t>）水库开始蓄水，为解决初期蓄水期间坝下河段的生态用水，在水库水位达到死水位</w:t>
      </w:r>
      <w:r>
        <w:rPr>
          <w:rFonts w:hint="eastAsia"/>
        </w:rPr>
        <w:t>1013m</w:t>
      </w:r>
      <w:r>
        <w:rPr>
          <w:rFonts w:hint="eastAsia"/>
        </w:rPr>
        <w:t>之前，环评建议考虑采用水泵从上游抽水至坝下实现向下游泄放生态流量的功能。</w:t>
      </w:r>
    </w:p>
    <w:p w:rsidR="001572D4" w:rsidRDefault="001572D4" w:rsidP="004C0EE9">
      <w:pPr>
        <w:pStyle w:val="3"/>
      </w:pPr>
      <w:r w:rsidRPr="001572D4">
        <w:rPr>
          <w:rFonts w:hint="eastAsia"/>
        </w:rPr>
        <w:t>地表水环境保护措施及环境影响评价结论</w:t>
      </w:r>
    </w:p>
    <w:p w:rsidR="004C0EE9" w:rsidRDefault="004C0EE9" w:rsidP="004C0EE9">
      <w:pPr>
        <w:ind w:firstLine="480"/>
      </w:pPr>
      <w:r>
        <w:rPr>
          <w:rFonts w:hint="eastAsia"/>
        </w:rPr>
        <w:t>施工车辆及设备清洗废水经隔油、沉淀处理达标后，可直接回用生产或作场地洒水用。基坑废水经沉淀处理后回用于砼拌合，或作场地洒水用。隧洞施工漏失废水设置简易沉淀池处理后回用。施工期生活污水经一体化污水处理设施处理。各类污废水均不外排。</w:t>
      </w:r>
    </w:p>
    <w:p w:rsidR="001572D4" w:rsidRPr="004C0EE9" w:rsidRDefault="004C0EE9" w:rsidP="004C0EE9">
      <w:pPr>
        <w:ind w:firstLine="480"/>
      </w:pPr>
      <w:r>
        <w:rPr>
          <w:rFonts w:hint="eastAsia"/>
        </w:rPr>
        <w:t>运营期管理人员生活污水经三格化粪池处理之后用于林地灌溉，不得外排。运营期间，水库业主应连同当地政府、农业部门一同加强水库集雨范围内的污染监督管理，避免违规企业建设和运行对水库的影响。</w:t>
      </w:r>
    </w:p>
    <w:p w:rsidR="001572D4" w:rsidRDefault="001572D4" w:rsidP="004C0EE9">
      <w:pPr>
        <w:pStyle w:val="3"/>
      </w:pPr>
      <w:r w:rsidRPr="001572D4">
        <w:rPr>
          <w:rFonts w:hint="eastAsia"/>
        </w:rPr>
        <w:t>环境空气保护措施及环境影响评价结论</w:t>
      </w:r>
    </w:p>
    <w:p w:rsidR="004C0EE9" w:rsidRDefault="004C0EE9" w:rsidP="004C0EE9">
      <w:pPr>
        <w:ind w:firstLine="480"/>
      </w:pPr>
      <w:r>
        <w:rPr>
          <w:rFonts w:hint="eastAsia"/>
        </w:rPr>
        <w:t>施工期应采取湿法爆破工艺，材料密闭运输和工棚堆放，限速行驶，清洁路面，</w:t>
      </w:r>
      <w:r>
        <w:rPr>
          <w:rFonts w:hint="eastAsia"/>
        </w:rPr>
        <w:t xml:space="preserve"> </w:t>
      </w:r>
      <w:r>
        <w:rPr>
          <w:rFonts w:hint="eastAsia"/>
        </w:rPr>
        <w:t>洒水抑尘，围栏施工，严禁高处抛撒，及时绿化等措施降低施工扬尘影响。通过采取选择尾气达标施工机械，注意机械的保养和维修等措施尽量减轻施工机械尾气不利影响。经处理后，施工废气对周边环境影响较小。</w:t>
      </w:r>
    </w:p>
    <w:p w:rsidR="004C0EE9" w:rsidRDefault="004C0EE9" w:rsidP="004C0EE9">
      <w:pPr>
        <w:ind w:firstLine="480"/>
      </w:pPr>
      <w:r>
        <w:rPr>
          <w:rFonts w:hint="eastAsia"/>
        </w:rPr>
        <w:t>运营期工程自身无大气污染源，运营期对环境空气基本无影响。</w:t>
      </w:r>
    </w:p>
    <w:p w:rsidR="004C0EE9" w:rsidRDefault="004C0EE9" w:rsidP="004C0EE9">
      <w:pPr>
        <w:pStyle w:val="3"/>
      </w:pPr>
      <w:r w:rsidRPr="004C0EE9">
        <w:rPr>
          <w:rFonts w:hint="eastAsia"/>
        </w:rPr>
        <w:t>地下水环境保护措施及环境影响评价结论</w:t>
      </w:r>
    </w:p>
    <w:p w:rsidR="004C0EE9" w:rsidRDefault="004C0EE9" w:rsidP="004C0EE9">
      <w:pPr>
        <w:ind w:firstLine="480"/>
      </w:pPr>
      <w:r>
        <w:rPr>
          <w:rFonts w:hint="eastAsia"/>
        </w:rPr>
        <w:t>项目库岸</w:t>
      </w:r>
      <w:r w:rsidRPr="004C0EE9">
        <w:rPr>
          <w:rFonts w:hint="eastAsia"/>
        </w:rPr>
        <w:t>岩体以硬质岩为主，岩层倾角平缓，总体岩质岸坡稳定性较好。但由于受北西向构造断裂以及卸荷裂隙影响，局部靠近岸坡陡壁以下产生崩塌堆积，总体方量较小，大多处于库区回水线以下，成库后，对库岸稳定影响不大。环评</w:t>
      </w:r>
      <w:r w:rsidRPr="004C0EE9">
        <w:rPr>
          <w:rFonts w:hint="eastAsia"/>
        </w:rPr>
        <w:lastRenderedPageBreak/>
        <w:t>建议对该范围进行加固处理，在正常蓄水位降至死水位、暴雨、边坡排水时效及地震发生的情况下，加强对该地区的监测和库区库岸巡视。</w:t>
      </w:r>
    </w:p>
    <w:p w:rsidR="004C0EE9" w:rsidRDefault="004C0EE9" w:rsidP="004C0EE9">
      <w:pPr>
        <w:pStyle w:val="2"/>
      </w:pPr>
      <w:bookmarkStart w:id="117" w:name="_Toc80170156"/>
      <w:r w:rsidRPr="004C0EE9">
        <w:rPr>
          <w:rFonts w:hint="eastAsia"/>
        </w:rPr>
        <w:t>环境风险分析结论</w:t>
      </w:r>
      <w:bookmarkEnd w:id="117"/>
    </w:p>
    <w:p w:rsidR="004C0EE9" w:rsidRDefault="004C0EE9" w:rsidP="004C0EE9">
      <w:pPr>
        <w:ind w:firstLine="480"/>
      </w:pPr>
      <w:r w:rsidRPr="004C0EE9">
        <w:rPr>
          <w:rFonts w:hint="eastAsia"/>
        </w:rPr>
        <w:t>通过对拟建</w:t>
      </w:r>
      <w:r>
        <w:rPr>
          <w:rFonts w:hint="eastAsia"/>
        </w:rPr>
        <w:t>两河口</w:t>
      </w:r>
      <w:r w:rsidRPr="004C0EE9">
        <w:rPr>
          <w:rFonts w:hint="eastAsia"/>
        </w:rPr>
        <w:t>水库项目各类风险的分析，本项目建设和运行的风险可信度均较小，不构成影响工程能否建设或运行的关键因素。因此，本评价认为项目从环境风险上讲是可行的。</w:t>
      </w:r>
    </w:p>
    <w:p w:rsidR="004C0EE9" w:rsidRDefault="004C0EE9" w:rsidP="004C0EE9">
      <w:pPr>
        <w:pStyle w:val="2"/>
      </w:pPr>
      <w:bookmarkStart w:id="118" w:name="_Toc80170157"/>
      <w:r w:rsidRPr="004C0EE9">
        <w:rPr>
          <w:rFonts w:hint="eastAsia"/>
        </w:rPr>
        <w:t>环境监测与管理</w:t>
      </w:r>
      <w:bookmarkEnd w:id="118"/>
    </w:p>
    <w:p w:rsidR="004C0EE9" w:rsidRDefault="004C0EE9" w:rsidP="004C0EE9">
      <w:pPr>
        <w:ind w:firstLine="480"/>
      </w:pPr>
      <w:r w:rsidRPr="004C0EE9">
        <w:rPr>
          <w:rFonts w:hint="eastAsia"/>
        </w:rPr>
        <w:t>企业应做好施工期和运营期项目环境管理工作，对废水、废气及噪声进行定期监测，以便掌握设施运行及处理效果，确保污染治理设施正常运行。验收监测及例行监测均委托有资质的环境监测单位承担。</w:t>
      </w:r>
    </w:p>
    <w:p w:rsidR="004C0EE9" w:rsidRDefault="004C0EE9" w:rsidP="004C0EE9">
      <w:pPr>
        <w:pStyle w:val="2"/>
      </w:pPr>
      <w:bookmarkStart w:id="119" w:name="_Toc80170158"/>
      <w:r w:rsidRPr="004C0EE9">
        <w:rPr>
          <w:rFonts w:hint="eastAsia"/>
        </w:rPr>
        <w:t>环境影响经济损益分析</w:t>
      </w:r>
      <w:bookmarkEnd w:id="119"/>
    </w:p>
    <w:p w:rsidR="004C0EE9" w:rsidRDefault="004C0EE9" w:rsidP="004C0EE9">
      <w:pPr>
        <w:ind w:firstLine="480"/>
      </w:pPr>
      <w:r w:rsidRPr="004C0EE9">
        <w:rPr>
          <w:rFonts w:hint="eastAsia"/>
        </w:rPr>
        <w:t>本项目建设的整体效益远大于其对环境带来的负面影响，只要加强管理，确保各项污染物防治措施的实施以及设施设备的正常运转，该项目的建成可实现经济效益和环保效益的协调统一。</w:t>
      </w:r>
    </w:p>
    <w:p w:rsidR="004C0EE9" w:rsidRDefault="004C0EE9" w:rsidP="004C0EE9">
      <w:pPr>
        <w:pStyle w:val="2"/>
      </w:pPr>
      <w:bookmarkStart w:id="120" w:name="_Toc80170159"/>
      <w:r w:rsidRPr="004C0EE9">
        <w:rPr>
          <w:rFonts w:hint="eastAsia"/>
        </w:rPr>
        <w:t>综合评价结论与建议</w:t>
      </w:r>
      <w:bookmarkEnd w:id="120"/>
    </w:p>
    <w:p w:rsidR="004C0EE9" w:rsidRDefault="004C0EE9" w:rsidP="004C0EE9">
      <w:pPr>
        <w:pStyle w:val="3"/>
      </w:pPr>
      <w:r>
        <w:rPr>
          <w:rFonts w:hint="eastAsia"/>
        </w:rPr>
        <w:t>结论</w:t>
      </w:r>
    </w:p>
    <w:p w:rsidR="004C0EE9" w:rsidRDefault="004C0EE9" w:rsidP="004C0EE9">
      <w:pPr>
        <w:ind w:firstLine="480"/>
      </w:pPr>
      <w:r>
        <w:rPr>
          <w:rFonts w:hint="eastAsia"/>
        </w:rPr>
        <w:t>两河口水库工程项目选址于</w:t>
      </w:r>
      <w:r w:rsidRPr="004C0EE9">
        <w:rPr>
          <w:rFonts w:hint="eastAsia"/>
        </w:rPr>
        <w:t>榛子乡石柱村境内</w:t>
      </w:r>
      <w:r>
        <w:rPr>
          <w:rFonts w:hint="eastAsia"/>
        </w:rPr>
        <w:t>，项目建设符合国家产业政策，符合相关区域规划要求。项目施工期及营运期所采用的污染防治措施技术经济可行，项目严格按照评价提出的污染防治措施和环境风险防范措施的要求，</w:t>
      </w:r>
      <w:r>
        <w:rPr>
          <w:rFonts w:hint="eastAsia"/>
        </w:rPr>
        <w:t xml:space="preserve"> </w:t>
      </w:r>
      <w:r>
        <w:rPr>
          <w:rFonts w:hint="eastAsia"/>
        </w:rPr>
        <w:t>项目能实现污染物达标排放，风险可控，不会改变区域环境功能。因此，从环境保护角度分析，本项目建设可行。</w:t>
      </w:r>
    </w:p>
    <w:p w:rsidR="004C0EE9" w:rsidRDefault="004C0EE9" w:rsidP="004C0EE9">
      <w:pPr>
        <w:ind w:firstLine="480"/>
      </w:pPr>
      <w:r>
        <w:rPr>
          <w:rFonts w:hint="eastAsia"/>
        </w:rPr>
        <w:t>因此，从项目环保角度分析，本项目是可行的。</w:t>
      </w:r>
    </w:p>
    <w:p w:rsidR="004C0EE9" w:rsidRDefault="004C0EE9" w:rsidP="004C0EE9">
      <w:pPr>
        <w:pStyle w:val="3"/>
      </w:pPr>
      <w:r w:rsidRPr="004C0EE9">
        <w:rPr>
          <w:rFonts w:hint="eastAsia"/>
        </w:rPr>
        <w:t>建议</w:t>
      </w:r>
    </w:p>
    <w:p w:rsidR="004C0EE9" w:rsidRDefault="004C0EE9" w:rsidP="004C0EE9">
      <w:pPr>
        <w:ind w:firstLine="480"/>
      </w:pPr>
      <w:r>
        <w:rPr>
          <w:rFonts w:hint="eastAsia"/>
        </w:rPr>
        <w:t>（</w:t>
      </w:r>
      <w:r>
        <w:rPr>
          <w:rFonts w:hint="eastAsia"/>
        </w:rPr>
        <w:t>1</w:t>
      </w:r>
      <w:r>
        <w:rPr>
          <w:rFonts w:hint="eastAsia"/>
        </w:rPr>
        <w:t>）建议建设单位加强施工现场监督和检查，确保施工单位按水土保持和</w:t>
      </w:r>
      <w:r>
        <w:rPr>
          <w:rFonts w:hint="eastAsia"/>
        </w:rPr>
        <w:lastRenderedPageBreak/>
        <w:t>环境保护措施要求进行施工。</w:t>
      </w:r>
    </w:p>
    <w:p w:rsidR="004C0EE9" w:rsidRDefault="004C0EE9" w:rsidP="004C0EE9">
      <w:pPr>
        <w:ind w:firstLine="480"/>
      </w:pPr>
      <w:r>
        <w:rPr>
          <w:rFonts w:hint="eastAsia"/>
        </w:rPr>
        <w:t>（</w:t>
      </w:r>
      <w:r>
        <w:rPr>
          <w:rFonts w:hint="eastAsia"/>
        </w:rPr>
        <w:t>2</w:t>
      </w:r>
      <w:r>
        <w:rPr>
          <w:rFonts w:hint="eastAsia"/>
        </w:rPr>
        <w:t>）建议建设单位处理好工程建设与生态保护的关系，做好水土保持、植被恢复，对区域生态影响负责，除承担直接经济补偿责任，还应担负生态补偿责任，即还应按有关规定缴纳森林植被恢复费、耕地开垦费、鱼类资源增殖保护费等。</w:t>
      </w:r>
    </w:p>
    <w:p w:rsidR="004C0EE9" w:rsidRDefault="004C0EE9" w:rsidP="004C0EE9">
      <w:pPr>
        <w:ind w:firstLine="480"/>
      </w:pPr>
      <w:r>
        <w:rPr>
          <w:rFonts w:hint="eastAsia"/>
        </w:rPr>
        <w:t>（</w:t>
      </w:r>
      <w:r>
        <w:rPr>
          <w:rFonts w:hint="eastAsia"/>
        </w:rPr>
        <w:t>3</w:t>
      </w:r>
      <w:r>
        <w:rPr>
          <w:rFonts w:hint="eastAsia"/>
        </w:rPr>
        <w:t>）建议建设单位积极采取防范措施，认真制定应急预案，防止不良事件发生，确保水库大坝安全和人群健康安全以及劳动生产安全。</w:t>
      </w:r>
    </w:p>
    <w:p w:rsidR="004C0EE9" w:rsidRPr="004C0EE9" w:rsidRDefault="004C0EE9" w:rsidP="004C0EE9">
      <w:pPr>
        <w:ind w:firstLine="480"/>
      </w:pPr>
    </w:p>
    <w:sectPr w:rsidR="004C0EE9" w:rsidRPr="004C0EE9">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1D7877" w15:done="0"/>
  <w15:commentEx w15:paraId="1C807EE9" w15:done="0"/>
  <w15:commentEx w15:paraId="3C4D2437" w15:done="0"/>
  <w15:commentEx w15:paraId="61C63449" w15:done="0"/>
  <w15:commentEx w15:paraId="08CA566F" w15:done="0"/>
  <w15:commentEx w15:paraId="247069A8" w15:done="0"/>
  <w15:commentEx w15:paraId="65693310" w15:done="0"/>
  <w15:commentEx w15:paraId="361B26C2" w15:done="0"/>
  <w15:commentEx w15:paraId="72BD4B97" w15:done="0"/>
  <w15:commentEx w15:paraId="2F7E0021" w15:done="0"/>
  <w15:commentEx w15:paraId="7D240B0C" w15:done="0"/>
  <w15:commentEx w15:paraId="599313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0DC" w:rsidRDefault="009D20DC">
      <w:pPr>
        <w:spacing w:line="240" w:lineRule="auto"/>
        <w:ind w:firstLine="480"/>
      </w:pPr>
      <w:r>
        <w:separator/>
      </w:r>
    </w:p>
  </w:endnote>
  <w:endnote w:type="continuationSeparator" w:id="0">
    <w:p w:rsidR="009D20DC" w:rsidRDefault="009D20D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0DC" w:rsidRDefault="009D20DC">
      <w:pPr>
        <w:spacing w:line="240" w:lineRule="auto"/>
        <w:ind w:firstLine="480"/>
      </w:pPr>
      <w:r>
        <w:separator/>
      </w:r>
    </w:p>
  </w:footnote>
  <w:footnote w:type="continuationSeparator" w:id="0">
    <w:p w:rsidR="009D20DC" w:rsidRDefault="009D20DC">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510" w:rsidRDefault="00450510">
    <w:pPr>
      <w:pStyle w:val="a8"/>
      <w:ind w:firstLine="360"/>
    </w:pPr>
    <w:r>
      <w:rPr>
        <w:rFonts w:hint="eastAsia"/>
      </w:rPr>
      <w:t>湖北兴山县两河口水库工程项目（重新审核）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7547F"/>
    <w:multiLevelType w:val="multilevel"/>
    <w:tmpl w:val="E37237B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171E01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59612BC3"/>
    <w:multiLevelType w:val="multilevel"/>
    <w:tmpl w:val="59612BC3"/>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5B841BD9"/>
    <w:multiLevelType w:val="multilevel"/>
    <w:tmpl w:val="5B841B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5E827A1B"/>
    <w:multiLevelType w:val="multilevel"/>
    <w:tmpl w:val="5E827A1B"/>
    <w:lvl w:ilvl="0">
      <w:start w:val="1"/>
      <w:numFmt w:val="decimal"/>
      <w:lvlText w:val="（%1）"/>
      <w:lvlJc w:val="left"/>
      <w:pPr>
        <w:ind w:left="0" w:firstLine="480"/>
      </w:pPr>
      <w:rPr>
        <w:rFonts w:hint="eastAsia"/>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5">
    <w:nsid w:val="613C091C"/>
    <w:multiLevelType w:val="multilevel"/>
    <w:tmpl w:val="613C091C"/>
    <w:lvl w:ilvl="0">
      <w:start w:val="1"/>
      <w:numFmt w:val="decimal"/>
      <w:lvlText w:val="（%1）"/>
      <w:lvlJc w:val="left"/>
      <w:pPr>
        <w:ind w:left="900" w:hanging="420"/>
      </w:pPr>
      <w:rPr>
        <w:rFonts w:hint="eastAsia"/>
      </w:rPr>
    </w:lvl>
    <w:lvl w:ilvl="1">
      <w:start w:val="1"/>
      <w:numFmt w:val="decimal"/>
      <w:lvlText w:val="%2、"/>
      <w:lvlJc w:val="left"/>
      <w:pPr>
        <w:ind w:left="1260" w:hanging="360"/>
      </w:pPr>
      <w:rPr>
        <w:rFonts w:hint="default"/>
      </w:rPr>
    </w:lvl>
    <w:lvl w:ilvl="2">
      <w:start w:val="1"/>
      <w:numFmt w:val="decimalEnclosedCircle"/>
      <w:lvlText w:val="%3"/>
      <w:lvlJc w:val="left"/>
      <w:pPr>
        <w:ind w:left="644" w:hanging="360"/>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XL">
    <w15:presenceInfo w15:providerId="None" w15:userId="SXL"/>
  </w15:person>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A6B"/>
    <w:rsid w:val="0000338A"/>
    <w:rsid w:val="00006747"/>
    <w:rsid w:val="0001187F"/>
    <w:rsid w:val="0001363A"/>
    <w:rsid w:val="00015F6A"/>
    <w:rsid w:val="0002021A"/>
    <w:rsid w:val="0002410C"/>
    <w:rsid w:val="00024159"/>
    <w:rsid w:val="00024C16"/>
    <w:rsid w:val="00026CF6"/>
    <w:rsid w:val="00027D74"/>
    <w:rsid w:val="00035FEE"/>
    <w:rsid w:val="00037F17"/>
    <w:rsid w:val="00040C76"/>
    <w:rsid w:val="00046954"/>
    <w:rsid w:val="00051C2B"/>
    <w:rsid w:val="00052541"/>
    <w:rsid w:val="000600D4"/>
    <w:rsid w:val="0006705A"/>
    <w:rsid w:val="00067BD5"/>
    <w:rsid w:val="00075DD4"/>
    <w:rsid w:val="000760F0"/>
    <w:rsid w:val="000844DE"/>
    <w:rsid w:val="00085976"/>
    <w:rsid w:val="00085DB2"/>
    <w:rsid w:val="00085F1F"/>
    <w:rsid w:val="00086B93"/>
    <w:rsid w:val="000909F2"/>
    <w:rsid w:val="000942E1"/>
    <w:rsid w:val="0009451C"/>
    <w:rsid w:val="000961A8"/>
    <w:rsid w:val="000A3165"/>
    <w:rsid w:val="000A5155"/>
    <w:rsid w:val="000A7C4C"/>
    <w:rsid w:val="000B0235"/>
    <w:rsid w:val="000B1DBE"/>
    <w:rsid w:val="000B6CCD"/>
    <w:rsid w:val="000C6D59"/>
    <w:rsid w:val="000D3F7A"/>
    <w:rsid w:val="000D4EBE"/>
    <w:rsid w:val="000D7339"/>
    <w:rsid w:val="000D7F7C"/>
    <w:rsid w:val="000E0C09"/>
    <w:rsid w:val="000E25F0"/>
    <w:rsid w:val="000E4DE0"/>
    <w:rsid w:val="000F5081"/>
    <w:rsid w:val="000F5489"/>
    <w:rsid w:val="00101C56"/>
    <w:rsid w:val="00104D22"/>
    <w:rsid w:val="00105314"/>
    <w:rsid w:val="001053A2"/>
    <w:rsid w:val="00110CCC"/>
    <w:rsid w:val="00116909"/>
    <w:rsid w:val="00122D67"/>
    <w:rsid w:val="001230B9"/>
    <w:rsid w:val="00125598"/>
    <w:rsid w:val="00125F7C"/>
    <w:rsid w:val="00127F95"/>
    <w:rsid w:val="00130F45"/>
    <w:rsid w:val="00131237"/>
    <w:rsid w:val="0013178B"/>
    <w:rsid w:val="00135513"/>
    <w:rsid w:val="00135C74"/>
    <w:rsid w:val="00137F22"/>
    <w:rsid w:val="00141A75"/>
    <w:rsid w:val="00143FC6"/>
    <w:rsid w:val="00144747"/>
    <w:rsid w:val="00153600"/>
    <w:rsid w:val="00154F74"/>
    <w:rsid w:val="001572D4"/>
    <w:rsid w:val="00160797"/>
    <w:rsid w:val="00160EAB"/>
    <w:rsid w:val="001613EF"/>
    <w:rsid w:val="00162AD3"/>
    <w:rsid w:val="00165AB7"/>
    <w:rsid w:val="00177073"/>
    <w:rsid w:val="001816EC"/>
    <w:rsid w:val="00182083"/>
    <w:rsid w:val="001832C8"/>
    <w:rsid w:val="0018565C"/>
    <w:rsid w:val="001900CD"/>
    <w:rsid w:val="00193848"/>
    <w:rsid w:val="00194F54"/>
    <w:rsid w:val="00196E2E"/>
    <w:rsid w:val="001971B3"/>
    <w:rsid w:val="001973BF"/>
    <w:rsid w:val="001A7412"/>
    <w:rsid w:val="001A788C"/>
    <w:rsid w:val="001B126B"/>
    <w:rsid w:val="001B5D87"/>
    <w:rsid w:val="001C1CCE"/>
    <w:rsid w:val="001C2449"/>
    <w:rsid w:val="001C2715"/>
    <w:rsid w:val="001C3479"/>
    <w:rsid w:val="001C67B1"/>
    <w:rsid w:val="001D0357"/>
    <w:rsid w:val="001D2AF5"/>
    <w:rsid w:val="001D4824"/>
    <w:rsid w:val="001D78BA"/>
    <w:rsid w:val="001D790D"/>
    <w:rsid w:val="001D7F5A"/>
    <w:rsid w:val="001E2777"/>
    <w:rsid w:val="001E4B2B"/>
    <w:rsid w:val="001E7CAD"/>
    <w:rsid w:val="001F2AA2"/>
    <w:rsid w:val="001F2E02"/>
    <w:rsid w:val="001F5808"/>
    <w:rsid w:val="002001B7"/>
    <w:rsid w:val="00202147"/>
    <w:rsid w:val="00204164"/>
    <w:rsid w:val="002048C8"/>
    <w:rsid w:val="00211F3F"/>
    <w:rsid w:val="00217219"/>
    <w:rsid w:val="00225771"/>
    <w:rsid w:val="00231BAD"/>
    <w:rsid w:val="00232BD7"/>
    <w:rsid w:val="00236897"/>
    <w:rsid w:val="00241AED"/>
    <w:rsid w:val="00241EDD"/>
    <w:rsid w:val="00242F3E"/>
    <w:rsid w:val="00244422"/>
    <w:rsid w:val="002478C8"/>
    <w:rsid w:val="00250583"/>
    <w:rsid w:val="002535D8"/>
    <w:rsid w:val="002612E7"/>
    <w:rsid w:val="00264FDA"/>
    <w:rsid w:val="00265EAD"/>
    <w:rsid w:val="00270006"/>
    <w:rsid w:val="0027430A"/>
    <w:rsid w:val="00276305"/>
    <w:rsid w:val="00280D4A"/>
    <w:rsid w:val="00281269"/>
    <w:rsid w:val="00282813"/>
    <w:rsid w:val="00291F70"/>
    <w:rsid w:val="00292270"/>
    <w:rsid w:val="00292A66"/>
    <w:rsid w:val="00296547"/>
    <w:rsid w:val="002978FF"/>
    <w:rsid w:val="00297FF9"/>
    <w:rsid w:val="002A3D59"/>
    <w:rsid w:val="002B2331"/>
    <w:rsid w:val="002B2DF2"/>
    <w:rsid w:val="002B35E8"/>
    <w:rsid w:val="002B361D"/>
    <w:rsid w:val="002B4E63"/>
    <w:rsid w:val="002B5560"/>
    <w:rsid w:val="002C26F0"/>
    <w:rsid w:val="002C34B6"/>
    <w:rsid w:val="002D22B7"/>
    <w:rsid w:val="002D4367"/>
    <w:rsid w:val="002D7F21"/>
    <w:rsid w:val="002E08AB"/>
    <w:rsid w:val="002E2366"/>
    <w:rsid w:val="002E33A4"/>
    <w:rsid w:val="002E3F6B"/>
    <w:rsid w:val="002E624B"/>
    <w:rsid w:val="002E7213"/>
    <w:rsid w:val="002F0440"/>
    <w:rsid w:val="002F2AB7"/>
    <w:rsid w:val="002F6655"/>
    <w:rsid w:val="002F7059"/>
    <w:rsid w:val="003026E8"/>
    <w:rsid w:val="00303BF9"/>
    <w:rsid w:val="00307A5C"/>
    <w:rsid w:val="00310F55"/>
    <w:rsid w:val="00311467"/>
    <w:rsid w:val="003115FD"/>
    <w:rsid w:val="00312F86"/>
    <w:rsid w:val="00314DE8"/>
    <w:rsid w:val="00317474"/>
    <w:rsid w:val="003201BF"/>
    <w:rsid w:val="00326302"/>
    <w:rsid w:val="003269B2"/>
    <w:rsid w:val="003322ED"/>
    <w:rsid w:val="003336E9"/>
    <w:rsid w:val="00334BDF"/>
    <w:rsid w:val="0033643C"/>
    <w:rsid w:val="003404EC"/>
    <w:rsid w:val="003449F2"/>
    <w:rsid w:val="00347A39"/>
    <w:rsid w:val="00347F30"/>
    <w:rsid w:val="00353037"/>
    <w:rsid w:val="0036064B"/>
    <w:rsid w:val="0036216C"/>
    <w:rsid w:val="003707D1"/>
    <w:rsid w:val="00372B45"/>
    <w:rsid w:val="00373765"/>
    <w:rsid w:val="00384B70"/>
    <w:rsid w:val="003860EC"/>
    <w:rsid w:val="00392B7F"/>
    <w:rsid w:val="003935AD"/>
    <w:rsid w:val="003948BD"/>
    <w:rsid w:val="0039695C"/>
    <w:rsid w:val="003A56BD"/>
    <w:rsid w:val="003B1225"/>
    <w:rsid w:val="003B20F8"/>
    <w:rsid w:val="003B480F"/>
    <w:rsid w:val="003B6AE1"/>
    <w:rsid w:val="003C2EF6"/>
    <w:rsid w:val="003C5C42"/>
    <w:rsid w:val="003C709B"/>
    <w:rsid w:val="003D0B59"/>
    <w:rsid w:val="003D3F23"/>
    <w:rsid w:val="003D59CC"/>
    <w:rsid w:val="003D64EA"/>
    <w:rsid w:val="003D7F37"/>
    <w:rsid w:val="003E04C9"/>
    <w:rsid w:val="003E3DEA"/>
    <w:rsid w:val="00403123"/>
    <w:rsid w:val="004063A1"/>
    <w:rsid w:val="00411A0A"/>
    <w:rsid w:val="00412B2F"/>
    <w:rsid w:val="004202A0"/>
    <w:rsid w:val="00420AA7"/>
    <w:rsid w:val="00421FAE"/>
    <w:rsid w:val="004222B9"/>
    <w:rsid w:val="004237AB"/>
    <w:rsid w:val="00424C3D"/>
    <w:rsid w:val="004358F9"/>
    <w:rsid w:val="00436A18"/>
    <w:rsid w:val="00441762"/>
    <w:rsid w:val="00441BE3"/>
    <w:rsid w:val="0044468C"/>
    <w:rsid w:val="004469DE"/>
    <w:rsid w:val="00446EB1"/>
    <w:rsid w:val="00450510"/>
    <w:rsid w:val="00452733"/>
    <w:rsid w:val="0045314E"/>
    <w:rsid w:val="00454B56"/>
    <w:rsid w:val="00456135"/>
    <w:rsid w:val="004579BB"/>
    <w:rsid w:val="00461EE9"/>
    <w:rsid w:val="0046287F"/>
    <w:rsid w:val="00464ED9"/>
    <w:rsid w:val="00465AEE"/>
    <w:rsid w:val="00466F2B"/>
    <w:rsid w:val="0047180D"/>
    <w:rsid w:val="0047278D"/>
    <w:rsid w:val="00472A14"/>
    <w:rsid w:val="00475718"/>
    <w:rsid w:val="004766CC"/>
    <w:rsid w:val="0048688D"/>
    <w:rsid w:val="00493A28"/>
    <w:rsid w:val="0049567F"/>
    <w:rsid w:val="00497D95"/>
    <w:rsid w:val="004A1456"/>
    <w:rsid w:val="004A1A99"/>
    <w:rsid w:val="004B2538"/>
    <w:rsid w:val="004B6E32"/>
    <w:rsid w:val="004C0ABF"/>
    <w:rsid w:val="004C0B72"/>
    <w:rsid w:val="004C0EE9"/>
    <w:rsid w:val="004C19E0"/>
    <w:rsid w:val="004C284C"/>
    <w:rsid w:val="004C3FC2"/>
    <w:rsid w:val="004C7D01"/>
    <w:rsid w:val="004D0F0F"/>
    <w:rsid w:val="004D58A3"/>
    <w:rsid w:val="004D6119"/>
    <w:rsid w:val="004E1977"/>
    <w:rsid w:val="004E35E1"/>
    <w:rsid w:val="004E36CC"/>
    <w:rsid w:val="004E4CE0"/>
    <w:rsid w:val="004E5222"/>
    <w:rsid w:val="004E74D8"/>
    <w:rsid w:val="004E7A12"/>
    <w:rsid w:val="004F1BF6"/>
    <w:rsid w:val="004F1DB2"/>
    <w:rsid w:val="004F5E6D"/>
    <w:rsid w:val="004F662F"/>
    <w:rsid w:val="004F7840"/>
    <w:rsid w:val="00501583"/>
    <w:rsid w:val="005025B0"/>
    <w:rsid w:val="00506858"/>
    <w:rsid w:val="00507E6A"/>
    <w:rsid w:val="00513C67"/>
    <w:rsid w:val="00514D7A"/>
    <w:rsid w:val="005159D6"/>
    <w:rsid w:val="005159D9"/>
    <w:rsid w:val="00522393"/>
    <w:rsid w:val="005258E2"/>
    <w:rsid w:val="005339DB"/>
    <w:rsid w:val="00533E65"/>
    <w:rsid w:val="005366CE"/>
    <w:rsid w:val="00540ECD"/>
    <w:rsid w:val="00542D66"/>
    <w:rsid w:val="005571D1"/>
    <w:rsid w:val="005629AA"/>
    <w:rsid w:val="00562F7A"/>
    <w:rsid w:val="005636AE"/>
    <w:rsid w:val="00564E5D"/>
    <w:rsid w:val="00572331"/>
    <w:rsid w:val="00572E30"/>
    <w:rsid w:val="0057359C"/>
    <w:rsid w:val="0057415C"/>
    <w:rsid w:val="005755CA"/>
    <w:rsid w:val="00576B8B"/>
    <w:rsid w:val="005807F0"/>
    <w:rsid w:val="0059183F"/>
    <w:rsid w:val="005924D7"/>
    <w:rsid w:val="00592BE0"/>
    <w:rsid w:val="005C391C"/>
    <w:rsid w:val="005C65FD"/>
    <w:rsid w:val="005C7460"/>
    <w:rsid w:val="005D16E0"/>
    <w:rsid w:val="005D2C0B"/>
    <w:rsid w:val="005E6809"/>
    <w:rsid w:val="005F0E6E"/>
    <w:rsid w:val="005F6804"/>
    <w:rsid w:val="0060095B"/>
    <w:rsid w:val="006106A6"/>
    <w:rsid w:val="006175A6"/>
    <w:rsid w:val="006210CA"/>
    <w:rsid w:val="0062196B"/>
    <w:rsid w:val="00625854"/>
    <w:rsid w:val="00627A60"/>
    <w:rsid w:val="00627B78"/>
    <w:rsid w:val="00633623"/>
    <w:rsid w:val="00636320"/>
    <w:rsid w:val="006378E1"/>
    <w:rsid w:val="00640E43"/>
    <w:rsid w:val="006428EE"/>
    <w:rsid w:val="00646C78"/>
    <w:rsid w:val="00646C7F"/>
    <w:rsid w:val="00647C37"/>
    <w:rsid w:val="00651CE2"/>
    <w:rsid w:val="0065425F"/>
    <w:rsid w:val="00654319"/>
    <w:rsid w:val="00656549"/>
    <w:rsid w:val="006600C3"/>
    <w:rsid w:val="0066455F"/>
    <w:rsid w:val="006672F0"/>
    <w:rsid w:val="00672906"/>
    <w:rsid w:val="00674B7F"/>
    <w:rsid w:val="00674DED"/>
    <w:rsid w:val="00675E4D"/>
    <w:rsid w:val="0068072F"/>
    <w:rsid w:val="00680FB0"/>
    <w:rsid w:val="006839C4"/>
    <w:rsid w:val="00690B90"/>
    <w:rsid w:val="0069258F"/>
    <w:rsid w:val="00695123"/>
    <w:rsid w:val="006A066A"/>
    <w:rsid w:val="006A223A"/>
    <w:rsid w:val="006A6EE9"/>
    <w:rsid w:val="006B018F"/>
    <w:rsid w:val="006B3601"/>
    <w:rsid w:val="006B45DA"/>
    <w:rsid w:val="006B5104"/>
    <w:rsid w:val="006C0EFB"/>
    <w:rsid w:val="006C4114"/>
    <w:rsid w:val="006C4BDB"/>
    <w:rsid w:val="006C5B51"/>
    <w:rsid w:val="006C6F55"/>
    <w:rsid w:val="006D02F7"/>
    <w:rsid w:val="006D0DCE"/>
    <w:rsid w:val="006D1B7B"/>
    <w:rsid w:val="006D3318"/>
    <w:rsid w:val="006D421C"/>
    <w:rsid w:val="006E0472"/>
    <w:rsid w:val="006E0A19"/>
    <w:rsid w:val="006E0C67"/>
    <w:rsid w:val="006E0CED"/>
    <w:rsid w:val="006E138B"/>
    <w:rsid w:val="006E2483"/>
    <w:rsid w:val="006E43A5"/>
    <w:rsid w:val="006E6345"/>
    <w:rsid w:val="006F0C00"/>
    <w:rsid w:val="006F1824"/>
    <w:rsid w:val="006F190F"/>
    <w:rsid w:val="006F5178"/>
    <w:rsid w:val="006F6790"/>
    <w:rsid w:val="006F7A5D"/>
    <w:rsid w:val="007000F3"/>
    <w:rsid w:val="00701D6A"/>
    <w:rsid w:val="007027B2"/>
    <w:rsid w:val="00702905"/>
    <w:rsid w:val="0070572C"/>
    <w:rsid w:val="007063EA"/>
    <w:rsid w:val="007152E7"/>
    <w:rsid w:val="0071768F"/>
    <w:rsid w:val="00720217"/>
    <w:rsid w:val="00720277"/>
    <w:rsid w:val="0072051C"/>
    <w:rsid w:val="00724BCB"/>
    <w:rsid w:val="007257BF"/>
    <w:rsid w:val="007307B6"/>
    <w:rsid w:val="00730E0C"/>
    <w:rsid w:val="007314AB"/>
    <w:rsid w:val="00733A67"/>
    <w:rsid w:val="00735D9A"/>
    <w:rsid w:val="00736B46"/>
    <w:rsid w:val="00737782"/>
    <w:rsid w:val="00741AD8"/>
    <w:rsid w:val="0074338C"/>
    <w:rsid w:val="00762B7D"/>
    <w:rsid w:val="00764F10"/>
    <w:rsid w:val="007653BE"/>
    <w:rsid w:val="00765E98"/>
    <w:rsid w:val="0076721C"/>
    <w:rsid w:val="007828A8"/>
    <w:rsid w:val="007848AA"/>
    <w:rsid w:val="00784C07"/>
    <w:rsid w:val="007862F0"/>
    <w:rsid w:val="00786A41"/>
    <w:rsid w:val="00795A17"/>
    <w:rsid w:val="007A132B"/>
    <w:rsid w:val="007A633F"/>
    <w:rsid w:val="007A6DBB"/>
    <w:rsid w:val="007A7E0F"/>
    <w:rsid w:val="007B0F1C"/>
    <w:rsid w:val="007B1038"/>
    <w:rsid w:val="007B11BF"/>
    <w:rsid w:val="007B7101"/>
    <w:rsid w:val="007C16D2"/>
    <w:rsid w:val="007C4725"/>
    <w:rsid w:val="007D0610"/>
    <w:rsid w:val="007D3F7C"/>
    <w:rsid w:val="007D7C8D"/>
    <w:rsid w:val="007E09E7"/>
    <w:rsid w:val="007E0B4A"/>
    <w:rsid w:val="007E22CB"/>
    <w:rsid w:val="007E2A92"/>
    <w:rsid w:val="007E4339"/>
    <w:rsid w:val="007E5FE7"/>
    <w:rsid w:val="007E682D"/>
    <w:rsid w:val="007F5486"/>
    <w:rsid w:val="008052A8"/>
    <w:rsid w:val="008301B8"/>
    <w:rsid w:val="00830B4C"/>
    <w:rsid w:val="0083427A"/>
    <w:rsid w:val="008375F7"/>
    <w:rsid w:val="0084105E"/>
    <w:rsid w:val="00842D1C"/>
    <w:rsid w:val="0084485D"/>
    <w:rsid w:val="0084623B"/>
    <w:rsid w:val="00846DC7"/>
    <w:rsid w:val="00850DAD"/>
    <w:rsid w:val="008553D0"/>
    <w:rsid w:val="00865B99"/>
    <w:rsid w:val="008660ED"/>
    <w:rsid w:val="008667BB"/>
    <w:rsid w:val="00872061"/>
    <w:rsid w:val="008734AC"/>
    <w:rsid w:val="00882D8B"/>
    <w:rsid w:val="0088738E"/>
    <w:rsid w:val="00893552"/>
    <w:rsid w:val="00896456"/>
    <w:rsid w:val="008A1365"/>
    <w:rsid w:val="008A323E"/>
    <w:rsid w:val="008A6AA1"/>
    <w:rsid w:val="008B045C"/>
    <w:rsid w:val="008B3D84"/>
    <w:rsid w:val="008B47E3"/>
    <w:rsid w:val="008C0220"/>
    <w:rsid w:val="008C0F0C"/>
    <w:rsid w:val="008C2CF9"/>
    <w:rsid w:val="008C5289"/>
    <w:rsid w:val="008C6E4A"/>
    <w:rsid w:val="008C766F"/>
    <w:rsid w:val="008C7BC8"/>
    <w:rsid w:val="008D21A3"/>
    <w:rsid w:val="008D498B"/>
    <w:rsid w:val="008E2631"/>
    <w:rsid w:val="008E4ACE"/>
    <w:rsid w:val="008E5AFB"/>
    <w:rsid w:val="008F0623"/>
    <w:rsid w:val="008F1987"/>
    <w:rsid w:val="008F38AF"/>
    <w:rsid w:val="008F3F90"/>
    <w:rsid w:val="008F5A37"/>
    <w:rsid w:val="009013FC"/>
    <w:rsid w:val="00906CC7"/>
    <w:rsid w:val="00910F8A"/>
    <w:rsid w:val="00913C37"/>
    <w:rsid w:val="009141A9"/>
    <w:rsid w:val="00914AF9"/>
    <w:rsid w:val="00920BEA"/>
    <w:rsid w:val="0092515C"/>
    <w:rsid w:val="00930C9F"/>
    <w:rsid w:val="00930FF7"/>
    <w:rsid w:val="00932465"/>
    <w:rsid w:val="009351DA"/>
    <w:rsid w:val="00937512"/>
    <w:rsid w:val="00940BCF"/>
    <w:rsid w:val="00950747"/>
    <w:rsid w:val="009548B7"/>
    <w:rsid w:val="009567D5"/>
    <w:rsid w:val="00964A74"/>
    <w:rsid w:val="00967820"/>
    <w:rsid w:val="00974B53"/>
    <w:rsid w:val="00974CDF"/>
    <w:rsid w:val="0097616F"/>
    <w:rsid w:val="00976CE2"/>
    <w:rsid w:val="00984608"/>
    <w:rsid w:val="00984DC4"/>
    <w:rsid w:val="00991DC7"/>
    <w:rsid w:val="009A019D"/>
    <w:rsid w:val="009A2A6B"/>
    <w:rsid w:val="009A4245"/>
    <w:rsid w:val="009A455B"/>
    <w:rsid w:val="009A45E1"/>
    <w:rsid w:val="009A66D2"/>
    <w:rsid w:val="009A726E"/>
    <w:rsid w:val="009B0B42"/>
    <w:rsid w:val="009B47BA"/>
    <w:rsid w:val="009B4BA7"/>
    <w:rsid w:val="009B56B0"/>
    <w:rsid w:val="009B5FCB"/>
    <w:rsid w:val="009B6E21"/>
    <w:rsid w:val="009C4E16"/>
    <w:rsid w:val="009D20DC"/>
    <w:rsid w:val="009D3C81"/>
    <w:rsid w:val="009E5041"/>
    <w:rsid w:val="009E6AFD"/>
    <w:rsid w:val="009E7E29"/>
    <w:rsid w:val="009E7EB2"/>
    <w:rsid w:val="009F373D"/>
    <w:rsid w:val="009F3C45"/>
    <w:rsid w:val="009F4257"/>
    <w:rsid w:val="009F64E7"/>
    <w:rsid w:val="009F6BC7"/>
    <w:rsid w:val="009F6EFD"/>
    <w:rsid w:val="00A02674"/>
    <w:rsid w:val="00A043D5"/>
    <w:rsid w:val="00A0645C"/>
    <w:rsid w:val="00A07865"/>
    <w:rsid w:val="00A1198D"/>
    <w:rsid w:val="00A156AB"/>
    <w:rsid w:val="00A24B89"/>
    <w:rsid w:val="00A25052"/>
    <w:rsid w:val="00A26BA8"/>
    <w:rsid w:val="00A327E4"/>
    <w:rsid w:val="00A3777D"/>
    <w:rsid w:val="00A41871"/>
    <w:rsid w:val="00A42924"/>
    <w:rsid w:val="00A46288"/>
    <w:rsid w:val="00A46F39"/>
    <w:rsid w:val="00A50505"/>
    <w:rsid w:val="00A52198"/>
    <w:rsid w:val="00A524F9"/>
    <w:rsid w:val="00A53B36"/>
    <w:rsid w:val="00A5413E"/>
    <w:rsid w:val="00A566C5"/>
    <w:rsid w:val="00A56D1B"/>
    <w:rsid w:val="00A650AA"/>
    <w:rsid w:val="00A67A5E"/>
    <w:rsid w:val="00A67F2A"/>
    <w:rsid w:val="00A73FE5"/>
    <w:rsid w:val="00A74294"/>
    <w:rsid w:val="00A86988"/>
    <w:rsid w:val="00A927B5"/>
    <w:rsid w:val="00A9644B"/>
    <w:rsid w:val="00A96EBA"/>
    <w:rsid w:val="00A97856"/>
    <w:rsid w:val="00AA2228"/>
    <w:rsid w:val="00AA3C1A"/>
    <w:rsid w:val="00AA5A1C"/>
    <w:rsid w:val="00AA75F0"/>
    <w:rsid w:val="00AA772B"/>
    <w:rsid w:val="00AB467B"/>
    <w:rsid w:val="00AB5130"/>
    <w:rsid w:val="00AC2588"/>
    <w:rsid w:val="00AC5A31"/>
    <w:rsid w:val="00AC6188"/>
    <w:rsid w:val="00AC6E35"/>
    <w:rsid w:val="00AD0EFA"/>
    <w:rsid w:val="00AD1B7D"/>
    <w:rsid w:val="00AD1F30"/>
    <w:rsid w:val="00AD365A"/>
    <w:rsid w:val="00AD3E62"/>
    <w:rsid w:val="00AD4CFE"/>
    <w:rsid w:val="00AD6923"/>
    <w:rsid w:val="00AE5005"/>
    <w:rsid w:val="00AE6DB7"/>
    <w:rsid w:val="00AF0E21"/>
    <w:rsid w:val="00AF2378"/>
    <w:rsid w:val="00B01871"/>
    <w:rsid w:val="00B04B5F"/>
    <w:rsid w:val="00B071C6"/>
    <w:rsid w:val="00B07A78"/>
    <w:rsid w:val="00B12CC0"/>
    <w:rsid w:val="00B1509C"/>
    <w:rsid w:val="00B17EFF"/>
    <w:rsid w:val="00B2271D"/>
    <w:rsid w:val="00B22A0D"/>
    <w:rsid w:val="00B2755C"/>
    <w:rsid w:val="00B312C0"/>
    <w:rsid w:val="00B32F2B"/>
    <w:rsid w:val="00B343DB"/>
    <w:rsid w:val="00B348F2"/>
    <w:rsid w:val="00B359D1"/>
    <w:rsid w:val="00B41FDB"/>
    <w:rsid w:val="00B42457"/>
    <w:rsid w:val="00B5293B"/>
    <w:rsid w:val="00B54E72"/>
    <w:rsid w:val="00B57237"/>
    <w:rsid w:val="00B60EA0"/>
    <w:rsid w:val="00B61D4A"/>
    <w:rsid w:val="00B641E0"/>
    <w:rsid w:val="00B66D11"/>
    <w:rsid w:val="00B71171"/>
    <w:rsid w:val="00B7593F"/>
    <w:rsid w:val="00B81CC9"/>
    <w:rsid w:val="00B8303C"/>
    <w:rsid w:val="00B84B4F"/>
    <w:rsid w:val="00B85BCE"/>
    <w:rsid w:val="00B94B5D"/>
    <w:rsid w:val="00B961EA"/>
    <w:rsid w:val="00BB2457"/>
    <w:rsid w:val="00BB2508"/>
    <w:rsid w:val="00BB5D03"/>
    <w:rsid w:val="00BB6F3F"/>
    <w:rsid w:val="00BB73C8"/>
    <w:rsid w:val="00BC2257"/>
    <w:rsid w:val="00BC5E70"/>
    <w:rsid w:val="00BC6C73"/>
    <w:rsid w:val="00BD1BA6"/>
    <w:rsid w:val="00BD5867"/>
    <w:rsid w:val="00BE0BCF"/>
    <w:rsid w:val="00BE1605"/>
    <w:rsid w:val="00BE5158"/>
    <w:rsid w:val="00BE5BF5"/>
    <w:rsid w:val="00BE742D"/>
    <w:rsid w:val="00BF0C45"/>
    <w:rsid w:val="00BF5282"/>
    <w:rsid w:val="00BF755E"/>
    <w:rsid w:val="00C00E3F"/>
    <w:rsid w:val="00C0229D"/>
    <w:rsid w:val="00C0285E"/>
    <w:rsid w:val="00C0296B"/>
    <w:rsid w:val="00C0488C"/>
    <w:rsid w:val="00C0606D"/>
    <w:rsid w:val="00C15273"/>
    <w:rsid w:val="00C17236"/>
    <w:rsid w:val="00C212F0"/>
    <w:rsid w:val="00C23060"/>
    <w:rsid w:val="00C23708"/>
    <w:rsid w:val="00C26D29"/>
    <w:rsid w:val="00C2785A"/>
    <w:rsid w:val="00C30F4A"/>
    <w:rsid w:val="00C33627"/>
    <w:rsid w:val="00C341C7"/>
    <w:rsid w:val="00C34F4C"/>
    <w:rsid w:val="00C350A7"/>
    <w:rsid w:val="00C37268"/>
    <w:rsid w:val="00C42EA5"/>
    <w:rsid w:val="00C472CD"/>
    <w:rsid w:val="00C51FCC"/>
    <w:rsid w:val="00C548DE"/>
    <w:rsid w:val="00C56E11"/>
    <w:rsid w:val="00C57AC7"/>
    <w:rsid w:val="00C639F1"/>
    <w:rsid w:val="00C654B7"/>
    <w:rsid w:val="00C710C3"/>
    <w:rsid w:val="00C71564"/>
    <w:rsid w:val="00C71BB5"/>
    <w:rsid w:val="00C71DBA"/>
    <w:rsid w:val="00C74D82"/>
    <w:rsid w:val="00C75FC8"/>
    <w:rsid w:val="00C8513B"/>
    <w:rsid w:val="00C879C8"/>
    <w:rsid w:val="00C919E5"/>
    <w:rsid w:val="00C95895"/>
    <w:rsid w:val="00CA105F"/>
    <w:rsid w:val="00CA149F"/>
    <w:rsid w:val="00CA15DC"/>
    <w:rsid w:val="00CA2D90"/>
    <w:rsid w:val="00CA4EB2"/>
    <w:rsid w:val="00CA53A3"/>
    <w:rsid w:val="00CA6F66"/>
    <w:rsid w:val="00CB09CC"/>
    <w:rsid w:val="00CB124A"/>
    <w:rsid w:val="00CB2047"/>
    <w:rsid w:val="00CB5254"/>
    <w:rsid w:val="00CC4576"/>
    <w:rsid w:val="00CC5393"/>
    <w:rsid w:val="00CC6BEC"/>
    <w:rsid w:val="00CD4590"/>
    <w:rsid w:val="00CD5149"/>
    <w:rsid w:val="00CD51C7"/>
    <w:rsid w:val="00CD7AB2"/>
    <w:rsid w:val="00CE2BA2"/>
    <w:rsid w:val="00CE3263"/>
    <w:rsid w:val="00CE3A1F"/>
    <w:rsid w:val="00CE678F"/>
    <w:rsid w:val="00CF185F"/>
    <w:rsid w:val="00CF1EAA"/>
    <w:rsid w:val="00CF6F1B"/>
    <w:rsid w:val="00CF7428"/>
    <w:rsid w:val="00D00457"/>
    <w:rsid w:val="00D0175D"/>
    <w:rsid w:val="00D029F9"/>
    <w:rsid w:val="00D063D9"/>
    <w:rsid w:val="00D06547"/>
    <w:rsid w:val="00D154EF"/>
    <w:rsid w:val="00D15D94"/>
    <w:rsid w:val="00D20C03"/>
    <w:rsid w:val="00D20E20"/>
    <w:rsid w:val="00D238CF"/>
    <w:rsid w:val="00D25F07"/>
    <w:rsid w:val="00D33399"/>
    <w:rsid w:val="00D33586"/>
    <w:rsid w:val="00D34755"/>
    <w:rsid w:val="00D35EA7"/>
    <w:rsid w:val="00D360AF"/>
    <w:rsid w:val="00D37244"/>
    <w:rsid w:val="00D4030E"/>
    <w:rsid w:val="00D43EA2"/>
    <w:rsid w:val="00D52B23"/>
    <w:rsid w:val="00D53333"/>
    <w:rsid w:val="00D57CD7"/>
    <w:rsid w:val="00D60F06"/>
    <w:rsid w:val="00D62853"/>
    <w:rsid w:val="00D7309D"/>
    <w:rsid w:val="00D7413D"/>
    <w:rsid w:val="00D77AB8"/>
    <w:rsid w:val="00D77EA2"/>
    <w:rsid w:val="00D82750"/>
    <w:rsid w:val="00D868C6"/>
    <w:rsid w:val="00D870FC"/>
    <w:rsid w:val="00D96AAA"/>
    <w:rsid w:val="00D96E7A"/>
    <w:rsid w:val="00D97DF0"/>
    <w:rsid w:val="00D97F81"/>
    <w:rsid w:val="00DA39C0"/>
    <w:rsid w:val="00DA66F1"/>
    <w:rsid w:val="00DB59A9"/>
    <w:rsid w:val="00DC5274"/>
    <w:rsid w:val="00DD12D6"/>
    <w:rsid w:val="00DD1722"/>
    <w:rsid w:val="00DE3F8C"/>
    <w:rsid w:val="00DE418A"/>
    <w:rsid w:val="00DE5BE0"/>
    <w:rsid w:val="00DE62F0"/>
    <w:rsid w:val="00DF0E7F"/>
    <w:rsid w:val="00DF3A78"/>
    <w:rsid w:val="00DF445D"/>
    <w:rsid w:val="00DF7BFA"/>
    <w:rsid w:val="00E07C1E"/>
    <w:rsid w:val="00E10CE9"/>
    <w:rsid w:val="00E1179A"/>
    <w:rsid w:val="00E1529A"/>
    <w:rsid w:val="00E201D1"/>
    <w:rsid w:val="00E20E7B"/>
    <w:rsid w:val="00E25CB9"/>
    <w:rsid w:val="00E30153"/>
    <w:rsid w:val="00E315C1"/>
    <w:rsid w:val="00E360BD"/>
    <w:rsid w:val="00E37BD2"/>
    <w:rsid w:val="00E44134"/>
    <w:rsid w:val="00E538D0"/>
    <w:rsid w:val="00E55CDB"/>
    <w:rsid w:val="00E565AE"/>
    <w:rsid w:val="00E56863"/>
    <w:rsid w:val="00E658A8"/>
    <w:rsid w:val="00E8247D"/>
    <w:rsid w:val="00E824F4"/>
    <w:rsid w:val="00E82E77"/>
    <w:rsid w:val="00E83E88"/>
    <w:rsid w:val="00E920DF"/>
    <w:rsid w:val="00E933D9"/>
    <w:rsid w:val="00E93AEB"/>
    <w:rsid w:val="00E93DBC"/>
    <w:rsid w:val="00E96F20"/>
    <w:rsid w:val="00E97427"/>
    <w:rsid w:val="00EA174B"/>
    <w:rsid w:val="00EA2B4A"/>
    <w:rsid w:val="00EB4FFB"/>
    <w:rsid w:val="00EB612F"/>
    <w:rsid w:val="00EC3D4C"/>
    <w:rsid w:val="00EC417F"/>
    <w:rsid w:val="00EC75D0"/>
    <w:rsid w:val="00EC7C04"/>
    <w:rsid w:val="00ED10D7"/>
    <w:rsid w:val="00ED1899"/>
    <w:rsid w:val="00ED2C76"/>
    <w:rsid w:val="00ED528D"/>
    <w:rsid w:val="00ED6B26"/>
    <w:rsid w:val="00ED787B"/>
    <w:rsid w:val="00EE3589"/>
    <w:rsid w:val="00EE6769"/>
    <w:rsid w:val="00EF37F4"/>
    <w:rsid w:val="00F04519"/>
    <w:rsid w:val="00F11FD7"/>
    <w:rsid w:val="00F1649F"/>
    <w:rsid w:val="00F2193D"/>
    <w:rsid w:val="00F25661"/>
    <w:rsid w:val="00F30C1D"/>
    <w:rsid w:val="00F35B82"/>
    <w:rsid w:val="00F42667"/>
    <w:rsid w:val="00F445F8"/>
    <w:rsid w:val="00F464D5"/>
    <w:rsid w:val="00F532F9"/>
    <w:rsid w:val="00F54274"/>
    <w:rsid w:val="00F62CF2"/>
    <w:rsid w:val="00F639E8"/>
    <w:rsid w:val="00F64C59"/>
    <w:rsid w:val="00F65AFC"/>
    <w:rsid w:val="00F660AF"/>
    <w:rsid w:val="00F663EA"/>
    <w:rsid w:val="00F73496"/>
    <w:rsid w:val="00F91000"/>
    <w:rsid w:val="00F92004"/>
    <w:rsid w:val="00F94315"/>
    <w:rsid w:val="00F951A3"/>
    <w:rsid w:val="00F96EBC"/>
    <w:rsid w:val="00F97DBF"/>
    <w:rsid w:val="00FA1F46"/>
    <w:rsid w:val="00FA2E13"/>
    <w:rsid w:val="00FA5218"/>
    <w:rsid w:val="00FA64E5"/>
    <w:rsid w:val="00FB1C77"/>
    <w:rsid w:val="00FB39BA"/>
    <w:rsid w:val="00FB52E5"/>
    <w:rsid w:val="00FB706C"/>
    <w:rsid w:val="00FB75DC"/>
    <w:rsid w:val="00FC5666"/>
    <w:rsid w:val="00FC7491"/>
    <w:rsid w:val="00FC7EFB"/>
    <w:rsid w:val="00FD0484"/>
    <w:rsid w:val="00FD27C1"/>
    <w:rsid w:val="00FD4225"/>
    <w:rsid w:val="00FD4782"/>
    <w:rsid w:val="00FD5479"/>
    <w:rsid w:val="00FD61A1"/>
    <w:rsid w:val="00FE1CDA"/>
    <w:rsid w:val="00FF07E3"/>
    <w:rsid w:val="36FC2E20"/>
    <w:rsid w:val="3B5D2EB2"/>
    <w:rsid w:val="40A14B5A"/>
    <w:rsid w:val="48205655"/>
    <w:rsid w:val="6A942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semiHidden="0" w:uiPriority="1"/>
    <w:lsdException w:name="Body Text" w:semiHidden="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nhideWhenUsed="0"/>
    <w:lsdException w:name="Placeholder Text"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宋体" w:hAnsi="Times New Roman" w:cs="Times New Roman"/>
      <w:kern w:val="2"/>
      <w:sz w:val="24"/>
      <w:szCs w:val="21"/>
    </w:rPr>
  </w:style>
  <w:style w:type="paragraph" w:styleId="1">
    <w:name w:val="heading 1"/>
    <w:basedOn w:val="a"/>
    <w:next w:val="a"/>
    <w:link w:val="1Char"/>
    <w:uiPriority w:val="9"/>
    <w:qFormat/>
    <w:pPr>
      <w:numPr>
        <w:numId w:val="1"/>
      </w:numPr>
      <w:spacing w:before="180" w:after="180"/>
      <w:ind w:left="0" w:firstLineChars="0" w:firstLine="0"/>
      <w:jc w:val="center"/>
      <w:outlineLvl w:val="0"/>
    </w:pPr>
    <w:rPr>
      <w:b/>
      <w:sz w:val="32"/>
    </w:rPr>
  </w:style>
  <w:style w:type="paragraph" w:styleId="2">
    <w:name w:val="heading 2"/>
    <w:basedOn w:val="a"/>
    <w:next w:val="a"/>
    <w:link w:val="2Char"/>
    <w:uiPriority w:val="9"/>
    <w:unhideWhenUsed/>
    <w:qFormat/>
    <w:pPr>
      <w:keepNext/>
      <w:keepLines/>
      <w:numPr>
        <w:ilvl w:val="1"/>
        <w:numId w:val="1"/>
      </w:numPr>
      <w:adjustRightInd w:val="0"/>
      <w:spacing w:before="180" w:after="180"/>
      <w:ind w:left="0" w:firstLineChars="0" w:firstLine="0"/>
      <w:outlineLvl w:val="1"/>
    </w:pPr>
    <w:rPr>
      <w:rFonts w:eastAsiaTheme="majorEastAsia" w:cstheme="majorBidi"/>
      <w:b/>
      <w:bCs/>
      <w:sz w:val="28"/>
      <w:szCs w:val="32"/>
    </w:rPr>
  </w:style>
  <w:style w:type="paragraph" w:styleId="3">
    <w:name w:val="heading 3"/>
    <w:basedOn w:val="a"/>
    <w:next w:val="a"/>
    <w:link w:val="3Char"/>
    <w:uiPriority w:val="9"/>
    <w:unhideWhenUsed/>
    <w:qFormat/>
    <w:pPr>
      <w:keepNext/>
      <w:keepLines/>
      <w:numPr>
        <w:ilvl w:val="2"/>
        <w:numId w:val="1"/>
      </w:numPr>
      <w:spacing w:before="120" w:after="120"/>
      <w:ind w:left="0" w:firstLineChars="0" w:firstLine="0"/>
      <w:outlineLvl w:val="2"/>
    </w:pPr>
    <w:rPr>
      <w:b/>
      <w:bCs/>
      <w:szCs w:val="32"/>
    </w:rPr>
  </w:style>
  <w:style w:type="paragraph" w:styleId="4">
    <w:name w:val="heading 4"/>
    <w:basedOn w:val="a"/>
    <w:next w:val="a"/>
    <w:link w:val="4Char"/>
    <w:uiPriority w:val="9"/>
    <w:unhideWhenUsed/>
    <w:qFormat/>
    <w:rsid w:val="00B12CC0"/>
    <w:pPr>
      <w:keepNext/>
      <w:keepLines/>
      <w:numPr>
        <w:ilvl w:val="3"/>
        <w:numId w:val="1"/>
      </w:numPr>
      <w:adjustRightInd w:val="0"/>
      <w:spacing w:before="60" w:after="60"/>
      <w:ind w:left="0" w:firstLineChars="0" w:firstLine="0"/>
      <w:contextualSpacing/>
      <w:jc w:val="left"/>
      <w:outlineLvl w:val="3"/>
    </w:pPr>
    <w:rPr>
      <w:rFonts w:eastAsiaTheme="majorEastAsia" w:cstheme="majorBidi"/>
      <w:b/>
      <w:bCs/>
      <w:szCs w:val="28"/>
    </w:rPr>
  </w:style>
  <w:style w:type="paragraph" w:styleId="5">
    <w:name w:val="heading 5"/>
    <w:basedOn w:val="a"/>
    <w:next w:val="a"/>
    <w:link w:val="5Char"/>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uto"/>
      <w:outlineLvl w:val="6"/>
    </w:pPr>
    <w:rPr>
      <w:b/>
      <w:bCs/>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ind w:firstLineChars="0" w:firstLine="0"/>
      <w:jc w:val="center"/>
    </w:pPr>
    <w:rPr>
      <w:rFonts w:eastAsiaTheme="majorEastAsia" w:cstheme="majorBidi"/>
      <w:b/>
      <w:sz w:val="21"/>
      <w:szCs w:val="20"/>
    </w:rPr>
  </w:style>
  <w:style w:type="paragraph" w:styleId="a4">
    <w:name w:val="annotation text"/>
    <w:basedOn w:val="a"/>
    <w:link w:val="Char"/>
    <w:uiPriority w:val="99"/>
    <w:semiHidden/>
    <w:unhideWhenUsed/>
    <w:qFormat/>
    <w:pPr>
      <w:jc w:val="left"/>
    </w:pPr>
  </w:style>
  <w:style w:type="paragraph" w:styleId="a5">
    <w:name w:val="Body Text"/>
    <w:basedOn w:val="a"/>
    <w:link w:val="Char0"/>
    <w:uiPriority w:val="99"/>
    <w:unhideWhenUsed/>
    <w:pPr>
      <w:autoSpaceDE w:val="0"/>
      <w:autoSpaceDN w:val="0"/>
      <w:spacing w:line="240" w:lineRule="auto"/>
      <w:ind w:firstLineChars="0" w:firstLine="0"/>
      <w:jc w:val="left"/>
    </w:pPr>
    <w:rPr>
      <w:rFonts w:ascii="宋体" w:hAnsi="宋体" w:cs="宋体"/>
      <w:kern w:val="0"/>
      <w:szCs w:val="24"/>
    </w:rPr>
  </w:style>
  <w:style w:type="paragraph" w:styleId="a6">
    <w:name w:val="Balloon Text"/>
    <w:basedOn w:val="a"/>
    <w:link w:val="Char1"/>
    <w:uiPriority w:val="99"/>
    <w:semiHidden/>
    <w:unhideWhenUsed/>
    <w:qFormat/>
    <w:pPr>
      <w:spacing w:line="240" w:lineRule="auto"/>
    </w:pPr>
    <w:rPr>
      <w:sz w:val="18"/>
      <w:szCs w:val="18"/>
    </w:rPr>
  </w:style>
  <w:style w:type="paragraph" w:styleId="a7">
    <w:name w:val="footer"/>
    <w:basedOn w:val="a"/>
    <w:link w:val="Char2"/>
    <w:uiPriority w:val="99"/>
    <w:unhideWhenUsed/>
    <w:qFormat/>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unhideWhenUsed/>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a">
    <w:name w:val="annotation subject"/>
    <w:basedOn w:val="a4"/>
    <w:next w:val="a4"/>
    <w:link w:val="Char4"/>
    <w:uiPriority w:val="99"/>
    <w:semiHidden/>
    <w:unhideWhenUsed/>
    <w:qFormat/>
    <w:rPr>
      <w:b/>
      <w:bCs/>
    </w:rPr>
  </w:style>
  <w:style w:type="table" w:styleId="ab">
    <w:name w:val="Table Grid"/>
    <w:basedOn w:val="a1"/>
    <w:uiPriority w:val="99"/>
    <w:pPr>
      <w:jc w:val="center"/>
    </w:pPr>
    <w:rPr>
      <w:rFonts w:ascii="Times New Roman" w:eastAsia="宋体"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ac">
    <w:name w:val="Hyperlink"/>
    <w:basedOn w:val="a0"/>
    <w:uiPriority w:val="99"/>
    <w:unhideWhenUsed/>
    <w:qFormat/>
    <w:rPr>
      <w:color w:val="0000FF" w:themeColor="hyperlink"/>
      <w:u w:val="single"/>
    </w:rPr>
  </w:style>
  <w:style w:type="character" w:styleId="ad">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sz w:val="32"/>
      <w:szCs w:val="21"/>
    </w:rPr>
  </w:style>
  <w:style w:type="character" w:customStyle="1" w:styleId="2Char">
    <w:name w:val="标题 2 Char"/>
    <w:basedOn w:val="a0"/>
    <w:link w:val="2"/>
    <w:uiPriority w:val="9"/>
    <w:qFormat/>
    <w:rPr>
      <w:rFonts w:ascii="Times New Roman" w:eastAsiaTheme="majorEastAsia" w:hAnsi="Times New Roman" w:cstheme="majorBidi"/>
      <w:b/>
      <w:bCs/>
      <w:sz w:val="28"/>
      <w:szCs w:val="32"/>
    </w:rPr>
  </w:style>
  <w:style w:type="character" w:customStyle="1" w:styleId="3Char">
    <w:name w:val="标题 3 Char"/>
    <w:basedOn w:val="a0"/>
    <w:link w:val="3"/>
    <w:uiPriority w:val="9"/>
    <w:qFormat/>
    <w:rPr>
      <w:rFonts w:ascii="Times New Roman" w:eastAsia="宋体" w:hAnsi="Times New Roman" w:cs="Times New Roman"/>
      <w:b/>
      <w:bCs/>
      <w:sz w:val="24"/>
      <w:szCs w:val="32"/>
    </w:rPr>
  </w:style>
  <w:style w:type="character" w:customStyle="1" w:styleId="4Char">
    <w:name w:val="标题 4 Char"/>
    <w:basedOn w:val="a0"/>
    <w:link w:val="4"/>
    <w:uiPriority w:val="9"/>
    <w:qFormat/>
    <w:rsid w:val="00B12CC0"/>
    <w:rPr>
      <w:rFonts w:ascii="Times New Roman" w:eastAsiaTheme="majorEastAsia" w:hAnsi="Times New Roman" w:cstheme="majorBidi"/>
      <w:b/>
      <w:bCs/>
      <w:kern w:val="2"/>
      <w:sz w:val="24"/>
      <w:szCs w:val="28"/>
    </w:rPr>
  </w:style>
  <w:style w:type="character" w:customStyle="1" w:styleId="5Char">
    <w:name w:val="标题 5 Char"/>
    <w:basedOn w:val="a0"/>
    <w:link w:val="5"/>
    <w:uiPriority w:val="9"/>
    <w:semiHidden/>
    <w:qFormat/>
    <w:rPr>
      <w:rFonts w:ascii="Times New Roman" w:eastAsia="宋体" w:hAnsi="Times New Roman" w:cs="Times New Roman"/>
      <w:b/>
      <w:bCs/>
      <w:sz w:val="28"/>
      <w:szCs w:val="28"/>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rFonts w:ascii="Times New Roman" w:eastAsia="宋体" w:hAnsi="Times New Roman" w:cs="Times New Roman"/>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szCs w:val="21"/>
    </w:rPr>
  </w:style>
  <w:style w:type="character" w:customStyle="1" w:styleId="Char">
    <w:name w:val="批注文字 Char"/>
    <w:basedOn w:val="a0"/>
    <w:link w:val="a4"/>
    <w:uiPriority w:val="99"/>
    <w:semiHidden/>
    <w:qFormat/>
    <w:rPr>
      <w:rFonts w:ascii="Times New Roman" w:eastAsia="宋体" w:hAnsi="Times New Roman" w:cs="Times New Roman"/>
      <w:sz w:val="24"/>
      <w:szCs w:val="21"/>
    </w:rPr>
  </w:style>
  <w:style w:type="character" w:customStyle="1" w:styleId="Char2">
    <w:name w:val="页脚 Char"/>
    <w:basedOn w:val="a0"/>
    <w:link w:val="a7"/>
    <w:uiPriority w:val="99"/>
    <w:qFormat/>
    <w:rPr>
      <w:rFonts w:ascii="Times New Roman" w:eastAsia="宋体" w:hAnsi="Times New Roman" w:cs="Times New Roman"/>
      <w:sz w:val="18"/>
      <w:szCs w:val="18"/>
    </w:rPr>
  </w:style>
  <w:style w:type="character" w:customStyle="1" w:styleId="Char3">
    <w:name w:val="页眉 Char"/>
    <w:basedOn w:val="a0"/>
    <w:link w:val="a8"/>
    <w:uiPriority w:val="99"/>
    <w:qFormat/>
    <w:rPr>
      <w:rFonts w:ascii="Times New Roman" w:eastAsia="宋体" w:hAnsi="Times New Roman" w:cs="Times New Roman"/>
      <w:sz w:val="18"/>
      <w:szCs w:val="18"/>
    </w:rPr>
  </w:style>
  <w:style w:type="paragraph" w:customStyle="1" w:styleId="11">
    <w:name w:val="正文1"/>
    <w:qFormat/>
    <w:pPr>
      <w:jc w:val="both"/>
    </w:pPr>
    <w:rPr>
      <w:rFonts w:ascii="Times New Roman" w:eastAsia="宋体" w:hAnsi="Times New Roman" w:cs="Times New Roman"/>
      <w:kern w:val="2"/>
      <w:sz w:val="21"/>
      <w:szCs w:val="21"/>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paragraph" w:styleId="ae">
    <w:name w:val="List Paragraph"/>
    <w:basedOn w:val="a"/>
    <w:uiPriority w:val="1"/>
    <w:qFormat/>
    <w:pPr>
      <w:ind w:firstLine="420"/>
    </w:pPr>
  </w:style>
  <w:style w:type="character" w:customStyle="1" w:styleId="Char4">
    <w:name w:val="批注主题 Char"/>
    <w:basedOn w:val="Char"/>
    <w:link w:val="aa"/>
    <w:uiPriority w:val="99"/>
    <w:semiHidden/>
    <w:qFormat/>
    <w:rPr>
      <w:rFonts w:ascii="Times New Roman" w:eastAsia="宋体" w:hAnsi="Times New Roman" w:cs="Times New Roman"/>
      <w:b/>
      <w:bCs/>
      <w:sz w:val="24"/>
      <w:szCs w:val="21"/>
    </w:rPr>
  </w:style>
  <w:style w:type="table" w:customStyle="1" w:styleId="TableNormal">
    <w:name w:val="Table Normal"/>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qFormat/>
    <w:pPr>
      <w:autoSpaceDE w:val="0"/>
      <w:autoSpaceDN w:val="0"/>
      <w:spacing w:line="240" w:lineRule="auto"/>
      <w:ind w:firstLineChars="0" w:firstLine="0"/>
      <w:jc w:val="center"/>
    </w:pPr>
    <w:rPr>
      <w:rFonts w:ascii="宋体" w:hAnsi="宋体" w:cs="宋体"/>
      <w:kern w:val="0"/>
      <w:sz w:val="22"/>
      <w:szCs w:val="22"/>
      <w:lang w:eastAsia="en-US"/>
    </w:rPr>
  </w:style>
  <w:style w:type="character" w:customStyle="1" w:styleId="font21">
    <w:name w:val="font21"/>
    <w:basedOn w:val="a0"/>
    <w:rPr>
      <w:rFonts w:ascii="Times New Roman" w:hAnsi="Times New Roman" w:cs="Times New Roman" w:hint="default"/>
      <w:color w:val="000000"/>
      <w:sz w:val="21"/>
      <w:szCs w:val="21"/>
      <w:u w:val="none"/>
    </w:rPr>
  </w:style>
  <w:style w:type="character" w:customStyle="1" w:styleId="font11">
    <w:name w:val="font11"/>
    <w:basedOn w:val="a0"/>
    <w:rPr>
      <w:rFonts w:ascii="宋体" w:eastAsia="宋体" w:hAnsi="宋体" w:hint="eastAsia"/>
      <w:color w:val="000000"/>
      <w:sz w:val="21"/>
      <w:szCs w:val="21"/>
      <w:u w:val="none"/>
    </w:rPr>
  </w:style>
  <w:style w:type="character" w:customStyle="1" w:styleId="font31">
    <w:name w:val="font31"/>
    <w:basedOn w:val="a0"/>
    <w:rPr>
      <w:rFonts w:ascii="宋体" w:eastAsia="宋体" w:hAnsi="宋体" w:hint="eastAsia"/>
      <w:color w:val="000000"/>
      <w:sz w:val="21"/>
      <w:szCs w:val="21"/>
      <w:u w:val="none"/>
    </w:rPr>
  </w:style>
  <w:style w:type="character" w:customStyle="1" w:styleId="font61">
    <w:name w:val="font61"/>
    <w:basedOn w:val="a0"/>
    <w:rPr>
      <w:rFonts w:ascii="Times New Roman" w:hAnsi="Times New Roman" w:cs="Times New Roman" w:hint="default"/>
      <w:color w:val="000000"/>
      <w:sz w:val="21"/>
      <w:szCs w:val="21"/>
      <w:u w:val="none"/>
    </w:rPr>
  </w:style>
  <w:style w:type="character" w:customStyle="1" w:styleId="font51">
    <w:name w:val="font51"/>
    <w:basedOn w:val="a0"/>
    <w:rPr>
      <w:rFonts w:ascii="Times New Roman" w:hAnsi="Times New Roman" w:cs="Times New Roman" w:hint="default"/>
      <w:color w:val="000000"/>
      <w:sz w:val="21"/>
      <w:szCs w:val="21"/>
      <w:u w:val="none"/>
      <w:vertAlign w:val="subscript"/>
    </w:rPr>
  </w:style>
  <w:style w:type="character" w:customStyle="1" w:styleId="font41">
    <w:name w:val="font41"/>
    <w:basedOn w:val="a0"/>
    <w:rPr>
      <w:rFonts w:ascii="Times New Roman" w:hAnsi="Times New Roman" w:cs="Times New Roman" w:hint="default"/>
      <w:color w:val="000000"/>
      <w:sz w:val="21"/>
      <w:szCs w:val="21"/>
      <w:u w:val="none"/>
      <w:vertAlign w:val="superscript"/>
    </w:rPr>
  </w:style>
  <w:style w:type="character" w:customStyle="1" w:styleId="Char0">
    <w:name w:val="正文文本 Char"/>
    <w:basedOn w:val="a0"/>
    <w:link w:val="a5"/>
    <w:uiPriority w:val="99"/>
    <w:rPr>
      <w:rFonts w:ascii="宋体" w:eastAsia="宋体" w:hAnsi="宋体" w:cs="宋体"/>
      <w:sz w:val="24"/>
      <w:szCs w:val="24"/>
    </w:rPr>
  </w:style>
  <w:style w:type="paragraph" w:customStyle="1" w:styleId="21">
    <w:name w:val="正文2"/>
    <w:pPr>
      <w:jc w:val="both"/>
    </w:pPr>
    <w:rPr>
      <w:rFonts w:ascii="Calibri" w:eastAsia="宋体" w:hAnsi="Calibri" w:cs="宋体"/>
      <w:kern w:val="2"/>
      <w:sz w:val="21"/>
      <w:szCs w:val="21"/>
    </w:rPr>
  </w:style>
  <w:style w:type="character" w:styleId="af">
    <w:name w:val="Placeholder Text"/>
    <w:basedOn w:val="a0"/>
    <w:uiPriority w:val="99"/>
    <w:unhideWhenUsed/>
    <w:rPr>
      <w:color w:val="808080"/>
    </w:rPr>
  </w:style>
  <w:style w:type="paragraph" w:customStyle="1" w:styleId="30">
    <w:name w:val="正文3"/>
    <w:pPr>
      <w:jc w:val="both"/>
    </w:pPr>
    <w:rPr>
      <w:rFonts w:ascii="Calibri" w:eastAsia="宋体" w:hAnsi="Calibri" w:cs="宋体"/>
      <w:kern w:val="2"/>
      <w:sz w:val="21"/>
      <w:szCs w:val="21"/>
    </w:rPr>
  </w:style>
  <w:style w:type="paragraph" w:customStyle="1" w:styleId="40">
    <w:name w:val="正文4"/>
    <w:pPr>
      <w:jc w:val="both"/>
    </w:pPr>
    <w:rPr>
      <w:rFonts w:ascii="Calibri" w:eastAsia="宋体" w:hAnsi="Calibri" w:cs="宋体"/>
      <w:kern w:val="2"/>
      <w:sz w:val="21"/>
      <w:szCs w:val="21"/>
    </w:rPr>
  </w:style>
  <w:style w:type="paragraph" w:customStyle="1" w:styleId="af0">
    <w:name w:val="表格内文字样式"/>
    <w:basedOn w:val="a"/>
    <w:semiHidden/>
    <w:pPr>
      <w:keepLines/>
      <w:spacing w:line="240" w:lineRule="auto"/>
      <w:ind w:firstLineChars="0" w:firstLine="0"/>
      <w:jc w:val="center"/>
    </w:pPr>
    <w:rPr>
      <w:sz w:val="21"/>
    </w:rPr>
  </w:style>
  <w:style w:type="paragraph" w:customStyle="1" w:styleId="af1">
    <w:name w:val="表格内格式"/>
    <w:basedOn w:val="a"/>
    <w:next w:val="a"/>
    <w:semiHidden/>
    <w:pPr>
      <w:spacing w:before="100" w:beforeAutospacing="1" w:after="120" w:line="240" w:lineRule="auto"/>
      <w:ind w:firstLineChars="0" w:firstLine="0"/>
      <w:jc w:val="center"/>
    </w:pPr>
    <w:rPr>
      <w:kern w:val="0"/>
      <w:sz w:val="21"/>
    </w:rPr>
  </w:style>
  <w:style w:type="paragraph" w:customStyle="1" w:styleId="50">
    <w:name w:val="正文5"/>
    <w:pPr>
      <w:jc w:val="both"/>
    </w:pPr>
    <w:rPr>
      <w:rFonts w:ascii="Calibri" w:eastAsia="宋体" w:hAnsi="Calibri" w:cs="宋体"/>
      <w:kern w:val="2"/>
      <w:sz w:val="21"/>
      <w:szCs w:val="21"/>
    </w:rPr>
  </w:style>
  <w:style w:type="paragraph" w:customStyle="1" w:styleId="60">
    <w:name w:val="正文6"/>
    <w:pPr>
      <w:jc w:val="both"/>
    </w:pPr>
    <w:rPr>
      <w:rFonts w:ascii="Times New Roman" w:eastAsia="宋体" w:hAnsi="Times New Roman" w:cs="Times New Roman"/>
      <w:kern w:val="2"/>
      <w:sz w:val="21"/>
      <w:szCs w:val="21"/>
    </w:rPr>
  </w:style>
  <w:style w:type="table" w:customStyle="1" w:styleId="31">
    <w:name w:val="样式3"/>
    <w:basedOn w:val="a1"/>
    <w:pPr>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15">
    <w:name w:val="15"/>
    <w:basedOn w:val="a0"/>
    <w:rPr>
      <w:rFonts w:ascii="Times New Roman" w:hAnsi="Times New Roman" w:cs="Times New Roman" w:hint="default"/>
      <w:sz w:val="21"/>
      <w:szCs w:val="21"/>
    </w:rPr>
  </w:style>
  <w:style w:type="paragraph" w:customStyle="1" w:styleId="af2">
    <w:name w:val="表格"/>
    <w:basedOn w:val="a"/>
    <w:rsid w:val="00CC4576"/>
    <w:pPr>
      <w:widowControl/>
      <w:spacing w:line="400" w:lineRule="exact"/>
      <w:ind w:firstLineChars="0" w:firstLine="0"/>
      <w:jc w:val="center"/>
    </w:pPr>
    <w:rPr>
      <w:rFonts w:ascii="楷体_GB2312" w:eastAsia="楷体_GB2312" w:hAnsi="宋体" w:cs="宋体"/>
      <w:color w:val="000000"/>
      <w:kern w:val="0"/>
      <w:szCs w:val="24"/>
    </w:rPr>
  </w:style>
  <w:style w:type="paragraph" w:customStyle="1" w:styleId="0">
    <w:name w:val="0正文"/>
    <w:basedOn w:val="a"/>
    <w:rsid w:val="00CC4576"/>
    <w:pPr>
      <w:ind w:firstLine="720"/>
      <w:jc w:val="left"/>
    </w:pPr>
    <w:rPr>
      <w:rFonts w:ascii="Calibri" w:hAnsi="Calibri" w:cs="宋体"/>
      <w:kern w:val="0"/>
      <w:szCs w:val="24"/>
    </w:rPr>
  </w:style>
  <w:style w:type="paragraph" w:customStyle="1" w:styleId="70">
    <w:name w:val="正文7"/>
    <w:rsid w:val="00D063D9"/>
    <w:pPr>
      <w:jc w:val="both"/>
    </w:pPr>
    <w:rPr>
      <w:rFonts w:ascii="Calibri" w:eastAsia="宋体" w:hAnsi="Calibri" w:cs="宋体"/>
      <w:kern w:val="2"/>
      <w:sz w:val="21"/>
      <w:szCs w:val="21"/>
    </w:rPr>
  </w:style>
  <w:style w:type="character" w:customStyle="1" w:styleId="font01">
    <w:name w:val="font01"/>
    <w:basedOn w:val="a0"/>
    <w:rsid w:val="004A1A99"/>
    <w:rPr>
      <w:rFonts w:ascii="宋体" w:eastAsia="宋体" w:hAnsi="宋体" w:hint="eastAsia"/>
      <w:b w:val="0"/>
      <w:bCs w:val="0"/>
      <w:i w:val="0"/>
      <w:iCs w:val="0"/>
      <w:strike w:val="0"/>
      <w:dstrike w:val="0"/>
      <w:color w:val="000000"/>
      <w:sz w:val="22"/>
      <w:szCs w:val="22"/>
      <w:u w:val="none"/>
      <w:effect w:val="none"/>
    </w:rPr>
  </w:style>
  <w:style w:type="character" w:customStyle="1" w:styleId="font71">
    <w:name w:val="font71"/>
    <w:basedOn w:val="a0"/>
    <w:rsid w:val="00FD4225"/>
    <w:rPr>
      <w:rFonts w:ascii="Times New Roman" w:hAnsi="Times New Roman" w:cs="Times New Roman" w:hint="default"/>
      <w:b w:val="0"/>
      <w:bCs w:val="0"/>
      <w:i w:val="0"/>
      <w:iCs w:val="0"/>
      <w:strike w:val="0"/>
      <w:dstrike w:val="0"/>
      <w:color w:val="000000"/>
      <w:sz w:val="21"/>
      <w:szCs w:val="21"/>
      <w:u w:val="none"/>
      <w:effect w:val="none"/>
      <w:vertAlign w:val="subscript"/>
    </w:rPr>
  </w:style>
  <w:style w:type="character" w:customStyle="1" w:styleId="font91">
    <w:name w:val="font91"/>
    <w:basedOn w:val="a0"/>
    <w:rsid w:val="004C7D01"/>
    <w:rPr>
      <w:rFonts w:ascii="华文楷体" w:eastAsia="华文楷体" w:hAnsi="华文楷体" w:hint="eastAsia"/>
      <w:b/>
      <w:bCs/>
      <w:i w:val="0"/>
      <w:iCs w:val="0"/>
      <w:strike w:val="0"/>
      <w:dstrike w:val="0"/>
      <w:color w:val="000000"/>
      <w:sz w:val="26"/>
      <w:szCs w:val="26"/>
      <w:u w:val="none"/>
      <w:effect w:val="none"/>
    </w:rPr>
  </w:style>
  <w:style w:type="paragraph" w:styleId="32">
    <w:name w:val="toc 3"/>
    <w:basedOn w:val="a"/>
    <w:next w:val="a"/>
    <w:autoRedefine/>
    <w:uiPriority w:val="39"/>
    <w:unhideWhenUsed/>
    <w:rsid w:val="00E97427"/>
    <w:pPr>
      <w:spacing w:line="240" w:lineRule="auto"/>
      <w:ind w:leftChars="400" w:left="840" w:firstLineChars="0" w:firstLine="0"/>
    </w:pPr>
    <w:rPr>
      <w:rFonts w:asciiTheme="minorHAnsi" w:eastAsiaTheme="minorEastAsia" w:hAnsiTheme="minorHAnsi" w:cstheme="minorBidi"/>
      <w:sz w:val="21"/>
      <w:szCs w:val="22"/>
    </w:rPr>
  </w:style>
  <w:style w:type="paragraph" w:styleId="41">
    <w:name w:val="toc 4"/>
    <w:basedOn w:val="a"/>
    <w:next w:val="a"/>
    <w:autoRedefine/>
    <w:uiPriority w:val="39"/>
    <w:unhideWhenUsed/>
    <w:rsid w:val="00E97427"/>
    <w:pPr>
      <w:spacing w:line="240" w:lineRule="auto"/>
      <w:ind w:leftChars="600" w:left="1260" w:firstLineChars="0" w:firstLine="0"/>
    </w:pPr>
    <w:rPr>
      <w:rFonts w:asciiTheme="minorHAnsi" w:eastAsiaTheme="minorEastAsia" w:hAnsiTheme="minorHAnsi" w:cstheme="minorBidi"/>
      <w:sz w:val="21"/>
      <w:szCs w:val="22"/>
    </w:rPr>
  </w:style>
  <w:style w:type="paragraph" w:styleId="51">
    <w:name w:val="toc 5"/>
    <w:basedOn w:val="a"/>
    <w:next w:val="a"/>
    <w:autoRedefine/>
    <w:uiPriority w:val="39"/>
    <w:unhideWhenUsed/>
    <w:rsid w:val="00E97427"/>
    <w:pPr>
      <w:spacing w:line="240" w:lineRule="auto"/>
      <w:ind w:leftChars="800" w:left="1680" w:firstLineChars="0" w:firstLine="0"/>
    </w:pPr>
    <w:rPr>
      <w:rFonts w:asciiTheme="minorHAnsi" w:eastAsiaTheme="minorEastAsia" w:hAnsiTheme="minorHAnsi" w:cstheme="minorBidi"/>
      <w:sz w:val="21"/>
      <w:szCs w:val="22"/>
    </w:rPr>
  </w:style>
  <w:style w:type="paragraph" w:styleId="61">
    <w:name w:val="toc 6"/>
    <w:basedOn w:val="a"/>
    <w:next w:val="a"/>
    <w:autoRedefine/>
    <w:uiPriority w:val="39"/>
    <w:unhideWhenUsed/>
    <w:rsid w:val="00E97427"/>
    <w:pPr>
      <w:spacing w:line="240" w:lineRule="auto"/>
      <w:ind w:leftChars="1000" w:left="210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E97427"/>
    <w:pPr>
      <w:spacing w:line="240" w:lineRule="auto"/>
      <w:ind w:leftChars="1200" w:left="2520" w:firstLineChars="0" w:firstLine="0"/>
    </w:pPr>
    <w:rPr>
      <w:rFonts w:asciiTheme="minorHAnsi" w:eastAsiaTheme="minorEastAsia" w:hAnsiTheme="minorHAnsi" w:cstheme="minorBidi"/>
      <w:sz w:val="21"/>
      <w:szCs w:val="22"/>
    </w:rPr>
  </w:style>
  <w:style w:type="paragraph" w:styleId="80">
    <w:name w:val="toc 8"/>
    <w:basedOn w:val="a"/>
    <w:next w:val="a"/>
    <w:autoRedefine/>
    <w:uiPriority w:val="39"/>
    <w:unhideWhenUsed/>
    <w:rsid w:val="00E97427"/>
    <w:pPr>
      <w:spacing w:line="240" w:lineRule="auto"/>
      <w:ind w:leftChars="1400" w:left="2940" w:firstLineChars="0" w:firstLine="0"/>
    </w:pPr>
    <w:rPr>
      <w:rFonts w:asciiTheme="minorHAnsi" w:eastAsiaTheme="minorEastAsia" w:hAnsiTheme="minorHAnsi" w:cstheme="minorBidi"/>
      <w:sz w:val="21"/>
      <w:szCs w:val="22"/>
    </w:rPr>
  </w:style>
  <w:style w:type="paragraph" w:styleId="90">
    <w:name w:val="toc 9"/>
    <w:basedOn w:val="a"/>
    <w:next w:val="a"/>
    <w:autoRedefine/>
    <w:uiPriority w:val="39"/>
    <w:unhideWhenUsed/>
    <w:rsid w:val="00E97427"/>
    <w:pPr>
      <w:spacing w:line="240" w:lineRule="auto"/>
      <w:ind w:leftChars="1600" w:left="3360" w:firstLineChars="0" w:firstLine="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semiHidden="0" w:uiPriority="1"/>
    <w:lsdException w:name="Body Text" w:semiHidden="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nhideWhenUsed="0"/>
    <w:lsdException w:name="Placeholder Text"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宋体" w:hAnsi="Times New Roman" w:cs="Times New Roman"/>
      <w:kern w:val="2"/>
      <w:sz w:val="24"/>
      <w:szCs w:val="21"/>
    </w:rPr>
  </w:style>
  <w:style w:type="paragraph" w:styleId="1">
    <w:name w:val="heading 1"/>
    <w:basedOn w:val="a"/>
    <w:next w:val="a"/>
    <w:link w:val="1Char"/>
    <w:uiPriority w:val="9"/>
    <w:qFormat/>
    <w:pPr>
      <w:numPr>
        <w:numId w:val="1"/>
      </w:numPr>
      <w:spacing w:before="180" w:after="180"/>
      <w:ind w:left="0" w:firstLineChars="0" w:firstLine="0"/>
      <w:jc w:val="center"/>
      <w:outlineLvl w:val="0"/>
    </w:pPr>
    <w:rPr>
      <w:b/>
      <w:sz w:val="32"/>
    </w:rPr>
  </w:style>
  <w:style w:type="paragraph" w:styleId="2">
    <w:name w:val="heading 2"/>
    <w:basedOn w:val="a"/>
    <w:next w:val="a"/>
    <w:link w:val="2Char"/>
    <w:uiPriority w:val="9"/>
    <w:unhideWhenUsed/>
    <w:qFormat/>
    <w:pPr>
      <w:keepNext/>
      <w:keepLines/>
      <w:numPr>
        <w:ilvl w:val="1"/>
        <w:numId w:val="1"/>
      </w:numPr>
      <w:adjustRightInd w:val="0"/>
      <w:spacing w:before="180" w:after="180"/>
      <w:ind w:left="0" w:firstLineChars="0" w:firstLine="0"/>
      <w:outlineLvl w:val="1"/>
    </w:pPr>
    <w:rPr>
      <w:rFonts w:eastAsiaTheme="majorEastAsia" w:cstheme="majorBidi"/>
      <w:b/>
      <w:bCs/>
      <w:sz w:val="28"/>
      <w:szCs w:val="32"/>
    </w:rPr>
  </w:style>
  <w:style w:type="paragraph" w:styleId="3">
    <w:name w:val="heading 3"/>
    <w:basedOn w:val="a"/>
    <w:next w:val="a"/>
    <w:link w:val="3Char"/>
    <w:uiPriority w:val="9"/>
    <w:unhideWhenUsed/>
    <w:qFormat/>
    <w:pPr>
      <w:keepNext/>
      <w:keepLines/>
      <w:numPr>
        <w:ilvl w:val="2"/>
        <w:numId w:val="1"/>
      </w:numPr>
      <w:spacing w:before="120" w:after="120"/>
      <w:ind w:left="0" w:firstLineChars="0" w:firstLine="0"/>
      <w:outlineLvl w:val="2"/>
    </w:pPr>
    <w:rPr>
      <w:b/>
      <w:bCs/>
      <w:szCs w:val="32"/>
    </w:rPr>
  </w:style>
  <w:style w:type="paragraph" w:styleId="4">
    <w:name w:val="heading 4"/>
    <w:basedOn w:val="a"/>
    <w:next w:val="a"/>
    <w:link w:val="4Char"/>
    <w:uiPriority w:val="9"/>
    <w:unhideWhenUsed/>
    <w:qFormat/>
    <w:rsid w:val="00B12CC0"/>
    <w:pPr>
      <w:keepNext/>
      <w:keepLines/>
      <w:numPr>
        <w:ilvl w:val="3"/>
        <w:numId w:val="1"/>
      </w:numPr>
      <w:adjustRightInd w:val="0"/>
      <w:spacing w:before="60" w:after="60"/>
      <w:ind w:left="0" w:firstLineChars="0" w:firstLine="0"/>
      <w:contextualSpacing/>
      <w:jc w:val="left"/>
      <w:outlineLvl w:val="3"/>
    </w:pPr>
    <w:rPr>
      <w:rFonts w:eastAsiaTheme="majorEastAsia" w:cstheme="majorBidi"/>
      <w:b/>
      <w:bCs/>
      <w:szCs w:val="28"/>
    </w:rPr>
  </w:style>
  <w:style w:type="paragraph" w:styleId="5">
    <w:name w:val="heading 5"/>
    <w:basedOn w:val="a"/>
    <w:next w:val="a"/>
    <w:link w:val="5Char"/>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uto"/>
      <w:outlineLvl w:val="6"/>
    </w:pPr>
    <w:rPr>
      <w:b/>
      <w:bCs/>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ind w:firstLineChars="0" w:firstLine="0"/>
      <w:jc w:val="center"/>
    </w:pPr>
    <w:rPr>
      <w:rFonts w:eastAsiaTheme="majorEastAsia" w:cstheme="majorBidi"/>
      <w:b/>
      <w:sz w:val="21"/>
      <w:szCs w:val="20"/>
    </w:rPr>
  </w:style>
  <w:style w:type="paragraph" w:styleId="a4">
    <w:name w:val="annotation text"/>
    <w:basedOn w:val="a"/>
    <w:link w:val="Char"/>
    <w:uiPriority w:val="99"/>
    <w:semiHidden/>
    <w:unhideWhenUsed/>
    <w:qFormat/>
    <w:pPr>
      <w:jc w:val="left"/>
    </w:pPr>
  </w:style>
  <w:style w:type="paragraph" w:styleId="a5">
    <w:name w:val="Body Text"/>
    <w:basedOn w:val="a"/>
    <w:link w:val="Char0"/>
    <w:uiPriority w:val="99"/>
    <w:unhideWhenUsed/>
    <w:pPr>
      <w:autoSpaceDE w:val="0"/>
      <w:autoSpaceDN w:val="0"/>
      <w:spacing w:line="240" w:lineRule="auto"/>
      <w:ind w:firstLineChars="0" w:firstLine="0"/>
      <w:jc w:val="left"/>
    </w:pPr>
    <w:rPr>
      <w:rFonts w:ascii="宋体" w:hAnsi="宋体" w:cs="宋体"/>
      <w:kern w:val="0"/>
      <w:szCs w:val="24"/>
    </w:rPr>
  </w:style>
  <w:style w:type="paragraph" w:styleId="a6">
    <w:name w:val="Balloon Text"/>
    <w:basedOn w:val="a"/>
    <w:link w:val="Char1"/>
    <w:uiPriority w:val="99"/>
    <w:semiHidden/>
    <w:unhideWhenUsed/>
    <w:qFormat/>
    <w:pPr>
      <w:spacing w:line="240" w:lineRule="auto"/>
    </w:pPr>
    <w:rPr>
      <w:sz w:val="18"/>
      <w:szCs w:val="18"/>
    </w:rPr>
  </w:style>
  <w:style w:type="paragraph" w:styleId="a7">
    <w:name w:val="footer"/>
    <w:basedOn w:val="a"/>
    <w:link w:val="Char2"/>
    <w:uiPriority w:val="99"/>
    <w:unhideWhenUsed/>
    <w:qFormat/>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unhideWhenUsed/>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a">
    <w:name w:val="annotation subject"/>
    <w:basedOn w:val="a4"/>
    <w:next w:val="a4"/>
    <w:link w:val="Char4"/>
    <w:uiPriority w:val="99"/>
    <w:semiHidden/>
    <w:unhideWhenUsed/>
    <w:qFormat/>
    <w:rPr>
      <w:b/>
      <w:bCs/>
    </w:rPr>
  </w:style>
  <w:style w:type="table" w:styleId="ab">
    <w:name w:val="Table Grid"/>
    <w:basedOn w:val="a1"/>
    <w:uiPriority w:val="99"/>
    <w:pPr>
      <w:jc w:val="center"/>
    </w:pPr>
    <w:rPr>
      <w:rFonts w:ascii="Times New Roman" w:eastAsia="宋体"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ac">
    <w:name w:val="Hyperlink"/>
    <w:basedOn w:val="a0"/>
    <w:uiPriority w:val="99"/>
    <w:unhideWhenUsed/>
    <w:qFormat/>
    <w:rPr>
      <w:color w:val="0000FF" w:themeColor="hyperlink"/>
      <w:u w:val="single"/>
    </w:rPr>
  </w:style>
  <w:style w:type="character" w:styleId="ad">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sz w:val="32"/>
      <w:szCs w:val="21"/>
    </w:rPr>
  </w:style>
  <w:style w:type="character" w:customStyle="1" w:styleId="2Char">
    <w:name w:val="标题 2 Char"/>
    <w:basedOn w:val="a0"/>
    <w:link w:val="2"/>
    <w:uiPriority w:val="9"/>
    <w:qFormat/>
    <w:rPr>
      <w:rFonts w:ascii="Times New Roman" w:eastAsiaTheme="majorEastAsia" w:hAnsi="Times New Roman" w:cstheme="majorBidi"/>
      <w:b/>
      <w:bCs/>
      <w:sz w:val="28"/>
      <w:szCs w:val="32"/>
    </w:rPr>
  </w:style>
  <w:style w:type="character" w:customStyle="1" w:styleId="3Char">
    <w:name w:val="标题 3 Char"/>
    <w:basedOn w:val="a0"/>
    <w:link w:val="3"/>
    <w:uiPriority w:val="9"/>
    <w:qFormat/>
    <w:rPr>
      <w:rFonts w:ascii="Times New Roman" w:eastAsia="宋体" w:hAnsi="Times New Roman" w:cs="Times New Roman"/>
      <w:b/>
      <w:bCs/>
      <w:sz w:val="24"/>
      <w:szCs w:val="32"/>
    </w:rPr>
  </w:style>
  <w:style w:type="character" w:customStyle="1" w:styleId="4Char">
    <w:name w:val="标题 4 Char"/>
    <w:basedOn w:val="a0"/>
    <w:link w:val="4"/>
    <w:uiPriority w:val="9"/>
    <w:qFormat/>
    <w:rsid w:val="00B12CC0"/>
    <w:rPr>
      <w:rFonts w:ascii="Times New Roman" w:eastAsiaTheme="majorEastAsia" w:hAnsi="Times New Roman" w:cstheme="majorBidi"/>
      <w:b/>
      <w:bCs/>
      <w:kern w:val="2"/>
      <w:sz w:val="24"/>
      <w:szCs w:val="28"/>
    </w:rPr>
  </w:style>
  <w:style w:type="character" w:customStyle="1" w:styleId="5Char">
    <w:name w:val="标题 5 Char"/>
    <w:basedOn w:val="a0"/>
    <w:link w:val="5"/>
    <w:uiPriority w:val="9"/>
    <w:semiHidden/>
    <w:qFormat/>
    <w:rPr>
      <w:rFonts w:ascii="Times New Roman" w:eastAsia="宋体" w:hAnsi="Times New Roman" w:cs="Times New Roman"/>
      <w:b/>
      <w:bCs/>
      <w:sz w:val="28"/>
      <w:szCs w:val="28"/>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rFonts w:ascii="Times New Roman" w:eastAsia="宋体" w:hAnsi="Times New Roman" w:cs="Times New Roman"/>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szCs w:val="21"/>
    </w:rPr>
  </w:style>
  <w:style w:type="character" w:customStyle="1" w:styleId="Char">
    <w:name w:val="批注文字 Char"/>
    <w:basedOn w:val="a0"/>
    <w:link w:val="a4"/>
    <w:uiPriority w:val="99"/>
    <w:semiHidden/>
    <w:qFormat/>
    <w:rPr>
      <w:rFonts w:ascii="Times New Roman" w:eastAsia="宋体" w:hAnsi="Times New Roman" w:cs="Times New Roman"/>
      <w:sz w:val="24"/>
      <w:szCs w:val="21"/>
    </w:rPr>
  </w:style>
  <w:style w:type="character" w:customStyle="1" w:styleId="Char2">
    <w:name w:val="页脚 Char"/>
    <w:basedOn w:val="a0"/>
    <w:link w:val="a7"/>
    <w:uiPriority w:val="99"/>
    <w:qFormat/>
    <w:rPr>
      <w:rFonts w:ascii="Times New Roman" w:eastAsia="宋体" w:hAnsi="Times New Roman" w:cs="Times New Roman"/>
      <w:sz w:val="18"/>
      <w:szCs w:val="18"/>
    </w:rPr>
  </w:style>
  <w:style w:type="character" w:customStyle="1" w:styleId="Char3">
    <w:name w:val="页眉 Char"/>
    <w:basedOn w:val="a0"/>
    <w:link w:val="a8"/>
    <w:uiPriority w:val="99"/>
    <w:qFormat/>
    <w:rPr>
      <w:rFonts w:ascii="Times New Roman" w:eastAsia="宋体" w:hAnsi="Times New Roman" w:cs="Times New Roman"/>
      <w:sz w:val="18"/>
      <w:szCs w:val="18"/>
    </w:rPr>
  </w:style>
  <w:style w:type="paragraph" w:customStyle="1" w:styleId="11">
    <w:name w:val="正文1"/>
    <w:qFormat/>
    <w:pPr>
      <w:jc w:val="both"/>
    </w:pPr>
    <w:rPr>
      <w:rFonts w:ascii="Times New Roman" w:eastAsia="宋体" w:hAnsi="Times New Roman" w:cs="Times New Roman"/>
      <w:kern w:val="2"/>
      <w:sz w:val="21"/>
      <w:szCs w:val="21"/>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paragraph" w:styleId="ae">
    <w:name w:val="List Paragraph"/>
    <w:basedOn w:val="a"/>
    <w:uiPriority w:val="1"/>
    <w:qFormat/>
    <w:pPr>
      <w:ind w:firstLine="420"/>
    </w:pPr>
  </w:style>
  <w:style w:type="character" w:customStyle="1" w:styleId="Char4">
    <w:name w:val="批注主题 Char"/>
    <w:basedOn w:val="Char"/>
    <w:link w:val="aa"/>
    <w:uiPriority w:val="99"/>
    <w:semiHidden/>
    <w:qFormat/>
    <w:rPr>
      <w:rFonts w:ascii="Times New Roman" w:eastAsia="宋体" w:hAnsi="Times New Roman" w:cs="Times New Roman"/>
      <w:b/>
      <w:bCs/>
      <w:sz w:val="24"/>
      <w:szCs w:val="21"/>
    </w:rPr>
  </w:style>
  <w:style w:type="table" w:customStyle="1" w:styleId="TableNormal">
    <w:name w:val="Table Normal"/>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qFormat/>
    <w:pPr>
      <w:autoSpaceDE w:val="0"/>
      <w:autoSpaceDN w:val="0"/>
      <w:spacing w:line="240" w:lineRule="auto"/>
      <w:ind w:firstLineChars="0" w:firstLine="0"/>
      <w:jc w:val="center"/>
    </w:pPr>
    <w:rPr>
      <w:rFonts w:ascii="宋体" w:hAnsi="宋体" w:cs="宋体"/>
      <w:kern w:val="0"/>
      <w:sz w:val="22"/>
      <w:szCs w:val="22"/>
      <w:lang w:eastAsia="en-US"/>
    </w:rPr>
  </w:style>
  <w:style w:type="character" w:customStyle="1" w:styleId="font21">
    <w:name w:val="font21"/>
    <w:basedOn w:val="a0"/>
    <w:rPr>
      <w:rFonts w:ascii="Times New Roman" w:hAnsi="Times New Roman" w:cs="Times New Roman" w:hint="default"/>
      <w:color w:val="000000"/>
      <w:sz w:val="21"/>
      <w:szCs w:val="21"/>
      <w:u w:val="none"/>
    </w:rPr>
  </w:style>
  <w:style w:type="character" w:customStyle="1" w:styleId="font11">
    <w:name w:val="font11"/>
    <w:basedOn w:val="a0"/>
    <w:rPr>
      <w:rFonts w:ascii="宋体" w:eastAsia="宋体" w:hAnsi="宋体" w:hint="eastAsia"/>
      <w:color w:val="000000"/>
      <w:sz w:val="21"/>
      <w:szCs w:val="21"/>
      <w:u w:val="none"/>
    </w:rPr>
  </w:style>
  <w:style w:type="character" w:customStyle="1" w:styleId="font31">
    <w:name w:val="font31"/>
    <w:basedOn w:val="a0"/>
    <w:rPr>
      <w:rFonts w:ascii="宋体" w:eastAsia="宋体" w:hAnsi="宋体" w:hint="eastAsia"/>
      <w:color w:val="000000"/>
      <w:sz w:val="21"/>
      <w:szCs w:val="21"/>
      <w:u w:val="none"/>
    </w:rPr>
  </w:style>
  <w:style w:type="character" w:customStyle="1" w:styleId="font61">
    <w:name w:val="font61"/>
    <w:basedOn w:val="a0"/>
    <w:rPr>
      <w:rFonts w:ascii="Times New Roman" w:hAnsi="Times New Roman" w:cs="Times New Roman" w:hint="default"/>
      <w:color w:val="000000"/>
      <w:sz w:val="21"/>
      <w:szCs w:val="21"/>
      <w:u w:val="none"/>
    </w:rPr>
  </w:style>
  <w:style w:type="character" w:customStyle="1" w:styleId="font51">
    <w:name w:val="font51"/>
    <w:basedOn w:val="a0"/>
    <w:rPr>
      <w:rFonts w:ascii="Times New Roman" w:hAnsi="Times New Roman" w:cs="Times New Roman" w:hint="default"/>
      <w:color w:val="000000"/>
      <w:sz w:val="21"/>
      <w:szCs w:val="21"/>
      <w:u w:val="none"/>
      <w:vertAlign w:val="subscript"/>
    </w:rPr>
  </w:style>
  <w:style w:type="character" w:customStyle="1" w:styleId="font41">
    <w:name w:val="font41"/>
    <w:basedOn w:val="a0"/>
    <w:rPr>
      <w:rFonts w:ascii="Times New Roman" w:hAnsi="Times New Roman" w:cs="Times New Roman" w:hint="default"/>
      <w:color w:val="000000"/>
      <w:sz w:val="21"/>
      <w:szCs w:val="21"/>
      <w:u w:val="none"/>
      <w:vertAlign w:val="superscript"/>
    </w:rPr>
  </w:style>
  <w:style w:type="character" w:customStyle="1" w:styleId="Char0">
    <w:name w:val="正文文本 Char"/>
    <w:basedOn w:val="a0"/>
    <w:link w:val="a5"/>
    <w:uiPriority w:val="99"/>
    <w:rPr>
      <w:rFonts w:ascii="宋体" w:eastAsia="宋体" w:hAnsi="宋体" w:cs="宋体"/>
      <w:sz w:val="24"/>
      <w:szCs w:val="24"/>
    </w:rPr>
  </w:style>
  <w:style w:type="paragraph" w:customStyle="1" w:styleId="21">
    <w:name w:val="正文2"/>
    <w:pPr>
      <w:jc w:val="both"/>
    </w:pPr>
    <w:rPr>
      <w:rFonts w:ascii="Calibri" w:eastAsia="宋体" w:hAnsi="Calibri" w:cs="宋体"/>
      <w:kern w:val="2"/>
      <w:sz w:val="21"/>
      <w:szCs w:val="21"/>
    </w:rPr>
  </w:style>
  <w:style w:type="character" w:styleId="af">
    <w:name w:val="Placeholder Text"/>
    <w:basedOn w:val="a0"/>
    <w:uiPriority w:val="99"/>
    <w:unhideWhenUsed/>
    <w:rPr>
      <w:color w:val="808080"/>
    </w:rPr>
  </w:style>
  <w:style w:type="paragraph" w:customStyle="1" w:styleId="30">
    <w:name w:val="正文3"/>
    <w:pPr>
      <w:jc w:val="both"/>
    </w:pPr>
    <w:rPr>
      <w:rFonts w:ascii="Calibri" w:eastAsia="宋体" w:hAnsi="Calibri" w:cs="宋体"/>
      <w:kern w:val="2"/>
      <w:sz w:val="21"/>
      <w:szCs w:val="21"/>
    </w:rPr>
  </w:style>
  <w:style w:type="paragraph" w:customStyle="1" w:styleId="40">
    <w:name w:val="正文4"/>
    <w:pPr>
      <w:jc w:val="both"/>
    </w:pPr>
    <w:rPr>
      <w:rFonts w:ascii="Calibri" w:eastAsia="宋体" w:hAnsi="Calibri" w:cs="宋体"/>
      <w:kern w:val="2"/>
      <w:sz w:val="21"/>
      <w:szCs w:val="21"/>
    </w:rPr>
  </w:style>
  <w:style w:type="paragraph" w:customStyle="1" w:styleId="af0">
    <w:name w:val="表格内文字样式"/>
    <w:basedOn w:val="a"/>
    <w:semiHidden/>
    <w:pPr>
      <w:keepLines/>
      <w:spacing w:line="240" w:lineRule="auto"/>
      <w:ind w:firstLineChars="0" w:firstLine="0"/>
      <w:jc w:val="center"/>
    </w:pPr>
    <w:rPr>
      <w:sz w:val="21"/>
    </w:rPr>
  </w:style>
  <w:style w:type="paragraph" w:customStyle="1" w:styleId="af1">
    <w:name w:val="表格内格式"/>
    <w:basedOn w:val="a"/>
    <w:next w:val="a"/>
    <w:semiHidden/>
    <w:pPr>
      <w:spacing w:before="100" w:beforeAutospacing="1" w:after="120" w:line="240" w:lineRule="auto"/>
      <w:ind w:firstLineChars="0" w:firstLine="0"/>
      <w:jc w:val="center"/>
    </w:pPr>
    <w:rPr>
      <w:kern w:val="0"/>
      <w:sz w:val="21"/>
    </w:rPr>
  </w:style>
  <w:style w:type="paragraph" w:customStyle="1" w:styleId="50">
    <w:name w:val="正文5"/>
    <w:pPr>
      <w:jc w:val="both"/>
    </w:pPr>
    <w:rPr>
      <w:rFonts w:ascii="Calibri" w:eastAsia="宋体" w:hAnsi="Calibri" w:cs="宋体"/>
      <w:kern w:val="2"/>
      <w:sz w:val="21"/>
      <w:szCs w:val="21"/>
    </w:rPr>
  </w:style>
  <w:style w:type="paragraph" w:customStyle="1" w:styleId="60">
    <w:name w:val="正文6"/>
    <w:pPr>
      <w:jc w:val="both"/>
    </w:pPr>
    <w:rPr>
      <w:rFonts w:ascii="Times New Roman" w:eastAsia="宋体" w:hAnsi="Times New Roman" w:cs="Times New Roman"/>
      <w:kern w:val="2"/>
      <w:sz w:val="21"/>
      <w:szCs w:val="21"/>
    </w:rPr>
  </w:style>
  <w:style w:type="table" w:customStyle="1" w:styleId="31">
    <w:name w:val="样式3"/>
    <w:basedOn w:val="a1"/>
    <w:pPr>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15">
    <w:name w:val="15"/>
    <w:basedOn w:val="a0"/>
    <w:rPr>
      <w:rFonts w:ascii="Times New Roman" w:hAnsi="Times New Roman" w:cs="Times New Roman" w:hint="default"/>
      <w:sz w:val="21"/>
      <w:szCs w:val="21"/>
    </w:rPr>
  </w:style>
  <w:style w:type="paragraph" w:customStyle="1" w:styleId="af2">
    <w:name w:val="表格"/>
    <w:basedOn w:val="a"/>
    <w:rsid w:val="00CC4576"/>
    <w:pPr>
      <w:widowControl/>
      <w:spacing w:line="400" w:lineRule="exact"/>
      <w:ind w:firstLineChars="0" w:firstLine="0"/>
      <w:jc w:val="center"/>
    </w:pPr>
    <w:rPr>
      <w:rFonts w:ascii="楷体_GB2312" w:eastAsia="楷体_GB2312" w:hAnsi="宋体" w:cs="宋体"/>
      <w:color w:val="000000"/>
      <w:kern w:val="0"/>
      <w:szCs w:val="24"/>
    </w:rPr>
  </w:style>
  <w:style w:type="paragraph" w:customStyle="1" w:styleId="0">
    <w:name w:val="0正文"/>
    <w:basedOn w:val="a"/>
    <w:rsid w:val="00CC4576"/>
    <w:pPr>
      <w:ind w:firstLine="720"/>
      <w:jc w:val="left"/>
    </w:pPr>
    <w:rPr>
      <w:rFonts w:ascii="Calibri" w:hAnsi="Calibri" w:cs="宋体"/>
      <w:kern w:val="0"/>
      <w:szCs w:val="24"/>
    </w:rPr>
  </w:style>
  <w:style w:type="paragraph" w:customStyle="1" w:styleId="70">
    <w:name w:val="正文7"/>
    <w:rsid w:val="00D063D9"/>
    <w:pPr>
      <w:jc w:val="both"/>
    </w:pPr>
    <w:rPr>
      <w:rFonts w:ascii="Calibri" w:eastAsia="宋体" w:hAnsi="Calibri" w:cs="宋体"/>
      <w:kern w:val="2"/>
      <w:sz w:val="21"/>
      <w:szCs w:val="21"/>
    </w:rPr>
  </w:style>
  <w:style w:type="character" w:customStyle="1" w:styleId="font01">
    <w:name w:val="font01"/>
    <w:basedOn w:val="a0"/>
    <w:rsid w:val="004A1A99"/>
    <w:rPr>
      <w:rFonts w:ascii="宋体" w:eastAsia="宋体" w:hAnsi="宋体" w:hint="eastAsia"/>
      <w:b w:val="0"/>
      <w:bCs w:val="0"/>
      <w:i w:val="0"/>
      <w:iCs w:val="0"/>
      <w:strike w:val="0"/>
      <w:dstrike w:val="0"/>
      <w:color w:val="000000"/>
      <w:sz w:val="22"/>
      <w:szCs w:val="22"/>
      <w:u w:val="none"/>
      <w:effect w:val="none"/>
    </w:rPr>
  </w:style>
  <w:style w:type="character" w:customStyle="1" w:styleId="font71">
    <w:name w:val="font71"/>
    <w:basedOn w:val="a0"/>
    <w:rsid w:val="00FD4225"/>
    <w:rPr>
      <w:rFonts w:ascii="Times New Roman" w:hAnsi="Times New Roman" w:cs="Times New Roman" w:hint="default"/>
      <w:b w:val="0"/>
      <w:bCs w:val="0"/>
      <w:i w:val="0"/>
      <w:iCs w:val="0"/>
      <w:strike w:val="0"/>
      <w:dstrike w:val="0"/>
      <w:color w:val="000000"/>
      <w:sz w:val="21"/>
      <w:szCs w:val="21"/>
      <w:u w:val="none"/>
      <w:effect w:val="none"/>
      <w:vertAlign w:val="subscript"/>
    </w:rPr>
  </w:style>
  <w:style w:type="character" w:customStyle="1" w:styleId="font91">
    <w:name w:val="font91"/>
    <w:basedOn w:val="a0"/>
    <w:rsid w:val="004C7D01"/>
    <w:rPr>
      <w:rFonts w:ascii="华文楷体" w:eastAsia="华文楷体" w:hAnsi="华文楷体" w:hint="eastAsia"/>
      <w:b/>
      <w:bCs/>
      <w:i w:val="0"/>
      <w:iCs w:val="0"/>
      <w:strike w:val="0"/>
      <w:dstrike w:val="0"/>
      <w:color w:val="000000"/>
      <w:sz w:val="26"/>
      <w:szCs w:val="26"/>
      <w:u w:val="none"/>
      <w:effect w:val="none"/>
    </w:rPr>
  </w:style>
  <w:style w:type="paragraph" w:styleId="32">
    <w:name w:val="toc 3"/>
    <w:basedOn w:val="a"/>
    <w:next w:val="a"/>
    <w:autoRedefine/>
    <w:uiPriority w:val="39"/>
    <w:unhideWhenUsed/>
    <w:rsid w:val="00E97427"/>
    <w:pPr>
      <w:spacing w:line="240" w:lineRule="auto"/>
      <w:ind w:leftChars="400" w:left="840" w:firstLineChars="0" w:firstLine="0"/>
    </w:pPr>
    <w:rPr>
      <w:rFonts w:asciiTheme="minorHAnsi" w:eastAsiaTheme="minorEastAsia" w:hAnsiTheme="minorHAnsi" w:cstheme="minorBidi"/>
      <w:sz w:val="21"/>
      <w:szCs w:val="22"/>
    </w:rPr>
  </w:style>
  <w:style w:type="paragraph" w:styleId="41">
    <w:name w:val="toc 4"/>
    <w:basedOn w:val="a"/>
    <w:next w:val="a"/>
    <w:autoRedefine/>
    <w:uiPriority w:val="39"/>
    <w:unhideWhenUsed/>
    <w:rsid w:val="00E97427"/>
    <w:pPr>
      <w:spacing w:line="240" w:lineRule="auto"/>
      <w:ind w:leftChars="600" w:left="1260" w:firstLineChars="0" w:firstLine="0"/>
    </w:pPr>
    <w:rPr>
      <w:rFonts w:asciiTheme="minorHAnsi" w:eastAsiaTheme="minorEastAsia" w:hAnsiTheme="minorHAnsi" w:cstheme="minorBidi"/>
      <w:sz w:val="21"/>
      <w:szCs w:val="22"/>
    </w:rPr>
  </w:style>
  <w:style w:type="paragraph" w:styleId="51">
    <w:name w:val="toc 5"/>
    <w:basedOn w:val="a"/>
    <w:next w:val="a"/>
    <w:autoRedefine/>
    <w:uiPriority w:val="39"/>
    <w:unhideWhenUsed/>
    <w:rsid w:val="00E97427"/>
    <w:pPr>
      <w:spacing w:line="240" w:lineRule="auto"/>
      <w:ind w:leftChars="800" w:left="1680" w:firstLineChars="0" w:firstLine="0"/>
    </w:pPr>
    <w:rPr>
      <w:rFonts w:asciiTheme="minorHAnsi" w:eastAsiaTheme="minorEastAsia" w:hAnsiTheme="minorHAnsi" w:cstheme="minorBidi"/>
      <w:sz w:val="21"/>
      <w:szCs w:val="22"/>
    </w:rPr>
  </w:style>
  <w:style w:type="paragraph" w:styleId="61">
    <w:name w:val="toc 6"/>
    <w:basedOn w:val="a"/>
    <w:next w:val="a"/>
    <w:autoRedefine/>
    <w:uiPriority w:val="39"/>
    <w:unhideWhenUsed/>
    <w:rsid w:val="00E97427"/>
    <w:pPr>
      <w:spacing w:line="240" w:lineRule="auto"/>
      <w:ind w:leftChars="1000" w:left="210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E97427"/>
    <w:pPr>
      <w:spacing w:line="240" w:lineRule="auto"/>
      <w:ind w:leftChars="1200" w:left="2520" w:firstLineChars="0" w:firstLine="0"/>
    </w:pPr>
    <w:rPr>
      <w:rFonts w:asciiTheme="minorHAnsi" w:eastAsiaTheme="minorEastAsia" w:hAnsiTheme="minorHAnsi" w:cstheme="minorBidi"/>
      <w:sz w:val="21"/>
      <w:szCs w:val="22"/>
    </w:rPr>
  </w:style>
  <w:style w:type="paragraph" w:styleId="80">
    <w:name w:val="toc 8"/>
    <w:basedOn w:val="a"/>
    <w:next w:val="a"/>
    <w:autoRedefine/>
    <w:uiPriority w:val="39"/>
    <w:unhideWhenUsed/>
    <w:rsid w:val="00E97427"/>
    <w:pPr>
      <w:spacing w:line="240" w:lineRule="auto"/>
      <w:ind w:leftChars="1400" w:left="2940" w:firstLineChars="0" w:firstLine="0"/>
    </w:pPr>
    <w:rPr>
      <w:rFonts w:asciiTheme="minorHAnsi" w:eastAsiaTheme="minorEastAsia" w:hAnsiTheme="minorHAnsi" w:cstheme="minorBidi"/>
      <w:sz w:val="21"/>
      <w:szCs w:val="22"/>
    </w:rPr>
  </w:style>
  <w:style w:type="paragraph" w:styleId="90">
    <w:name w:val="toc 9"/>
    <w:basedOn w:val="a"/>
    <w:next w:val="a"/>
    <w:autoRedefine/>
    <w:uiPriority w:val="39"/>
    <w:unhideWhenUsed/>
    <w:rsid w:val="00E97427"/>
    <w:pPr>
      <w:spacing w:line="240" w:lineRule="auto"/>
      <w:ind w:leftChars="1600" w:left="3360" w:firstLineChars="0" w:firstLine="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0681">
      <w:bodyDiv w:val="1"/>
      <w:marLeft w:val="0"/>
      <w:marRight w:val="0"/>
      <w:marTop w:val="0"/>
      <w:marBottom w:val="0"/>
      <w:divBdr>
        <w:top w:val="none" w:sz="0" w:space="0" w:color="auto"/>
        <w:left w:val="none" w:sz="0" w:space="0" w:color="auto"/>
        <w:bottom w:val="none" w:sz="0" w:space="0" w:color="auto"/>
        <w:right w:val="none" w:sz="0" w:space="0" w:color="auto"/>
      </w:divBdr>
    </w:div>
    <w:div w:id="147863895">
      <w:bodyDiv w:val="1"/>
      <w:marLeft w:val="0"/>
      <w:marRight w:val="0"/>
      <w:marTop w:val="0"/>
      <w:marBottom w:val="0"/>
      <w:divBdr>
        <w:top w:val="none" w:sz="0" w:space="0" w:color="auto"/>
        <w:left w:val="none" w:sz="0" w:space="0" w:color="auto"/>
        <w:bottom w:val="none" w:sz="0" w:space="0" w:color="auto"/>
        <w:right w:val="none" w:sz="0" w:space="0" w:color="auto"/>
      </w:divBdr>
    </w:div>
    <w:div w:id="149182140">
      <w:bodyDiv w:val="1"/>
      <w:marLeft w:val="0"/>
      <w:marRight w:val="0"/>
      <w:marTop w:val="0"/>
      <w:marBottom w:val="0"/>
      <w:divBdr>
        <w:top w:val="none" w:sz="0" w:space="0" w:color="auto"/>
        <w:left w:val="none" w:sz="0" w:space="0" w:color="auto"/>
        <w:bottom w:val="none" w:sz="0" w:space="0" w:color="auto"/>
        <w:right w:val="none" w:sz="0" w:space="0" w:color="auto"/>
      </w:divBdr>
    </w:div>
    <w:div w:id="190725196">
      <w:bodyDiv w:val="1"/>
      <w:marLeft w:val="0"/>
      <w:marRight w:val="0"/>
      <w:marTop w:val="0"/>
      <w:marBottom w:val="0"/>
      <w:divBdr>
        <w:top w:val="none" w:sz="0" w:space="0" w:color="auto"/>
        <w:left w:val="none" w:sz="0" w:space="0" w:color="auto"/>
        <w:bottom w:val="none" w:sz="0" w:space="0" w:color="auto"/>
        <w:right w:val="none" w:sz="0" w:space="0" w:color="auto"/>
      </w:divBdr>
    </w:div>
    <w:div w:id="204756803">
      <w:bodyDiv w:val="1"/>
      <w:marLeft w:val="0"/>
      <w:marRight w:val="0"/>
      <w:marTop w:val="0"/>
      <w:marBottom w:val="0"/>
      <w:divBdr>
        <w:top w:val="none" w:sz="0" w:space="0" w:color="auto"/>
        <w:left w:val="none" w:sz="0" w:space="0" w:color="auto"/>
        <w:bottom w:val="none" w:sz="0" w:space="0" w:color="auto"/>
        <w:right w:val="none" w:sz="0" w:space="0" w:color="auto"/>
      </w:divBdr>
    </w:div>
    <w:div w:id="210770808">
      <w:bodyDiv w:val="1"/>
      <w:marLeft w:val="0"/>
      <w:marRight w:val="0"/>
      <w:marTop w:val="0"/>
      <w:marBottom w:val="0"/>
      <w:divBdr>
        <w:top w:val="none" w:sz="0" w:space="0" w:color="auto"/>
        <w:left w:val="none" w:sz="0" w:space="0" w:color="auto"/>
        <w:bottom w:val="none" w:sz="0" w:space="0" w:color="auto"/>
        <w:right w:val="none" w:sz="0" w:space="0" w:color="auto"/>
      </w:divBdr>
    </w:div>
    <w:div w:id="354621384">
      <w:bodyDiv w:val="1"/>
      <w:marLeft w:val="0"/>
      <w:marRight w:val="0"/>
      <w:marTop w:val="0"/>
      <w:marBottom w:val="0"/>
      <w:divBdr>
        <w:top w:val="none" w:sz="0" w:space="0" w:color="auto"/>
        <w:left w:val="none" w:sz="0" w:space="0" w:color="auto"/>
        <w:bottom w:val="none" w:sz="0" w:space="0" w:color="auto"/>
        <w:right w:val="none" w:sz="0" w:space="0" w:color="auto"/>
      </w:divBdr>
    </w:div>
    <w:div w:id="355812556">
      <w:bodyDiv w:val="1"/>
      <w:marLeft w:val="0"/>
      <w:marRight w:val="0"/>
      <w:marTop w:val="0"/>
      <w:marBottom w:val="0"/>
      <w:divBdr>
        <w:top w:val="none" w:sz="0" w:space="0" w:color="auto"/>
        <w:left w:val="none" w:sz="0" w:space="0" w:color="auto"/>
        <w:bottom w:val="none" w:sz="0" w:space="0" w:color="auto"/>
        <w:right w:val="none" w:sz="0" w:space="0" w:color="auto"/>
      </w:divBdr>
    </w:div>
    <w:div w:id="362286884">
      <w:bodyDiv w:val="1"/>
      <w:marLeft w:val="0"/>
      <w:marRight w:val="0"/>
      <w:marTop w:val="0"/>
      <w:marBottom w:val="0"/>
      <w:divBdr>
        <w:top w:val="none" w:sz="0" w:space="0" w:color="auto"/>
        <w:left w:val="none" w:sz="0" w:space="0" w:color="auto"/>
        <w:bottom w:val="none" w:sz="0" w:space="0" w:color="auto"/>
        <w:right w:val="none" w:sz="0" w:space="0" w:color="auto"/>
      </w:divBdr>
    </w:div>
    <w:div w:id="377976664">
      <w:bodyDiv w:val="1"/>
      <w:marLeft w:val="0"/>
      <w:marRight w:val="0"/>
      <w:marTop w:val="0"/>
      <w:marBottom w:val="0"/>
      <w:divBdr>
        <w:top w:val="none" w:sz="0" w:space="0" w:color="auto"/>
        <w:left w:val="none" w:sz="0" w:space="0" w:color="auto"/>
        <w:bottom w:val="none" w:sz="0" w:space="0" w:color="auto"/>
        <w:right w:val="none" w:sz="0" w:space="0" w:color="auto"/>
      </w:divBdr>
    </w:div>
    <w:div w:id="483591222">
      <w:bodyDiv w:val="1"/>
      <w:marLeft w:val="0"/>
      <w:marRight w:val="0"/>
      <w:marTop w:val="0"/>
      <w:marBottom w:val="0"/>
      <w:divBdr>
        <w:top w:val="none" w:sz="0" w:space="0" w:color="auto"/>
        <w:left w:val="none" w:sz="0" w:space="0" w:color="auto"/>
        <w:bottom w:val="none" w:sz="0" w:space="0" w:color="auto"/>
        <w:right w:val="none" w:sz="0" w:space="0" w:color="auto"/>
      </w:divBdr>
    </w:div>
    <w:div w:id="551772817">
      <w:bodyDiv w:val="1"/>
      <w:marLeft w:val="0"/>
      <w:marRight w:val="0"/>
      <w:marTop w:val="0"/>
      <w:marBottom w:val="0"/>
      <w:divBdr>
        <w:top w:val="none" w:sz="0" w:space="0" w:color="auto"/>
        <w:left w:val="none" w:sz="0" w:space="0" w:color="auto"/>
        <w:bottom w:val="none" w:sz="0" w:space="0" w:color="auto"/>
        <w:right w:val="none" w:sz="0" w:space="0" w:color="auto"/>
      </w:divBdr>
    </w:div>
    <w:div w:id="607468145">
      <w:bodyDiv w:val="1"/>
      <w:marLeft w:val="0"/>
      <w:marRight w:val="0"/>
      <w:marTop w:val="0"/>
      <w:marBottom w:val="0"/>
      <w:divBdr>
        <w:top w:val="none" w:sz="0" w:space="0" w:color="auto"/>
        <w:left w:val="none" w:sz="0" w:space="0" w:color="auto"/>
        <w:bottom w:val="none" w:sz="0" w:space="0" w:color="auto"/>
        <w:right w:val="none" w:sz="0" w:space="0" w:color="auto"/>
      </w:divBdr>
    </w:div>
    <w:div w:id="729772504">
      <w:bodyDiv w:val="1"/>
      <w:marLeft w:val="0"/>
      <w:marRight w:val="0"/>
      <w:marTop w:val="0"/>
      <w:marBottom w:val="0"/>
      <w:divBdr>
        <w:top w:val="none" w:sz="0" w:space="0" w:color="auto"/>
        <w:left w:val="none" w:sz="0" w:space="0" w:color="auto"/>
        <w:bottom w:val="none" w:sz="0" w:space="0" w:color="auto"/>
        <w:right w:val="none" w:sz="0" w:space="0" w:color="auto"/>
      </w:divBdr>
    </w:div>
    <w:div w:id="941767817">
      <w:bodyDiv w:val="1"/>
      <w:marLeft w:val="0"/>
      <w:marRight w:val="0"/>
      <w:marTop w:val="0"/>
      <w:marBottom w:val="0"/>
      <w:divBdr>
        <w:top w:val="none" w:sz="0" w:space="0" w:color="auto"/>
        <w:left w:val="none" w:sz="0" w:space="0" w:color="auto"/>
        <w:bottom w:val="none" w:sz="0" w:space="0" w:color="auto"/>
        <w:right w:val="none" w:sz="0" w:space="0" w:color="auto"/>
      </w:divBdr>
    </w:div>
    <w:div w:id="975065489">
      <w:bodyDiv w:val="1"/>
      <w:marLeft w:val="0"/>
      <w:marRight w:val="0"/>
      <w:marTop w:val="0"/>
      <w:marBottom w:val="0"/>
      <w:divBdr>
        <w:top w:val="none" w:sz="0" w:space="0" w:color="auto"/>
        <w:left w:val="none" w:sz="0" w:space="0" w:color="auto"/>
        <w:bottom w:val="none" w:sz="0" w:space="0" w:color="auto"/>
        <w:right w:val="none" w:sz="0" w:space="0" w:color="auto"/>
      </w:divBdr>
    </w:div>
    <w:div w:id="1121536253">
      <w:bodyDiv w:val="1"/>
      <w:marLeft w:val="0"/>
      <w:marRight w:val="0"/>
      <w:marTop w:val="0"/>
      <w:marBottom w:val="0"/>
      <w:divBdr>
        <w:top w:val="none" w:sz="0" w:space="0" w:color="auto"/>
        <w:left w:val="none" w:sz="0" w:space="0" w:color="auto"/>
        <w:bottom w:val="none" w:sz="0" w:space="0" w:color="auto"/>
        <w:right w:val="none" w:sz="0" w:space="0" w:color="auto"/>
      </w:divBdr>
    </w:div>
    <w:div w:id="1176841859">
      <w:bodyDiv w:val="1"/>
      <w:marLeft w:val="0"/>
      <w:marRight w:val="0"/>
      <w:marTop w:val="0"/>
      <w:marBottom w:val="0"/>
      <w:divBdr>
        <w:top w:val="none" w:sz="0" w:space="0" w:color="auto"/>
        <w:left w:val="none" w:sz="0" w:space="0" w:color="auto"/>
        <w:bottom w:val="none" w:sz="0" w:space="0" w:color="auto"/>
        <w:right w:val="none" w:sz="0" w:space="0" w:color="auto"/>
      </w:divBdr>
    </w:div>
    <w:div w:id="1243222893">
      <w:bodyDiv w:val="1"/>
      <w:marLeft w:val="0"/>
      <w:marRight w:val="0"/>
      <w:marTop w:val="0"/>
      <w:marBottom w:val="0"/>
      <w:divBdr>
        <w:top w:val="none" w:sz="0" w:space="0" w:color="auto"/>
        <w:left w:val="none" w:sz="0" w:space="0" w:color="auto"/>
        <w:bottom w:val="none" w:sz="0" w:space="0" w:color="auto"/>
        <w:right w:val="none" w:sz="0" w:space="0" w:color="auto"/>
      </w:divBdr>
    </w:div>
    <w:div w:id="1284073788">
      <w:bodyDiv w:val="1"/>
      <w:marLeft w:val="0"/>
      <w:marRight w:val="0"/>
      <w:marTop w:val="0"/>
      <w:marBottom w:val="0"/>
      <w:divBdr>
        <w:top w:val="none" w:sz="0" w:space="0" w:color="auto"/>
        <w:left w:val="none" w:sz="0" w:space="0" w:color="auto"/>
        <w:bottom w:val="none" w:sz="0" w:space="0" w:color="auto"/>
        <w:right w:val="none" w:sz="0" w:space="0" w:color="auto"/>
      </w:divBdr>
    </w:div>
    <w:div w:id="1374773096">
      <w:bodyDiv w:val="1"/>
      <w:marLeft w:val="0"/>
      <w:marRight w:val="0"/>
      <w:marTop w:val="0"/>
      <w:marBottom w:val="0"/>
      <w:divBdr>
        <w:top w:val="none" w:sz="0" w:space="0" w:color="auto"/>
        <w:left w:val="none" w:sz="0" w:space="0" w:color="auto"/>
        <w:bottom w:val="none" w:sz="0" w:space="0" w:color="auto"/>
        <w:right w:val="none" w:sz="0" w:space="0" w:color="auto"/>
      </w:divBdr>
    </w:div>
    <w:div w:id="1383627114">
      <w:bodyDiv w:val="1"/>
      <w:marLeft w:val="0"/>
      <w:marRight w:val="0"/>
      <w:marTop w:val="0"/>
      <w:marBottom w:val="0"/>
      <w:divBdr>
        <w:top w:val="none" w:sz="0" w:space="0" w:color="auto"/>
        <w:left w:val="none" w:sz="0" w:space="0" w:color="auto"/>
        <w:bottom w:val="none" w:sz="0" w:space="0" w:color="auto"/>
        <w:right w:val="none" w:sz="0" w:space="0" w:color="auto"/>
      </w:divBdr>
    </w:div>
    <w:div w:id="1434980621">
      <w:bodyDiv w:val="1"/>
      <w:marLeft w:val="0"/>
      <w:marRight w:val="0"/>
      <w:marTop w:val="0"/>
      <w:marBottom w:val="0"/>
      <w:divBdr>
        <w:top w:val="none" w:sz="0" w:space="0" w:color="auto"/>
        <w:left w:val="none" w:sz="0" w:space="0" w:color="auto"/>
        <w:bottom w:val="none" w:sz="0" w:space="0" w:color="auto"/>
        <w:right w:val="none" w:sz="0" w:space="0" w:color="auto"/>
      </w:divBdr>
    </w:div>
    <w:div w:id="1446735585">
      <w:bodyDiv w:val="1"/>
      <w:marLeft w:val="0"/>
      <w:marRight w:val="0"/>
      <w:marTop w:val="0"/>
      <w:marBottom w:val="0"/>
      <w:divBdr>
        <w:top w:val="none" w:sz="0" w:space="0" w:color="auto"/>
        <w:left w:val="none" w:sz="0" w:space="0" w:color="auto"/>
        <w:bottom w:val="none" w:sz="0" w:space="0" w:color="auto"/>
        <w:right w:val="none" w:sz="0" w:space="0" w:color="auto"/>
      </w:divBdr>
    </w:div>
    <w:div w:id="1483424503">
      <w:bodyDiv w:val="1"/>
      <w:marLeft w:val="0"/>
      <w:marRight w:val="0"/>
      <w:marTop w:val="0"/>
      <w:marBottom w:val="0"/>
      <w:divBdr>
        <w:top w:val="none" w:sz="0" w:space="0" w:color="auto"/>
        <w:left w:val="none" w:sz="0" w:space="0" w:color="auto"/>
        <w:bottom w:val="none" w:sz="0" w:space="0" w:color="auto"/>
        <w:right w:val="none" w:sz="0" w:space="0" w:color="auto"/>
      </w:divBdr>
    </w:div>
    <w:div w:id="1488978022">
      <w:bodyDiv w:val="1"/>
      <w:marLeft w:val="0"/>
      <w:marRight w:val="0"/>
      <w:marTop w:val="0"/>
      <w:marBottom w:val="0"/>
      <w:divBdr>
        <w:top w:val="none" w:sz="0" w:space="0" w:color="auto"/>
        <w:left w:val="none" w:sz="0" w:space="0" w:color="auto"/>
        <w:bottom w:val="none" w:sz="0" w:space="0" w:color="auto"/>
        <w:right w:val="none" w:sz="0" w:space="0" w:color="auto"/>
      </w:divBdr>
    </w:div>
    <w:div w:id="1490945427">
      <w:bodyDiv w:val="1"/>
      <w:marLeft w:val="0"/>
      <w:marRight w:val="0"/>
      <w:marTop w:val="0"/>
      <w:marBottom w:val="0"/>
      <w:divBdr>
        <w:top w:val="none" w:sz="0" w:space="0" w:color="auto"/>
        <w:left w:val="none" w:sz="0" w:space="0" w:color="auto"/>
        <w:bottom w:val="none" w:sz="0" w:space="0" w:color="auto"/>
        <w:right w:val="none" w:sz="0" w:space="0" w:color="auto"/>
      </w:divBdr>
    </w:div>
    <w:div w:id="1493912236">
      <w:bodyDiv w:val="1"/>
      <w:marLeft w:val="0"/>
      <w:marRight w:val="0"/>
      <w:marTop w:val="0"/>
      <w:marBottom w:val="0"/>
      <w:divBdr>
        <w:top w:val="none" w:sz="0" w:space="0" w:color="auto"/>
        <w:left w:val="none" w:sz="0" w:space="0" w:color="auto"/>
        <w:bottom w:val="none" w:sz="0" w:space="0" w:color="auto"/>
        <w:right w:val="none" w:sz="0" w:space="0" w:color="auto"/>
      </w:divBdr>
    </w:div>
    <w:div w:id="1497913285">
      <w:bodyDiv w:val="1"/>
      <w:marLeft w:val="0"/>
      <w:marRight w:val="0"/>
      <w:marTop w:val="0"/>
      <w:marBottom w:val="0"/>
      <w:divBdr>
        <w:top w:val="none" w:sz="0" w:space="0" w:color="auto"/>
        <w:left w:val="none" w:sz="0" w:space="0" w:color="auto"/>
        <w:bottom w:val="none" w:sz="0" w:space="0" w:color="auto"/>
        <w:right w:val="none" w:sz="0" w:space="0" w:color="auto"/>
      </w:divBdr>
    </w:div>
    <w:div w:id="1514997352">
      <w:bodyDiv w:val="1"/>
      <w:marLeft w:val="0"/>
      <w:marRight w:val="0"/>
      <w:marTop w:val="0"/>
      <w:marBottom w:val="0"/>
      <w:divBdr>
        <w:top w:val="none" w:sz="0" w:space="0" w:color="auto"/>
        <w:left w:val="none" w:sz="0" w:space="0" w:color="auto"/>
        <w:bottom w:val="none" w:sz="0" w:space="0" w:color="auto"/>
        <w:right w:val="none" w:sz="0" w:space="0" w:color="auto"/>
      </w:divBdr>
    </w:div>
    <w:div w:id="1534339732">
      <w:bodyDiv w:val="1"/>
      <w:marLeft w:val="0"/>
      <w:marRight w:val="0"/>
      <w:marTop w:val="0"/>
      <w:marBottom w:val="0"/>
      <w:divBdr>
        <w:top w:val="none" w:sz="0" w:space="0" w:color="auto"/>
        <w:left w:val="none" w:sz="0" w:space="0" w:color="auto"/>
        <w:bottom w:val="none" w:sz="0" w:space="0" w:color="auto"/>
        <w:right w:val="none" w:sz="0" w:space="0" w:color="auto"/>
      </w:divBdr>
    </w:div>
    <w:div w:id="1579175457">
      <w:bodyDiv w:val="1"/>
      <w:marLeft w:val="0"/>
      <w:marRight w:val="0"/>
      <w:marTop w:val="0"/>
      <w:marBottom w:val="0"/>
      <w:divBdr>
        <w:top w:val="none" w:sz="0" w:space="0" w:color="auto"/>
        <w:left w:val="none" w:sz="0" w:space="0" w:color="auto"/>
        <w:bottom w:val="none" w:sz="0" w:space="0" w:color="auto"/>
        <w:right w:val="none" w:sz="0" w:space="0" w:color="auto"/>
      </w:divBdr>
    </w:div>
    <w:div w:id="1613824512">
      <w:bodyDiv w:val="1"/>
      <w:marLeft w:val="0"/>
      <w:marRight w:val="0"/>
      <w:marTop w:val="0"/>
      <w:marBottom w:val="0"/>
      <w:divBdr>
        <w:top w:val="none" w:sz="0" w:space="0" w:color="auto"/>
        <w:left w:val="none" w:sz="0" w:space="0" w:color="auto"/>
        <w:bottom w:val="none" w:sz="0" w:space="0" w:color="auto"/>
        <w:right w:val="none" w:sz="0" w:space="0" w:color="auto"/>
      </w:divBdr>
    </w:div>
    <w:div w:id="1624992599">
      <w:bodyDiv w:val="1"/>
      <w:marLeft w:val="0"/>
      <w:marRight w:val="0"/>
      <w:marTop w:val="0"/>
      <w:marBottom w:val="0"/>
      <w:divBdr>
        <w:top w:val="none" w:sz="0" w:space="0" w:color="auto"/>
        <w:left w:val="none" w:sz="0" w:space="0" w:color="auto"/>
        <w:bottom w:val="none" w:sz="0" w:space="0" w:color="auto"/>
        <w:right w:val="none" w:sz="0" w:space="0" w:color="auto"/>
      </w:divBdr>
    </w:div>
    <w:div w:id="1626619146">
      <w:bodyDiv w:val="1"/>
      <w:marLeft w:val="0"/>
      <w:marRight w:val="0"/>
      <w:marTop w:val="0"/>
      <w:marBottom w:val="0"/>
      <w:divBdr>
        <w:top w:val="none" w:sz="0" w:space="0" w:color="auto"/>
        <w:left w:val="none" w:sz="0" w:space="0" w:color="auto"/>
        <w:bottom w:val="none" w:sz="0" w:space="0" w:color="auto"/>
        <w:right w:val="none" w:sz="0" w:space="0" w:color="auto"/>
      </w:divBdr>
    </w:div>
    <w:div w:id="1719627740">
      <w:bodyDiv w:val="1"/>
      <w:marLeft w:val="0"/>
      <w:marRight w:val="0"/>
      <w:marTop w:val="0"/>
      <w:marBottom w:val="0"/>
      <w:divBdr>
        <w:top w:val="none" w:sz="0" w:space="0" w:color="auto"/>
        <w:left w:val="none" w:sz="0" w:space="0" w:color="auto"/>
        <w:bottom w:val="none" w:sz="0" w:space="0" w:color="auto"/>
        <w:right w:val="none" w:sz="0" w:space="0" w:color="auto"/>
      </w:divBdr>
    </w:div>
    <w:div w:id="1736121656">
      <w:bodyDiv w:val="1"/>
      <w:marLeft w:val="0"/>
      <w:marRight w:val="0"/>
      <w:marTop w:val="0"/>
      <w:marBottom w:val="0"/>
      <w:divBdr>
        <w:top w:val="none" w:sz="0" w:space="0" w:color="auto"/>
        <w:left w:val="none" w:sz="0" w:space="0" w:color="auto"/>
        <w:bottom w:val="none" w:sz="0" w:space="0" w:color="auto"/>
        <w:right w:val="none" w:sz="0" w:space="0" w:color="auto"/>
      </w:divBdr>
    </w:div>
    <w:div w:id="1822844031">
      <w:bodyDiv w:val="1"/>
      <w:marLeft w:val="0"/>
      <w:marRight w:val="0"/>
      <w:marTop w:val="0"/>
      <w:marBottom w:val="0"/>
      <w:divBdr>
        <w:top w:val="none" w:sz="0" w:space="0" w:color="auto"/>
        <w:left w:val="none" w:sz="0" w:space="0" w:color="auto"/>
        <w:bottom w:val="none" w:sz="0" w:space="0" w:color="auto"/>
        <w:right w:val="none" w:sz="0" w:space="0" w:color="auto"/>
      </w:divBdr>
    </w:div>
    <w:div w:id="1841920017">
      <w:bodyDiv w:val="1"/>
      <w:marLeft w:val="0"/>
      <w:marRight w:val="0"/>
      <w:marTop w:val="0"/>
      <w:marBottom w:val="0"/>
      <w:divBdr>
        <w:top w:val="none" w:sz="0" w:space="0" w:color="auto"/>
        <w:left w:val="none" w:sz="0" w:space="0" w:color="auto"/>
        <w:bottom w:val="none" w:sz="0" w:space="0" w:color="auto"/>
        <w:right w:val="none" w:sz="0" w:space="0" w:color="auto"/>
      </w:divBdr>
    </w:div>
    <w:div w:id="1880124974">
      <w:bodyDiv w:val="1"/>
      <w:marLeft w:val="0"/>
      <w:marRight w:val="0"/>
      <w:marTop w:val="0"/>
      <w:marBottom w:val="0"/>
      <w:divBdr>
        <w:top w:val="none" w:sz="0" w:space="0" w:color="auto"/>
        <w:left w:val="none" w:sz="0" w:space="0" w:color="auto"/>
        <w:bottom w:val="none" w:sz="0" w:space="0" w:color="auto"/>
        <w:right w:val="none" w:sz="0" w:space="0" w:color="auto"/>
      </w:divBdr>
    </w:div>
    <w:div w:id="1916233050">
      <w:bodyDiv w:val="1"/>
      <w:marLeft w:val="0"/>
      <w:marRight w:val="0"/>
      <w:marTop w:val="0"/>
      <w:marBottom w:val="0"/>
      <w:divBdr>
        <w:top w:val="none" w:sz="0" w:space="0" w:color="auto"/>
        <w:left w:val="none" w:sz="0" w:space="0" w:color="auto"/>
        <w:bottom w:val="none" w:sz="0" w:space="0" w:color="auto"/>
        <w:right w:val="none" w:sz="0" w:space="0" w:color="auto"/>
      </w:divBdr>
    </w:div>
    <w:div w:id="2035571554">
      <w:bodyDiv w:val="1"/>
      <w:marLeft w:val="0"/>
      <w:marRight w:val="0"/>
      <w:marTop w:val="0"/>
      <w:marBottom w:val="0"/>
      <w:divBdr>
        <w:top w:val="none" w:sz="0" w:space="0" w:color="auto"/>
        <w:left w:val="none" w:sz="0" w:space="0" w:color="auto"/>
        <w:bottom w:val="none" w:sz="0" w:space="0" w:color="auto"/>
        <w:right w:val="none" w:sz="0" w:space="0" w:color="auto"/>
      </w:divBdr>
    </w:div>
    <w:div w:id="2064668259">
      <w:bodyDiv w:val="1"/>
      <w:marLeft w:val="0"/>
      <w:marRight w:val="0"/>
      <w:marTop w:val="0"/>
      <w:marBottom w:val="0"/>
      <w:divBdr>
        <w:top w:val="none" w:sz="0" w:space="0" w:color="auto"/>
        <w:left w:val="none" w:sz="0" w:space="0" w:color="auto"/>
        <w:bottom w:val="none" w:sz="0" w:space="0" w:color="auto"/>
        <w:right w:val="none" w:sz="0" w:space="0" w:color="auto"/>
      </w:divBdr>
    </w:div>
    <w:div w:id="2098552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image" Target="media/image16.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5.png"/><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4D90D1-4A4F-4911-A48A-E00C221D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232</Pages>
  <Words>28869</Words>
  <Characters>164555</Characters>
  <Application>Microsoft Office Word</Application>
  <DocSecurity>0</DocSecurity>
  <Lines>1371</Lines>
  <Paragraphs>386</Paragraphs>
  <ScaleCrop>false</ScaleCrop>
  <Company>Microsoft</Company>
  <LinksUpToDate>false</LinksUpToDate>
  <CharactersWithSpaces>193038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SXL</cp:lastModifiedBy>
  <cp:revision>5</cp:revision>
  <dcterms:created xsi:type="dcterms:W3CDTF">2021-08-18T01:17:00Z</dcterms:created>
  <dcterms:modified xsi:type="dcterms:W3CDTF">2021-08-18T01:22:00Z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B68B9E99AFA247FC84D0206942B151F6</vt:lpwstr>
  </property>
</Properties>
</file>