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关于加强柴油车排气污染监管执法的通告</w:t>
      </w:r>
    </w:p>
    <w:p>
      <w:pPr>
        <w:overflowPunct w:val="0"/>
        <w:spacing w:line="600" w:lineRule="exact"/>
        <w:rPr>
          <w:rFonts w:hint="eastAsia" w:ascii="仿宋_GB2312" w:hAnsi="仿宋_GB2312" w:eastAsia="仿宋_GB2312" w:cs="仿宋_GB2312"/>
          <w:sz w:val="32"/>
          <w:szCs w:val="32"/>
        </w:rPr>
      </w:pP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大机动车排气污染防治力度，进一步规范排放检验不合格柴油车执法程序，打好柴油货车污染治理攻坚战，持续改善我市环境空气质量，根据《中华人民共和国大气污染防治法》《中华人民共和国道路交通安全法》《湖北省大气污染防治条例》《柴油车污染物排放限值及测量方法（自由加速法及加载减速法）》《在用柴油车排气污染物测量方法及技术要求（遥感检测法）》《关于建立实施汽车排放检验与维护制度的通知》等相关规定，经研究，决定</w:t>
      </w:r>
      <w:r>
        <w:rPr>
          <w:rFonts w:hint="eastAsia" w:ascii="仿宋_GB2312" w:hAnsi="仿宋_GB2312" w:eastAsia="仿宋_GB2312" w:cs="仿宋_GB2312"/>
          <w:sz w:val="32"/>
          <w:szCs w:val="32"/>
          <w:lang w:val="en-US" w:eastAsia="zh-CN"/>
        </w:rPr>
        <w:t>通过固定监控系统或移动检测设备开展监管执法</w:t>
      </w:r>
      <w:r>
        <w:rPr>
          <w:rFonts w:hint="eastAsia" w:ascii="仿宋_GB2312" w:hAnsi="仿宋_GB2312" w:eastAsia="仿宋_GB2312" w:cs="仿宋_GB2312"/>
          <w:sz w:val="32"/>
          <w:szCs w:val="32"/>
        </w:rPr>
        <w:t>，现将有关事项通告如下：</w:t>
      </w:r>
    </w:p>
    <w:p>
      <w:pPr>
        <w:overflowPunct w:val="0"/>
        <w:spacing w:line="6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一、本通告</w:t>
      </w:r>
      <w:r>
        <w:rPr>
          <w:rFonts w:hint="eastAsia" w:ascii="黑体" w:hAnsi="黑体" w:eastAsia="黑体" w:cs="黑体"/>
          <w:sz w:val="32"/>
          <w:szCs w:val="32"/>
          <w:lang w:val="en-US" w:eastAsia="zh-CN"/>
        </w:rPr>
        <w:t>适用宜昌市行政区域范围内所有柴油车辆。</w:t>
      </w:r>
    </w:p>
    <w:p>
      <w:pPr>
        <w:overflowPunct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二、监管执法方式</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楷体_GB2312" w:hAnsi="楷体_GB2312" w:eastAsia="楷体_GB2312" w:cs="楷体_GB2312"/>
          <w:sz w:val="32"/>
          <w:szCs w:val="32"/>
        </w:rPr>
        <w:t>超标告知</w:t>
      </w:r>
    </w:p>
    <w:p>
      <w:pPr>
        <w:overflowPunct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楷体_GB2312" w:hAnsi="楷体_GB2312" w:eastAsia="楷体_GB2312" w:cs="楷体_GB2312"/>
          <w:sz w:val="32"/>
          <w:szCs w:val="32"/>
        </w:rPr>
        <w:t>非现场告知</w:t>
      </w:r>
      <w:r>
        <w:rPr>
          <w:rFonts w:hint="eastAsia" w:ascii="仿宋_GB2312" w:hAnsi="仿宋_GB2312" w:eastAsia="仿宋_GB2312" w:cs="仿宋_GB2312"/>
          <w:sz w:val="32"/>
          <w:szCs w:val="32"/>
        </w:rPr>
        <w:t>。对通过遥感检测，首次发现污染物超标排放的柴油车，生态环境部门列为高排放车，并联合公安</w:t>
      </w:r>
      <w:r>
        <w:rPr>
          <w:rFonts w:hint="eastAsia" w:ascii="仿宋_GB2312" w:hAnsi="仿宋_GB2312" w:eastAsia="仿宋_GB2312" w:cs="仿宋_GB2312"/>
          <w:sz w:val="32"/>
          <w:szCs w:val="32"/>
          <w:lang w:val="en-US" w:eastAsia="zh-CN"/>
        </w:rPr>
        <w:t>交管</w:t>
      </w:r>
      <w:r>
        <w:rPr>
          <w:rFonts w:hint="eastAsia" w:ascii="仿宋_GB2312" w:hAnsi="仿宋_GB2312" w:eastAsia="仿宋_GB2312" w:cs="仿宋_GB2312"/>
          <w:sz w:val="32"/>
          <w:szCs w:val="32"/>
        </w:rPr>
        <w:t>部门公告车辆名单，提醒车辆所有人进行维修治理；6个月内连续2次及以上同种污染物检测结果超过排放限值，数据经生态环境部门审核后，判定该车排放不合格，纳入</w:t>
      </w:r>
      <w:r>
        <w:rPr>
          <w:rFonts w:hint="eastAsia" w:ascii="仿宋_GB2312" w:hAnsi="仿宋_GB2312" w:eastAsia="仿宋_GB2312" w:cs="仿宋_GB2312"/>
          <w:color w:val="000000"/>
          <w:sz w:val="32"/>
          <w:szCs w:val="32"/>
        </w:rPr>
        <w:t>机动车排放检测与强制维护（I/M）制度闭环管理，车辆进行维修治理后进行排放性能检测。</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楷体_GB2312" w:hAnsi="楷体_GB2312" w:eastAsia="楷体_GB2312" w:cs="楷体_GB2312"/>
          <w:sz w:val="32"/>
          <w:szCs w:val="32"/>
        </w:rPr>
        <w:t>现场告知。</w:t>
      </w:r>
      <w:r>
        <w:rPr>
          <w:rFonts w:hint="eastAsia" w:ascii="仿宋_GB2312" w:hAnsi="仿宋_GB2312" w:eastAsia="仿宋_GB2312" w:cs="仿宋_GB2312"/>
          <w:color w:val="000000"/>
          <w:sz w:val="32"/>
          <w:szCs w:val="32"/>
        </w:rPr>
        <w:t>对全市柴油车保有量超过20辆的</w:t>
      </w:r>
      <w:r>
        <w:rPr>
          <w:rFonts w:hint="eastAsia" w:ascii="仿宋_GB2312" w:hAnsi="仿宋_GB2312" w:eastAsia="仿宋_GB2312" w:cs="仿宋_GB2312"/>
          <w:color w:val="000000"/>
          <w:sz w:val="32"/>
          <w:szCs w:val="32"/>
          <w:lang w:val="en-US" w:eastAsia="zh-CN"/>
        </w:rPr>
        <w:t>运输企业</w:t>
      </w:r>
      <w:r>
        <w:rPr>
          <w:rFonts w:hint="eastAsia" w:ascii="仿宋_GB2312" w:hAnsi="仿宋_GB2312" w:eastAsia="仿宋_GB2312" w:cs="仿宋_GB2312"/>
          <w:color w:val="000000"/>
          <w:sz w:val="32"/>
          <w:szCs w:val="32"/>
        </w:rPr>
        <w:t>，生态环境部门通过移动遥感检测设备或委托具备资质的机动车排放检验机构通过手持式检测设备开展入户抽测，经抽测不合格的车辆，</w:t>
      </w:r>
      <w:r>
        <w:rPr>
          <w:rFonts w:hint="eastAsia" w:ascii="仿宋_GB2312" w:hAnsi="仿宋_GB2312" w:eastAsia="仿宋_GB2312" w:cs="仿宋_GB2312"/>
          <w:sz w:val="32"/>
          <w:szCs w:val="32"/>
        </w:rPr>
        <w:t>由排放检验机构下达《超标排放汽车维护修理告知书》</w:t>
      </w:r>
      <w:r>
        <w:rPr>
          <w:rFonts w:hint="eastAsia" w:ascii="仿宋_GB2312" w:hAnsi="仿宋_GB2312" w:eastAsia="仿宋_GB2312" w:cs="仿宋_GB2312"/>
          <w:color w:val="000000"/>
          <w:sz w:val="32"/>
          <w:szCs w:val="32"/>
        </w:rPr>
        <w:t>，告知运输企业限期到具备相应资质的</w:t>
      </w:r>
      <w:r>
        <w:rPr>
          <w:rFonts w:hint="eastAsia" w:ascii="Times New Roman" w:hAnsi="Times New Roman" w:eastAsia="仿宋_GB2312"/>
          <w:color w:val="000000"/>
          <w:sz w:val="30"/>
          <w:szCs w:val="30"/>
        </w:rPr>
        <w:t>汽车排放性能维护（维修）站</w:t>
      </w:r>
      <w:r>
        <w:rPr>
          <w:rFonts w:hint="eastAsia" w:ascii="仿宋_GB2312" w:hAnsi="仿宋_GB2312" w:eastAsia="仿宋_GB2312" w:cs="仿宋_GB2312"/>
          <w:sz w:val="32"/>
          <w:szCs w:val="32"/>
        </w:rPr>
        <w:t>治理，交通运输部门负责督促运输企业完成维修治理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运输企业自主选择排放检验机构复检车辆</w:t>
      </w:r>
      <w:r>
        <w:rPr>
          <w:rFonts w:hint="eastAsia" w:ascii="仿宋_GB2312" w:hAnsi="仿宋_GB2312" w:eastAsia="仿宋_GB2312" w:cs="仿宋_GB2312"/>
          <w:sz w:val="32"/>
          <w:szCs w:val="32"/>
        </w:rPr>
        <w:t>。</w:t>
      </w:r>
    </w:p>
    <w:p>
      <w:pPr>
        <w:overflowPunct w:val="0"/>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（二）超标处罚</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楷体_GB2312" w:hAnsi="楷体_GB2312" w:eastAsia="楷体_GB2312" w:cs="楷体_GB2312"/>
          <w:sz w:val="32"/>
          <w:szCs w:val="32"/>
        </w:rPr>
        <w:t>非现场处罚。</w:t>
      </w:r>
      <w:r>
        <w:rPr>
          <w:rFonts w:hint="eastAsia" w:ascii="仿宋_GB2312" w:hAnsi="仿宋_GB2312" w:eastAsia="仿宋_GB2312" w:cs="仿宋_GB2312"/>
          <w:sz w:val="32"/>
          <w:szCs w:val="32"/>
          <w:lang w:val="en-US" w:eastAsia="zh-CN"/>
        </w:rPr>
        <w:t>上道路行驶的</w:t>
      </w:r>
      <w:r>
        <w:rPr>
          <w:rFonts w:hint="eastAsia" w:ascii="仿宋_GB2312" w:hAnsi="仿宋_GB2312" w:eastAsia="仿宋_GB2312" w:cs="仿宋_GB2312"/>
          <w:sz w:val="32"/>
          <w:szCs w:val="32"/>
        </w:rPr>
        <w:t>机动车排放有明显可见黑烟的，数据经生态环境部门取证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审核后，由生态环境部门将抓拍照片、视频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报告单</w:t>
      </w:r>
      <w:r>
        <w:rPr>
          <w:rFonts w:hint="eastAsia" w:ascii="仿宋_GB2312" w:hAnsi="仿宋_GB2312" w:eastAsia="仿宋_GB2312" w:cs="仿宋_GB2312"/>
          <w:sz w:val="32"/>
          <w:szCs w:val="32"/>
        </w:rPr>
        <w:t>等证据</w:t>
      </w:r>
      <w:r>
        <w:rPr>
          <w:rFonts w:hint="eastAsia" w:ascii="仿宋_GB2312" w:hAnsi="仿宋_GB2312" w:eastAsia="仿宋_GB2312" w:cs="仿宋_GB2312"/>
          <w:sz w:val="32"/>
          <w:szCs w:val="32"/>
          <w:lang w:val="en-US" w:eastAsia="zh-CN"/>
        </w:rPr>
        <w:t>于48小时内</w:t>
      </w:r>
      <w:r>
        <w:rPr>
          <w:rFonts w:hint="eastAsia" w:ascii="仿宋_GB2312" w:hAnsi="仿宋_GB2312" w:eastAsia="仿宋_GB2312" w:cs="仿宋_GB2312"/>
          <w:sz w:val="32"/>
          <w:szCs w:val="32"/>
        </w:rPr>
        <w:t>移交公安</w:t>
      </w:r>
      <w:r>
        <w:rPr>
          <w:rFonts w:hint="eastAsia" w:ascii="仿宋_GB2312" w:hAnsi="仿宋_GB2312" w:eastAsia="仿宋_GB2312" w:cs="仿宋_GB2312"/>
          <w:sz w:val="32"/>
          <w:szCs w:val="32"/>
          <w:lang w:val="en-US" w:eastAsia="zh-CN"/>
        </w:rPr>
        <w:t>交管</w:t>
      </w:r>
      <w:r>
        <w:rPr>
          <w:rFonts w:hint="eastAsia" w:ascii="仿宋_GB2312" w:hAnsi="仿宋_GB2312" w:eastAsia="仿宋_GB2312" w:cs="仿宋_GB2312"/>
          <w:sz w:val="32"/>
          <w:szCs w:val="32"/>
        </w:rPr>
        <w:t>部门，公安</w:t>
      </w:r>
      <w:r>
        <w:rPr>
          <w:rFonts w:hint="eastAsia" w:ascii="仿宋_GB2312" w:hAnsi="仿宋_GB2312" w:eastAsia="仿宋_GB2312" w:cs="仿宋_GB2312"/>
          <w:sz w:val="32"/>
          <w:szCs w:val="32"/>
          <w:lang w:val="en-US" w:eastAsia="zh-CN"/>
        </w:rPr>
        <w:t>交管</w:t>
      </w:r>
      <w:r>
        <w:rPr>
          <w:rFonts w:hint="eastAsia" w:ascii="仿宋_GB2312" w:hAnsi="仿宋_GB2312" w:eastAsia="仿宋_GB2312" w:cs="仿宋_GB2312"/>
          <w:sz w:val="32"/>
          <w:szCs w:val="32"/>
        </w:rPr>
        <w:t>部门根据《中华人民共和国大气污染防治法》《中华人民共和国道路交通安全法》《湖北省大气污染防治条例》等法律法规依法处罚。</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楷体_GB2312" w:hAnsi="楷体_GB2312" w:eastAsia="楷体_GB2312" w:cs="楷体_GB2312"/>
          <w:sz w:val="32"/>
          <w:szCs w:val="32"/>
        </w:rPr>
        <w:t>现场处罚。</w:t>
      </w:r>
      <w:r>
        <w:rPr>
          <w:rFonts w:hint="eastAsia" w:ascii="仿宋_GB2312" w:hAnsi="仿宋_GB2312" w:eastAsia="仿宋_GB2312" w:cs="仿宋_GB2312"/>
          <w:sz w:val="32"/>
          <w:szCs w:val="32"/>
        </w:rPr>
        <w:t>由生态环境部门委托具备资质的机动车排放检验机构通过手持式检测设备</w:t>
      </w:r>
      <w:r>
        <w:rPr>
          <w:rFonts w:hint="eastAsia" w:ascii="仿宋_GB2312" w:hAnsi="仿宋_GB2312" w:eastAsia="仿宋_GB2312" w:cs="仿宋_GB2312"/>
          <w:color w:val="000000"/>
          <w:sz w:val="32"/>
          <w:szCs w:val="32"/>
        </w:rPr>
        <w:t>使用自由加速法对在用柴油车开展排气污染检测，被委托的排放检验机构现场出具排放检验报告。对检测不合格的车辆，由</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val="en-US" w:eastAsia="zh-CN"/>
        </w:rPr>
        <w:t>交管</w:t>
      </w:r>
      <w:r>
        <w:rPr>
          <w:rFonts w:hint="eastAsia" w:ascii="仿宋_GB2312" w:hAnsi="仿宋_GB2312" w:eastAsia="仿宋_GB2312" w:cs="仿宋_GB2312"/>
          <w:sz w:val="32"/>
          <w:szCs w:val="32"/>
        </w:rPr>
        <w:t>部门根据《中华人民共和国大气污染防治法》《中华人民共和国道路交通安全法》依法处罚，同时由被委托的排放检验机构书面下达《超标排放汽车维护修理告知书》。</w:t>
      </w:r>
    </w:p>
    <w:p>
      <w:pPr>
        <w:overflowPunct w:val="0"/>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（三）超标治理</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我市所有排放超标的车辆均纳入宜昌市机动车排放检测与强制维护</w:t>
      </w:r>
      <w:r>
        <w:rPr>
          <w:rFonts w:hint="eastAsia" w:ascii="仿宋_GB2312" w:hAnsi="仿宋_GB2312" w:eastAsia="仿宋_GB2312" w:cs="仿宋_GB2312"/>
          <w:color w:val="000000"/>
          <w:sz w:val="32"/>
          <w:szCs w:val="32"/>
        </w:rPr>
        <w:t>（I/M）制度闭环管理，车辆所有人在收到限期维修治理通知后，应到交通运输部门已公布的</w:t>
      </w:r>
      <w:r>
        <w:rPr>
          <w:rFonts w:hint="eastAsia" w:ascii="Times New Roman" w:hAnsi="Times New Roman" w:eastAsia="仿宋_GB2312"/>
          <w:color w:val="000000"/>
          <w:sz w:val="30"/>
          <w:szCs w:val="30"/>
        </w:rPr>
        <w:t>汽车排放性能维护（维修）站</w:t>
      </w:r>
      <w:r>
        <w:rPr>
          <w:rFonts w:hint="eastAsia" w:ascii="仿宋_GB2312" w:hAnsi="仿宋_GB2312" w:eastAsia="仿宋_GB2312" w:cs="仿宋_GB2312"/>
          <w:color w:val="000000"/>
          <w:sz w:val="32"/>
          <w:szCs w:val="32"/>
        </w:rPr>
        <w:t>进行维修治理，并到生态环境部门公布的机动车排放检验机构复检。复检合格的，将自动移出重点监管车辆名单；复检不合格的，仍须再次维修治理，直至复检</w:t>
      </w:r>
      <w:r>
        <w:rPr>
          <w:rFonts w:hint="eastAsia" w:ascii="仿宋_GB2312" w:hAnsi="仿宋_GB2312" w:eastAsia="仿宋_GB2312" w:cs="仿宋_GB2312"/>
          <w:sz w:val="32"/>
          <w:szCs w:val="32"/>
        </w:rPr>
        <w:t>合格，方可自动移出。生态环境部门定期联合公安</w:t>
      </w:r>
      <w:r>
        <w:rPr>
          <w:rFonts w:hint="eastAsia" w:ascii="仿宋_GB2312" w:hAnsi="仿宋_GB2312" w:eastAsia="仿宋_GB2312" w:cs="仿宋_GB2312"/>
          <w:sz w:val="32"/>
          <w:szCs w:val="32"/>
          <w:lang w:val="en-US" w:eastAsia="zh-CN"/>
        </w:rPr>
        <w:t>交管</w:t>
      </w:r>
      <w:r>
        <w:rPr>
          <w:rFonts w:hint="eastAsia" w:ascii="仿宋_GB2312" w:hAnsi="仿宋_GB2312" w:eastAsia="仿宋_GB2312" w:cs="仿宋_GB2312"/>
          <w:sz w:val="32"/>
          <w:szCs w:val="32"/>
        </w:rPr>
        <w:t>部门在官方网站上对超标车辆信息进行公示。</w:t>
      </w:r>
    </w:p>
    <w:p>
      <w:pPr>
        <w:overflowPunct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（四）超标溯源</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态环境部门通过收集超标排放车辆信息，日常调度我市机动车排放检验机构并追溯本周期内环保定期检验记录，对于存在有违法违规行为的按照市生态环境局、市市场监督管理局《关于印发〈宜昌市机动车排放检验机构记分制管理办法（试行）〉的通知》（宜市环规〔2021〕1号）</w:t>
      </w:r>
      <w:r>
        <w:rPr>
          <w:rFonts w:hint="eastAsia" w:ascii="仿宋_GB2312" w:hAnsi="仿宋_GB2312" w:eastAsia="仿宋_GB2312" w:cs="仿宋_GB2312"/>
          <w:color w:val="000000"/>
          <w:sz w:val="32"/>
          <w:szCs w:val="32"/>
        </w:rPr>
        <w:t>处理。涉事车辆有维修信息</w:t>
      </w:r>
      <w:r>
        <w:rPr>
          <w:rFonts w:hint="eastAsia" w:ascii="仿宋_GB2312" w:hAnsi="仿宋_GB2312" w:eastAsia="仿宋_GB2312" w:cs="仿宋_GB2312"/>
          <w:sz w:val="32"/>
          <w:szCs w:val="32"/>
        </w:rPr>
        <w:t>的抄送市交通运输局，由交通运输部门核查维修记录。</w:t>
      </w:r>
    </w:p>
    <w:p>
      <w:pPr>
        <w:overflowPunct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三、车辆强制报废</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在用机动车排放大气污染物超过标准的，应当进行维修；经维修或者采用污染控制技术后，大气污染物排放仍不符合国家在用机动车排放标准的，应当强制报废。</w:t>
      </w:r>
    </w:p>
    <w:p>
      <w:pPr>
        <w:overflowPunct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四、执法地点</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现场执法地点根据</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情况由生态环境部门联合公安</w:t>
      </w:r>
      <w:r>
        <w:rPr>
          <w:rFonts w:hint="eastAsia" w:ascii="仿宋_GB2312" w:hAnsi="仿宋_GB2312" w:eastAsia="仿宋_GB2312" w:cs="仿宋_GB2312"/>
          <w:sz w:val="32"/>
          <w:szCs w:val="32"/>
          <w:lang w:val="en-US" w:eastAsia="zh-CN"/>
        </w:rPr>
        <w:t>交管</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在柴油车通行集中的路段设置临时或固定检测点</w:t>
      </w:r>
      <w:r>
        <w:rPr>
          <w:rFonts w:hint="eastAsia" w:ascii="仿宋_GB2312" w:hAnsi="仿宋_GB2312" w:eastAsia="仿宋_GB2312" w:cs="仿宋_GB2312"/>
          <w:sz w:val="32"/>
          <w:szCs w:val="32"/>
        </w:rPr>
        <w:t>，非现场执法地点见附件。</w:t>
      </w:r>
    </w:p>
    <w:p>
      <w:pPr>
        <w:overflowPunct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五、执行时间</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通告自印发之日起实施。</w:t>
      </w:r>
    </w:p>
    <w:p>
      <w:pPr>
        <w:overflowPunct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overflowPunct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固定式机动车遥感检测及黑烟抓拍设置点</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276"/>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center"/>
          </w:tcPr>
          <w:p>
            <w:pPr>
              <w:overflowPunct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点位区域</w:t>
            </w:r>
          </w:p>
        </w:tc>
        <w:tc>
          <w:tcPr>
            <w:tcW w:w="2276" w:type="dxa"/>
            <w:noWrap w:val="0"/>
            <w:vAlign w:val="center"/>
          </w:tcPr>
          <w:p>
            <w:pPr>
              <w:overflowPunct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地址</w:t>
            </w:r>
          </w:p>
        </w:tc>
        <w:tc>
          <w:tcPr>
            <w:tcW w:w="1704" w:type="dxa"/>
            <w:noWrap w:val="0"/>
            <w:vAlign w:val="center"/>
          </w:tcPr>
          <w:p>
            <w:pPr>
              <w:overflowPunct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经度</w:t>
            </w:r>
          </w:p>
        </w:tc>
        <w:tc>
          <w:tcPr>
            <w:tcW w:w="1704" w:type="dxa"/>
            <w:noWrap w:val="0"/>
            <w:vAlign w:val="center"/>
          </w:tcPr>
          <w:p>
            <w:pPr>
              <w:overflowPunct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纬度</w:t>
            </w:r>
          </w:p>
        </w:tc>
        <w:tc>
          <w:tcPr>
            <w:tcW w:w="1704" w:type="dxa"/>
            <w:noWrap w:val="0"/>
            <w:vAlign w:val="top"/>
          </w:tcPr>
          <w:p>
            <w:pPr>
              <w:overflowPunct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Merge w:val="restart"/>
            <w:noWrap w:val="0"/>
            <w:vAlign w:val="center"/>
          </w:tcPr>
          <w:p>
            <w:pPr>
              <w:overflowPunct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点军区</w:t>
            </w:r>
          </w:p>
        </w:tc>
        <w:tc>
          <w:tcPr>
            <w:tcW w:w="2276"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江城大道（点军福利院东南方向500米）</w:t>
            </w:r>
          </w:p>
        </w:tc>
        <w:tc>
          <w:tcPr>
            <w:tcW w:w="1704"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111.261741</w:t>
            </w:r>
          </w:p>
        </w:tc>
        <w:tc>
          <w:tcPr>
            <w:tcW w:w="1704"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30.674157</w:t>
            </w:r>
          </w:p>
        </w:tc>
        <w:tc>
          <w:tcPr>
            <w:tcW w:w="1704" w:type="dxa"/>
            <w:noWrap w:val="0"/>
            <w:vAlign w:val="top"/>
          </w:tcPr>
          <w:p>
            <w:pPr>
              <w:overflowPunct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固定式遥感检测（黑烟抓拍）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Merge w:val="continue"/>
            <w:noWrap w:val="0"/>
            <w:vAlign w:val="center"/>
          </w:tcPr>
          <w:p>
            <w:pPr>
              <w:overflowPunct w:val="0"/>
              <w:spacing w:line="300" w:lineRule="exact"/>
              <w:rPr>
                <w:rFonts w:ascii="仿宋_GB2312" w:hAnsi="仿宋_GB2312" w:eastAsia="仿宋_GB2312" w:cs="仿宋_GB2312"/>
                <w:szCs w:val="21"/>
              </w:rPr>
            </w:pPr>
          </w:p>
        </w:tc>
        <w:tc>
          <w:tcPr>
            <w:tcW w:w="2276"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点军大道（郭家坝向西600米）</w:t>
            </w:r>
          </w:p>
        </w:tc>
        <w:tc>
          <w:tcPr>
            <w:tcW w:w="1704"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111.173366</w:t>
            </w:r>
          </w:p>
        </w:tc>
        <w:tc>
          <w:tcPr>
            <w:tcW w:w="1704"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30.676657</w:t>
            </w:r>
          </w:p>
        </w:tc>
        <w:tc>
          <w:tcPr>
            <w:tcW w:w="1704" w:type="dxa"/>
            <w:noWrap w:val="0"/>
            <w:vAlign w:val="top"/>
          </w:tcPr>
          <w:p>
            <w:pPr>
              <w:overflowPunct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固定式遥感检测（黑烟抓拍）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center"/>
          </w:tcPr>
          <w:p>
            <w:pPr>
              <w:overflowPunct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夷陵区</w:t>
            </w:r>
          </w:p>
        </w:tc>
        <w:tc>
          <w:tcPr>
            <w:tcW w:w="2276"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夷陵区宜黄路（黄花加油站向南400米）</w:t>
            </w:r>
          </w:p>
        </w:tc>
        <w:tc>
          <w:tcPr>
            <w:tcW w:w="1704"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111.386579</w:t>
            </w:r>
          </w:p>
        </w:tc>
        <w:tc>
          <w:tcPr>
            <w:tcW w:w="1704"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30.848363</w:t>
            </w:r>
          </w:p>
        </w:tc>
        <w:tc>
          <w:tcPr>
            <w:tcW w:w="1704" w:type="dxa"/>
            <w:noWrap w:val="0"/>
            <w:vAlign w:val="top"/>
          </w:tcPr>
          <w:p>
            <w:pPr>
              <w:overflowPunct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固定式遥感检测（黑烟抓拍）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center"/>
          </w:tcPr>
          <w:p>
            <w:pPr>
              <w:overflowPunct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高新区</w:t>
            </w:r>
          </w:p>
        </w:tc>
        <w:tc>
          <w:tcPr>
            <w:tcW w:w="2276"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峡州大道（三峡旅游职业技术学院向西1200米）</w:t>
            </w:r>
          </w:p>
        </w:tc>
        <w:tc>
          <w:tcPr>
            <w:tcW w:w="1704"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111.423373</w:t>
            </w:r>
          </w:p>
        </w:tc>
        <w:tc>
          <w:tcPr>
            <w:tcW w:w="1704"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30.675151</w:t>
            </w:r>
          </w:p>
        </w:tc>
        <w:tc>
          <w:tcPr>
            <w:tcW w:w="1704" w:type="dxa"/>
            <w:noWrap w:val="0"/>
            <w:vAlign w:val="center"/>
          </w:tcPr>
          <w:p>
            <w:pPr>
              <w:overflowPunct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固定式遥感检测（黑烟抓拍）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center"/>
          </w:tcPr>
          <w:p>
            <w:pPr>
              <w:overflowPunct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伍家岗区</w:t>
            </w:r>
          </w:p>
        </w:tc>
        <w:tc>
          <w:tcPr>
            <w:tcW w:w="2276"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东站路（距离物流园西大门向西300米</w:t>
            </w:r>
            <w:r>
              <w:rPr>
                <w:rFonts w:hint="eastAsia" w:ascii="仿宋_GB2312" w:hAnsi="仿宋_GB2312" w:eastAsia="仿宋_GB2312" w:cs="仿宋_GB2312"/>
                <w:szCs w:val="21"/>
              </w:rPr>
              <w:t>）</w:t>
            </w:r>
          </w:p>
        </w:tc>
        <w:tc>
          <w:tcPr>
            <w:tcW w:w="1704"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111.387899</w:t>
            </w:r>
          </w:p>
        </w:tc>
        <w:tc>
          <w:tcPr>
            <w:tcW w:w="1704" w:type="dxa"/>
            <w:noWrap w:val="0"/>
            <w:vAlign w:val="center"/>
          </w:tcPr>
          <w:p>
            <w:pPr>
              <w:overflowPunct w:val="0"/>
              <w:spacing w:line="300" w:lineRule="exact"/>
              <w:rPr>
                <w:rFonts w:ascii="仿宋_GB2312" w:hAnsi="仿宋_GB2312" w:eastAsia="仿宋_GB2312" w:cs="仿宋_GB2312"/>
                <w:szCs w:val="21"/>
              </w:rPr>
            </w:pPr>
            <w:r>
              <w:rPr>
                <w:rFonts w:ascii="仿宋_GB2312" w:hAnsi="仿宋_GB2312" w:eastAsia="仿宋_GB2312" w:cs="仿宋_GB2312"/>
                <w:szCs w:val="21"/>
              </w:rPr>
              <w:t>30.669428</w:t>
            </w:r>
          </w:p>
        </w:tc>
        <w:tc>
          <w:tcPr>
            <w:tcW w:w="1704" w:type="dxa"/>
            <w:noWrap w:val="0"/>
            <w:vAlign w:val="top"/>
          </w:tcPr>
          <w:p>
            <w:pPr>
              <w:overflowPunct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固定式遥感检测（黑烟抓拍）</w:t>
            </w:r>
          </w:p>
        </w:tc>
      </w:tr>
    </w:tbl>
    <w:p>
      <w:pPr>
        <w:overflowPunct w:val="0"/>
        <w:spacing w:line="60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left"/>
        <w:textAlignment w:val="auto"/>
        <w:rPr>
          <w:rFonts w:hint="eastAsia" w:ascii="Times New Roman" w:hAnsi="Times New Roman" w:eastAsia="仿宋_GB2312" w:cs="Times New Roman"/>
          <w:sz w:val="32"/>
          <w:szCs w:val="32"/>
          <w:lang w:val="en-US" w:eastAsia="zh-CN"/>
        </w:rPr>
      </w:pP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E4FFB"/>
    <w:rsid w:val="745E4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2021-06-07T02:59:00Z</dcterms:created>
  <dc:creator>Administrator</dc:creator>
  <cp:lastModifiedBy>꽃이 피다, 천천</cp:lastModifiedBy>
  <dcterms:modified xsi:type="dcterms:W3CDTF">2021-08-25T09:09:32Z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