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N w:val="0"/>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附件</w:t>
      </w:r>
      <w:r>
        <w:rPr>
          <w:rFonts w:hint="eastAsia" w:ascii="仿宋_GB2312" w:hAnsi="仿宋" w:eastAsia="仿宋_GB2312"/>
          <w:color w:val="000000"/>
          <w:sz w:val="32"/>
          <w:szCs w:val="32"/>
          <w:lang w:val="en-US" w:eastAsia="zh-CN"/>
        </w:rPr>
        <w:t>1：</w:t>
      </w:r>
    </w:p>
    <w:p>
      <w:pPr>
        <w:widowControl/>
        <w:spacing w:before="100" w:beforeAutospacing="1" w:after="240" w:line="480" w:lineRule="atLeast"/>
        <w:jc w:val="center"/>
        <w:rPr>
          <w:rFonts w:hint="eastAsia" w:ascii="宋体" w:hAnsi="宋体" w:cs="宋体"/>
          <w:b/>
          <w:bCs/>
          <w:color w:val="000000"/>
          <w:kern w:val="0"/>
          <w:sz w:val="40"/>
        </w:rPr>
      </w:pPr>
      <w:bookmarkStart w:id="0" w:name="_GoBack"/>
      <w:r>
        <w:rPr>
          <w:rFonts w:hint="eastAsia" w:ascii="仿宋_GB2312" w:hAnsi="仿宋" w:eastAsia="仿宋_GB2312"/>
          <w:color w:val="000000"/>
          <w:sz w:val="32"/>
          <w:szCs w:val="32"/>
          <w:lang w:val="en-US" w:eastAsia="zh-CN"/>
        </w:rPr>
        <w:t xml:space="preserve">   </w:t>
      </w:r>
      <w:r>
        <w:rPr>
          <w:rFonts w:hint="eastAsia" w:ascii="宋体" w:hAnsi="宋体" w:cs="宋体"/>
          <w:b/>
          <w:bCs/>
          <w:color w:val="000000"/>
          <w:kern w:val="0"/>
          <w:sz w:val="40"/>
        </w:rPr>
        <w:t>宜昌市市场主体住所（经营场所）禁设区域清单</w:t>
      </w:r>
    </w:p>
    <w:bookmarkEnd w:id="0"/>
    <w:p>
      <w:pPr>
        <w:widowControl/>
        <w:spacing w:line="400" w:lineRule="exact"/>
        <w:jc w:val="center"/>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tbl>
      <w:tblPr>
        <w:tblStyle w:val="2"/>
        <w:tblW w:w="12845" w:type="dxa"/>
        <w:jc w:val="center"/>
        <w:tblLayout w:type="fixed"/>
        <w:tblCellMar>
          <w:top w:w="0" w:type="dxa"/>
          <w:left w:w="0" w:type="dxa"/>
          <w:bottom w:w="0" w:type="dxa"/>
          <w:right w:w="0" w:type="dxa"/>
        </w:tblCellMar>
      </w:tblPr>
      <w:tblGrid>
        <w:gridCol w:w="591"/>
        <w:gridCol w:w="1918"/>
        <w:gridCol w:w="3318"/>
        <w:gridCol w:w="7018"/>
      </w:tblGrid>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sz w:val="28"/>
                <w:szCs w:val="28"/>
              </w:rPr>
            </w:pPr>
            <w:r>
              <w:rPr>
                <w:rFonts w:hint="eastAsia" w:ascii="黑体" w:hAnsi="宋体" w:eastAsia="黑体" w:cs="宋体"/>
                <w:kern w:val="0"/>
                <w:sz w:val="28"/>
                <w:szCs w:val="28"/>
              </w:rPr>
              <w:t>序号</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sz w:val="28"/>
                <w:szCs w:val="28"/>
              </w:rPr>
            </w:pPr>
            <w:r>
              <w:rPr>
                <w:rFonts w:hint="eastAsia" w:ascii="黑体" w:hAnsi="宋体" w:eastAsia="黑体" w:cs="宋体"/>
                <w:kern w:val="0"/>
                <w:sz w:val="28"/>
                <w:szCs w:val="28"/>
              </w:rPr>
              <w:t>经营项目</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sz w:val="28"/>
                <w:szCs w:val="28"/>
              </w:rPr>
            </w:pPr>
            <w:r>
              <w:rPr>
                <w:rFonts w:hint="eastAsia" w:ascii="黑体" w:hAnsi="宋体" w:eastAsia="黑体" w:cs="宋体"/>
                <w:kern w:val="0"/>
                <w:sz w:val="28"/>
                <w:szCs w:val="28"/>
              </w:rPr>
              <w:t>禁止设立区域</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sz w:val="28"/>
                <w:szCs w:val="28"/>
              </w:rPr>
            </w:pPr>
            <w:r>
              <w:rPr>
                <w:rFonts w:hint="eastAsia" w:ascii="黑体" w:hAnsi="宋体" w:eastAsia="黑体" w:cs="宋体"/>
                <w:kern w:val="0"/>
                <w:sz w:val="28"/>
                <w:szCs w:val="28"/>
              </w:rPr>
              <w:t>禁 设 依 据</w:t>
            </w:r>
          </w:p>
        </w:tc>
      </w:tr>
      <w:tr>
        <w:tblPrEx>
          <w:tblCellMar>
            <w:top w:w="0" w:type="dxa"/>
            <w:left w:w="0" w:type="dxa"/>
            <w:bottom w:w="0" w:type="dxa"/>
            <w:right w:w="0" w:type="dxa"/>
          </w:tblCellMar>
        </w:tblPrEx>
        <w:trPr>
          <w:trHeight w:val="5320" w:hRule="atLeast"/>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1</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第二类、第三类医疗器械经营</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医疗器械经营经营场所和库房不得设在居民住宅内、军事管理区（不含可租赁区）以及其他不适合经营的场所</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《医疗器械经营质量管理规范》</w:t>
            </w:r>
            <w:r>
              <w:rPr>
                <w:rFonts w:hint="eastAsia" w:ascii="仿宋" w:hAnsi="仿宋" w:eastAsia="仿宋" w:cs="仿宋"/>
                <w:kern w:val="0"/>
                <w:sz w:val="32"/>
                <w:szCs w:val="32"/>
                <w:lang w:val="en-US" w:eastAsia="zh-CN"/>
              </w:rPr>
              <w:t>第十六条 企业应当具有与经营范围和经营规模相适应的经营场所和库房，经营场所和库房的面积应当满足经营要求。经营场所和库房不得设在居民住宅内、军事管理区（不含可租赁区）以及其他不适合经营的场所。经营场所应当整洁、卫生。</w:t>
            </w:r>
          </w:p>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《医疗器械经营质量管理规范现场检查指导原则》</w:t>
            </w:r>
            <w:r>
              <w:rPr>
                <w:rFonts w:hint="eastAsia" w:ascii="仿宋" w:hAnsi="仿宋" w:eastAsia="仿宋" w:cs="仿宋"/>
                <w:kern w:val="0"/>
                <w:sz w:val="32"/>
                <w:szCs w:val="32"/>
                <w:lang w:val="en-US" w:eastAsia="zh-CN"/>
              </w:rPr>
              <w:t>，适用于食品药品监管部门对第三类医疗器械批发/零售经营企业经营许可（含变更和延续）的现场核查，第二类医疗器械批发/零售经营企业经营备案后的现场核查，以及医疗器械经营企业的各类监督检查。</w:t>
            </w:r>
          </w:p>
          <w:p>
            <w:pPr>
              <w:widowControl/>
              <w:spacing w:line="400" w:lineRule="exact"/>
              <w:jc w:val="left"/>
              <w:rPr>
                <w:rFonts w:hint="eastAsia" w:ascii="仿宋" w:hAnsi="仿宋" w:eastAsia="仿宋" w:cs="仿宋"/>
                <w:kern w:val="0"/>
                <w:sz w:val="32"/>
                <w:szCs w:val="32"/>
                <w:lang w:val="en-US" w:eastAsia="zh-CN"/>
              </w:rPr>
            </w:pPr>
          </w:p>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2</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生产经营、储存危险品</w:t>
            </w:r>
            <w:r>
              <w:rPr>
                <w:rFonts w:hint="eastAsia" w:ascii="仿宋" w:hAnsi="仿宋" w:eastAsia="仿宋" w:cs="仿宋"/>
                <w:kern w:val="0"/>
                <w:sz w:val="32"/>
                <w:szCs w:val="32"/>
              </w:rPr>
              <w:t>（含易燃易爆品、剧毒品、放射性物品、腐蚀性物品）</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1.居住场所建筑物内；</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2.人民防空工程内；</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3.中小学校园周边200米范围内。</w:t>
            </w:r>
          </w:p>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4.危险化学品生产、储存禁止在非专门用于危险化学品生产、储存区域。</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《消防法》第19条：</w:t>
            </w:r>
            <w:r>
              <w:rPr>
                <w:rFonts w:hint="eastAsia" w:ascii="仿宋" w:hAnsi="仿宋" w:eastAsia="仿宋" w:cs="仿宋"/>
                <w:kern w:val="0"/>
                <w:sz w:val="32"/>
                <w:szCs w:val="32"/>
              </w:rPr>
              <w:t>生产、储存、经营易燃易爆危险品的场所不得与居住场所设置在同一建筑物内……。</w:t>
            </w:r>
          </w:p>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《人民防空法》第27条：</w:t>
            </w:r>
            <w:r>
              <w:rPr>
                <w:rFonts w:hint="eastAsia" w:ascii="仿宋" w:hAnsi="仿宋" w:eastAsia="仿宋" w:cs="仿宋"/>
                <w:kern w:val="0"/>
                <w:sz w:val="32"/>
                <w:szCs w:val="32"/>
              </w:rPr>
              <w:t>任何组织或者个人……不得在人民防空工程内生产、储存爆炸、剧毒、易燃、放射性和腐蚀性物品。</w:t>
            </w:r>
          </w:p>
          <w:p>
            <w:pPr>
              <w:widowControl/>
              <w:spacing w:line="400" w:lineRule="exact"/>
              <w:ind w:firstLine="48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w:t>
            </w:r>
            <w:r>
              <w:rPr>
                <w:rFonts w:hint="eastAsia" w:ascii="仿宋" w:hAnsi="仿宋" w:eastAsia="仿宋" w:cs="仿宋"/>
                <w:b/>
                <w:bCs/>
                <w:kern w:val="0"/>
                <w:sz w:val="32"/>
                <w:szCs w:val="32"/>
              </w:rPr>
              <w:t>湖北省未成年人保护办法》第29条</w:t>
            </w:r>
            <w:r>
              <w:rPr>
                <w:rFonts w:hint="eastAsia" w:ascii="仿宋" w:hAnsi="仿宋" w:eastAsia="仿宋" w:cs="仿宋"/>
                <w:kern w:val="0"/>
                <w:sz w:val="32"/>
                <w:szCs w:val="32"/>
              </w:rPr>
              <w:t>：中小学校园周边二百米范围内……不得设立易燃易爆、剧毒、放射性、腐蚀性等危险物品的生产、经营、储存、使用场所或者设施。</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危险化学品生产企业安全生产许可证实施办法</w:t>
            </w:r>
            <w:r>
              <w:rPr>
                <w:rFonts w:hint="eastAsia" w:ascii="仿宋" w:hAnsi="仿宋" w:eastAsia="仿宋" w:cs="仿宋"/>
                <w:kern w:val="0"/>
                <w:sz w:val="32"/>
                <w:szCs w:val="32"/>
                <w:lang w:eastAsia="zh-CN"/>
              </w:rPr>
              <w:t>》</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8条</w:t>
            </w:r>
            <w:r>
              <w:rPr>
                <w:rFonts w:hint="eastAsia" w:ascii="仿宋" w:hAnsi="仿宋" w:eastAsia="仿宋" w:cs="仿宋"/>
                <w:kern w:val="0"/>
                <w:sz w:val="32"/>
                <w:szCs w:val="32"/>
                <w:lang w:val="en-US" w:eastAsia="zh-CN"/>
              </w:rPr>
              <w:t>：新设立企业建在人民政府规划的专门用于危险化学品生产、储存区域内。</w:t>
            </w:r>
          </w:p>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《危险化学经营许可证管理办法》第8条</w:t>
            </w:r>
            <w:r>
              <w:rPr>
                <w:rFonts w:hint="eastAsia" w:ascii="仿宋" w:hAnsi="仿宋" w:eastAsia="仿宋" w:cs="仿宋"/>
                <w:kern w:val="0"/>
                <w:sz w:val="32"/>
                <w:szCs w:val="32"/>
                <w:lang w:val="en-US" w:eastAsia="zh-CN"/>
              </w:rPr>
              <w:t>：新设立的专门从事储存危险化妆品仓储经营的，其储存设施建立在人民政府规划的用于危险化学品储存的专门区域内。</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spacing w:before="100" w:beforeAutospacing="1" w:after="240" w:line="480" w:lineRule="atLeast"/>
              <w:jc w:val="center"/>
              <w:rPr>
                <w:rFonts w:hint="eastAsia" w:ascii="仿宋" w:hAnsi="仿宋" w:eastAsia="仿宋" w:cs="仿宋"/>
                <w:sz w:val="32"/>
                <w:szCs w:val="32"/>
              </w:rPr>
            </w:pPr>
            <w:r>
              <w:rPr>
                <w:rFonts w:hint="eastAsia" w:ascii="仿宋" w:hAnsi="仿宋" w:eastAsia="仿宋" w:cs="仿宋"/>
                <w:sz w:val="32"/>
                <w:szCs w:val="32"/>
              </w:rPr>
              <w:t>3</w:t>
            </w:r>
          </w:p>
        </w:tc>
        <w:tc>
          <w:tcPr>
            <w:tcW w:w="1918" w:type="dxa"/>
            <w:tcBorders>
              <w:top w:val="single" w:color="auto" w:sz="8" w:space="0"/>
              <w:left w:val="single" w:color="auto" w:sz="8" w:space="0"/>
              <w:bottom w:val="single" w:color="auto" w:sz="8" w:space="0"/>
              <w:right w:val="single" w:color="auto" w:sz="8" w:space="0"/>
            </w:tcBorders>
            <w:vAlign w:val="center"/>
          </w:tcPr>
          <w:p>
            <w:pPr>
              <w:spacing w:line="400" w:lineRule="exact"/>
              <w:rPr>
                <w:rFonts w:hint="eastAsia" w:ascii="仿宋" w:hAnsi="仿宋" w:eastAsia="仿宋" w:cs="仿宋"/>
                <w:b/>
                <w:sz w:val="32"/>
                <w:szCs w:val="32"/>
              </w:rPr>
            </w:pPr>
            <w:r>
              <w:rPr>
                <w:rFonts w:hint="eastAsia" w:ascii="仿宋" w:hAnsi="仿宋" w:eastAsia="仿宋" w:cs="仿宋"/>
                <w:b/>
                <w:sz w:val="32"/>
                <w:szCs w:val="32"/>
              </w:rPr>
              <w:t>开办烟花爆竹市场及零售店</w:t>
            </w:r>
          </w:p>
        </w:tc>
        <w:tc>
          <w:tcPr>
            <w:tcW w:w="3318" w:type="dxa"/>
            <w:tcBorders>
              <w:top w:val="single" w:color="auto" w:sz="8" w:space="0"/>
              <w:left w:val="single" w:color="auto" w:sz="8" w:space="0"/>
              <w:bottom w:val="single" w:color="auto" w:sz="8" w:space="0"/>
              <w:right w:val="single" w:color="auto" w:sz="8" w:space="0"/>
            </w:tcBorders>
            <w:vAlign w:val="center"/>
          </w:tcPr>
          <w:p>
            <w:pPr>
              <w:spacing w:line="400" w:lineRule="exact"/>
              <w:rPr>
                <w:rFonts w:hint="eastAsia" w:ascii="仿宋" w:hAnsi="仿宋" w:eastAsia="仿宋" w:cs="仿宋"/>
                <w:sz w:val="32"/>
                <w:szCs w:val="32"/>
              </w:rPr>
            </w:pPr>
            <w:r>
              <w:rPr>
                <w:rFonts w:hint="eastAsia" w:ascii="仿宋" w:hAnsi="仿宋" w:eastAsia="仿宋" w:cs="仿宋"/>
                <w:sz w:val="32"/>
                <w:szCs w:val="32"/>
              </w:rPr>
              <w:t>批发企业：</w:t>
            </w:r>
            <w:r>
              <w:rPr>
                <w:rFonts w:hint="eastAsia" w:ascii="仿宋" w:hAnsi="仿宋" w:eastAsia="仿宋" w:cs="仿宋"/>
                <w:color w:val="000000"/>
                <w:sz w:val="32"/>
                <w:szCs w:val="32"/>
                <w:shd w:val="clear" w:color="auto" w:fill="FFFFFF"/>
                <w:lang w:val="en-US" w:eastAsia="zh-CN"/>
              </w:rPr>
              <w:t>不得在</w:t>
            </w:r>
            <w:r>
              <w:rPr>
                <w:rFonts w:hint="eastAsia" w:ascii="仿宋" w:hAnsi="仿宋" w:eastAsia="仿宋" w:cs="仿宋"/>
                <w:color w:val="000000"/>
                <w:sz w:val="32"/>
                <w:szCs w:val="32"/>
                <w:shd w:val="clear" w:color="auto" w:fill="FFFFFF"/>
              </w:rPr>
              <w:t>城市建成区内</w:t>
            </w:r>
            <w:r>
              <w:rPr>
                <w:rFonts w:hint="eastAsia" w:ascii="仿宋" w:hAnsi="仿宋" w:eastAsia="仿宋" w:cs="仿宋"/>
                <w:sz w:val="32"/>
                <w:szCs w:val="32"/>
              </w:rPr>
              <w:t>设</w:t>
            </w:r>
            <w:r>
              <w:rPr>
                <w:rFonts w:hint="eastAsia" w:ascii="仿宋" w:hAnsi="仿宋" w:eastAsia="仿宋" w:cs="仿宋"/>
                <w:sz w:val="32"/>
                <w:szCs w:val="32"/>
                <w:lang w:val="en-US" w:eastAsia="zh-CN"/>
              </w:rPr>
              <w:t>立</w:t>
            </w:r>
            <w:r>
              <w:rPr>
                <w:rFonts w:hint="eastAsia" w:ascii="仿宋" w:hAnsi="仿宋" w:eastAsia="仿宋" w:cs="仿宋"/>
                <w:sz w:val="32"/>
                <w:szCs w:val="32"/>
              </w:rPr>
              <w:t>烟花爆竹储存仓库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不得在批发（展示）场所摆放药样品。</w:t>
            </w:r>
          </w:p>
          <w:p>
            <w:pPr>
              <w:spacing w:line="400" w:lineRule="exact"/>
              <w:rPr>
                <w:rFonts w:hint="eastAsia" w:ascii="仿宋" w:hAnsi="仿宋" w:eastAsia="仿宋" w:cs="仿宋"/>
                <w:sz w:val="32"/>
                <w:szCs w:val="32"/>
              </w:rPr>
            </w:pPr>
            <w:r>
              <w:rPr>
                <w:rFonts w:hint="eastAsia" w:ascii="仿宋" w:hAnsi="仿宋" w:eastAsia="仿宋" w:cs="仿宋"/>
                <w:sz w:val="32"/>
                <w:szCs w:val="32"/>
              </w:rPr>
              <w:t>零售</w:t>
            </w:r>
            <w:r>
              <w:rPr>
                <w:rFonts w:hint="eastAsia" w:ascii="仿宋" w:hAnsi="仿宋" w:eastAsia="仿宋" w:cs="仿宋"/>
                <w:sz w:val="32"/>
                <w:szCs w:val="32"/>
                <w:lang w:val="en-US" w:eastAsia="zh-CN"/>
              </w:rPr>
              <w:t>场所：</w:t>
            </w:r>
            <w:r>
              <w:rPr>
                <w:rFonts w:hint="eastAsia" w:ascii="仿宋" w:hAnsi="仿宋" w:eastAsia="仿宋" w:cs="仿宋"/>
                <w:sz w:val="32"/>
                <w:szCs w:val="32"/>
              </w:rPr>
              <w:t>烟花爆竹零售点</w:t>
            </w:r>
            <w:r>
              <w:rPr>
                <w:rFonts w:hint="eastAsia" w:ascii="仿宋" w:hAnsi="仿宋" w:eastAsia="仿宋" w:cs="仿宋"/>
                <w:sz w:val="32"/>
                <w:szCs w:val="32"/>
                <w:lang w:val="en-US" w:eastAsia="zh-CN"/>
              </w:rPr>
              <w:t>不得与居民居住场所设置在同一建筑场所内：</w:t>
            </w:r>
            <w:r>
              <w:rPr>
                <w:rFonts w:hint="eastAsia" w:ascii="仿宋" w:hAnsi="仿宋" w:eastAsia="仿宋" w:cs="仿宋"/>
                <w:sz w:val="32"/>
                <w:szCs w:val="32"/>
              </w:rPr>
              <w:t>其周边50米范围内没有其他烟花爆竹零售点，并与学校、幼儿园、医院、集贸市场等人员密集场所和加油站等易燃易爆物品生产、储存设施等重点建筑物保持100米以上的安全距离；宜昌市城区禁放区内及禁放区边际线以外1000米的过渡区内禁止储存、销售烟花爆竹</w:t>
            </w:r>
          </w:p>
          <w:p>
            <w:pPr>
              <w:spacing w:line="4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烟花爆竹生产：禁止在全市设立。</w:t>
            </w:r>
          </w:p>
        </w:tc>
        <w:tc>
          <w:tcPr>
            <w:tcW w:w="7018" w:type="dxa"/>
            <w:tcBorders>
              <w:top w:val="single" w:color="auto" w:sz="8" w:space="0"/>
              <w:left w:val="single" w:color="auto" w:sz="8" w:space="0"/>
              <w:bottom w:val="single" w:color="auto" w:sz="8" w:space="0"/>
              <w:right w:val="single" w:color="auto" w:sz="8" w:space="0"/>
            </w:tcBorders>
            <w:vAlign w:val="center"/>
          </w:tcPr>
          <w:p>
            <w:pPr>
              <w:spacing w:line="400" w:lineRule="exact"/>
              <w:rPr>
                <w:rFonts w:hint="eastAsia" w:ascii="仿宋" w:hAnsi="仿宋" w:eastAsia="仿宋" w:cs="仿宋"/>
                <w:kern w:val="0"/>
                <w:sz w:val="32"/>
                <w:szCs w:val="32"/>
              </w:rPr>
            </w:pPr>
            <w:r>
              <w:rPr>
                <w:rFonts w:hint="eastAsia" w:ascii="仿宋" w:hAnsi="仿宋" w:eastAsia="仿宋" w:cs="仿宋"/>
                <w:b/>
                <w:sz w:val="32"/>
                <w:szCs w:val="32"/>
              </w:rPr>
              <w:t>《烟花爆竹经营许可实施办法》</w:t>
            </w:r>
            <w:r>
              <w:rPr>
                <w:rFonts w:hint="eastAsia" w:ascii="仿宋" w:hAnsi="仿宋" w:eastAsia="仿宋" w:cs="仿宋"/>
                <w:sz w:val="32"/>
                <w:szCs w:val="32"/>
              </w:rPr>
              <w:t>（国家安全生产监督管理总局令第65号）</w:t>
            </w:r>
            <w:r>
              <w:rPr>
                <w:rStyle w:val="4"/>
                <w:rFonts w:hint="eastAsia" w:ascii="仿宋" w:hAnsi="仿宋" w:eastAsia="仿宋" w:cs="仿宋"/>
                <w:color w:val="000000"/>
                <w:sz w:val="32"/>
                <w:szCs w:val="32"/>
                <w:shd w:val="clear" w:color="auto" w:fill="FFFFFF"/>
              </w:rPr>
              <w:t>第四条：</w:t>
            </w:r>
            <w:r>
              <w:rPr>
                <w:rFonts w:hint="eastAsia" w:ascii="仿宋" w:hAnsi="仿宋" w:eastAsia="仿宋" w:cs="仿宋"/>
                <w:kern w:val="0"/>
                <w:sz w:val="32"/>
                <w:szCs w:val="32"/>
              </w:rPr>
              <w:t>……</w:t>
            </w:r>
            <w:r>
              <w:rPr>
                <w:rFonts w:hint="eastAsia" w:ascii="仿宋" w:hAnsi="仿宋" w:eastAsia="仿宋" w:cs="仿宋"/>
                <w:color w:val="000000"/>
                <w:sz w:val="32"/>
                <w:szCs w:val="32"/>
                <w:shd w:val="clear" w:color="auto" w:fill="FFFFFF"/>
              </w:rPr>
              <w:t>批发企业不得在城市建成区内设立烟花爆竹储存仓库，不得在批发（展示）场所摆放有药样品；严格控制城市建成区内烟花爆竹零售点数量，且烟花爆竹零售点不得与居民居住场所设置在同一建筑物内。</w:t>
            </w:r>
            <w:r>
              <w:rPr>
                <w:rFonts w:hint="eastAsia" w:ascii="仿宋" w:hAnsi="仿宋" w:eastAsia="仿宋" w:cs="仿宋"/>
                <w:sz w:val="32"/>
                <w:szCs w:val="32"/>
              </w:rPr>
              <w:t>第十六条：</w:t>
            </w:r>
            <w:r>
              <w:rPr>
                <w:rFonts w:hint="eastAsia" w:ascii="仿宋" w:hAnsi="仿宋" w:eastAsia="仿宋" w:cs="仿宋"/>
                <w:kern w:val="0"/>
                <w:sz w:val="32"/>
                <w:szCs w:val="32"/>
              </w:rPr>
              <w:t>……</w:t>
            </w:r>
            <w:r>
              <w:rPr>
                <w:rFonts w:hint="eastAsia" w:ascii="仿宋" w:hAnsi="仿宋" w:eastAsia="仿宋" w:cs="仿宋"/>
                <w:color w:val="000000"/>
                <w:sz w:val="32"/>
                <w:szCs w:val="32"/>
                <w:shd w:val="clear" w:color="auto" w:fill="FFFFFF"/>
              </w:rPr>
              <w:t>（四）零售场所的面积不小于10平方米，其周边50米范围内没有其他烟花爆竹零售点，并与学校、幼儿园、医院、集贸市场等人员密集场所和加油站等易燃易爆物品生产、储存设施等重点建筑物保持100米以上的安全距离</w:t>
            </w:r>
            <w:r>
              <w:rPr>
                <w:rFonts w:hint="eastAsia" w:ascii="仿宋" w:hAnsi="仿宋" w:eastAsia="仿宋" w:cs="仿宋"/>
                <w:kern w:val="0"/>
                <w:sz w:val="32"/>
                <w:szCs w:val="32"/>
              </w:rPr>
              <w:t>……</w:t>
            </w:r>
          </w:p>
          <w:p>
            <w:pPr>
              <w:spacing w:line="400" w:lineRule="exact"/>
              <w:rPr>
                <w:rFonts w:hint="eastAsia" w:ascii="仿宋" w:hAnsi="仿宋" w:eastAsia="仿宋" w:cs="仿宋"/>
                <w:sz w:val="32"/>
                <w:szCs w:val="32"/>
              </w:rPr>
            </w:pPr>
            <w:r>
              <w:rPr>
                <w:rFonts w:hint="eastAsia" w:ascii="仿宋" w:hAnsi="仿宋" w:eastAsia="仿宋" w:cs="仿宋"/>
                <w:sz w:val="32"/>
                <w:szCs w:val="32"/>
              </w:rPr>
              <w:t>《宜昌市城区禁止燃放烟花爆竹规定》第五条 在禁放区内，禁止储存、销售和燃放烟花爆竹。第六条 在禁放区边际线以外另设1000米的过渡区，在过渡区内，禁止储存或销售烟花爆竹。</w:t>
            </w:r>
          </w:p>
          <w:p>
            <w:pPr>
              <w:spacing w:line="400" w:lineRule="exac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国家安全监督总局2015年危险化学品和烟花爆竹安全监管重点工作</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坚持贯彻落实3个“一律”（一律不再新建生产企业，一律不再搬迁重建生产企业，对无力整改或者逾期整改不到位的企业一律依法关闭）</w:t>
            </w:r>
          </w:p>
          <w:p>
            <w:pPr>
              <w:spacing w:line="400" w:lineRule="exac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《市政府办公室转发市安全生产委员会办公室关于全市整体退出烟花爆竹高危行业生产领域的意见的通知》</w:t>
            </w:r>
            <w:r>
              <w:rPr>
                <w:rFonts w:hint="eastAsia" w:ascii="仿宋" w:hAnsi="仿宋" w:eastAsia="仿宋" w:cs="仿宋"/>
                <w:sz w:val="32"/>
                <w:szCs w:val="32"/>
                <w:lang w:val="en-US" w:eastAsia="zh-CN"/>
              </w:rPr>
              <w:t>：三年内逐步实现整体退出烟花爆竹高危行业生产领域的目标。</w:t>
            </w:r>
          </w:p>
          <w:p>
            <w:pPr>
              <w:spacing w:line="400" w:lineRule="exact"/>
              <w:rPr>
                <w:rFonts w:hint="eastAsia" w:ascii="仿宋" w:hAnsi="仿宋" w:eastAsia="仿宋" w:cs="仿宋"/>
                <w:sz w:val="32"/>
                <w:szCs w:val="32"/>
                <w:lang w:val="en-US" w:eastAsia="zh-CN"/>
              </w:rPr>
            </w:pP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4</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开设工业固体废物集中贮存、处置场所及生活垃圾填埋场所</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法定部门划定的自然保护区、风景名胜区、饮用水水源保护区、基本农田保护区和其他特别保护区内。</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《固体废物污染环境防治法》第2</w:t>
            </w: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条：</w:t>
            </w:r>
            <w:r>
              <w:rPr>
                <w:rFonts w:hint="eastAsia" w:ascii="仿宋" w:hAnsi="仿宋" w:eastAsia="仿宋" w:cs="仿宋"/>
                <w:kern w:val="0"/>
                <w:sz w:val="32"/>
                <w:szCs w:val="32"/>
              </w:rPr>
              <w:t>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5</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废旧金属收购站点</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任何区域不得设立</w:t>
            </w:r>
            <w:r>
              <w:rPr>
                <w:rFonts w:hint="eastAsia" w:ascii="仿宋" w:hAnsi="仿宋" w:eastAsia="仿宋" w:cs="仿宋"/>
                <w:kern w:val="0"/>
                <w:sz w:val="32"/>
                <w:szCs w:val="32"/>
              </w:rPr>
              <w:t>收购生产性废旧金属的个体工商户）</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铁路沿线、矿区、油田、港口、机场、施工工地、军事禁区和金属冶炼加工企业附近。</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82"/>
              <w:jc w:val="left"/>
              <w:rPr>
                <w:rFonts w:hint="eastAsia" w:ascii="仿宋" w:hAnsi="仿宋" w:eastAsia="仿宋" w:cs="仿宋"/>
                <w:kern w:val="0"/>
                <w:sz w:val="32"/>
                <w:szCs w:val="32"/>
              </w:rPr>
            </w:pPr>
            <w:r>
              <w:rPr>
                <w:rFonts w:hint="eastAsia" w:ascii="仿宋" w:hAnsi="仿宋" w:eastAsia="仿宋" w:cs="仿宋"/>
                <w:b/>
                <w:bCs/>
                <w:kern w:val="0"/>
                <w:sz w:val="32"/>
                <w:szCs w:val="32"/>
              </w:rPr>
              <w:t>《国家工商行政管理总局、公安部关于开展废旧金属收购站点专项整治工作的通知</w:t>
            </w:r>
            <w:r>
              <w:rPr>
                <w:rFonts w:hint="eastAsia" w:ascii="仿宋" w:hAnsi="仿宋" w:eastAsia="仿宋" w:cs="仿宋"/>
                <w:kern w:val="0"/>
                <w:sz w:val="32"/>
                <w:szCs w:val="32"/>
              </w:rPr>
              <w:t>》（工商个字〔2008〕58号）</w:t>
            </w:r>
          </w:p>
        </w:tc>
      </w:tr>
      <w:tr>
        <w:tblPrEx>
          <w:tblCellMar>
            <w:top w:w="0" w:type="dxa"/>
            <w:left w:w="0" w:type="dxa"/>
            <w:bottom w:w="0" w:type="dxa"/>
            <w:right w:w="0" w:type="dxa"/>
          </w:tblCellMar>
        </w:tblPrEx>
        <w:trPr>
          <w:trHeight w:val="2704" w:hRule="atLeast"/>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6</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lang w:eastAsia="zh-CN"/>
              </w:rPr>
            </w:pPr>
            <w:r>
              <w:rPr>
                <w:rFonts w:hint="eastAsia" w:ascii="仿宋" w:hAnsi="仿宋" w:eastAsia="仿宋" w:cs="仿宋"/>
                <w:b/>
                <w:bCs/>
                <w:kern w:val="0"/>
                <w:sz w:val="32"/>
                <w:szCs w:val="32"/>
              </w:rPr>
              <w:t>兴办产生恶臭、 异味</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噪声污染的修理业、加工业</w:t>
            </w:r>
            <w:r>
              <w:rPr>
                <w:rFonts w:hint="eastAsia" w:ascii="仿宋" w:hAnsi="仿宋" w:eastAsia="仿宋" w:cs="仿宋"/>
                <w:b/>
                <w:bCs/>
                <w:kern w:val="0"/>
                <w:sz w:val="32"/>
                <w:szCs w:val="32"/>
                <w:lang w:eastAsia="zh-CN"/>
              </w:rPr>
              <w:t>等服务</w:t>
            </w:r>
            <w:r>
              <w:rPr>
                <w:rFonts w:hint="eastAsia" w:ascii="仿宋" w:hAnsi="仿宋" w:eastAsia="仿宋" w:cs="仿宋"/>
                <w:b/>
                <w:bCs/>
                <w:kern w:val="0"/>
                <w:sz w:val="32"/>
                <w:szCs w:val="32"/>
              </w:rPr>
              <w:t>企业</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居民区内</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82"/>
              <w:jc w:val="left"/>
              <w:rPr>
                <w:rFonts w:hint="eastAsia" w:ascii="仿宋" w:hAnsi="仿宋" w:eastAsia="仿宋" w:cs="仿宋"/>
                <w:kern w:val="0"/>
                <w:sz w:val="32"/>
                <w:szCs w:val="32"/>
              </w:rPr>
            </w:pPr>
            <w:r>
              <w:rPr>
                <w:rFonts w:hint="eastAsia" w:ascii="仿宋" w:hAnsi="仿宋" w:eastAsia="仿宋" w:cs="仿宋"/>
                <w:b/>
                <w:bCs/>
                <w:kern w:val="0"/>
                <w:sz w:val="32"/>
                <w:szCs w:val="32"/>
              </w:rPr>
              <w:t>《国家环境保护总局、国家工商局关于加强饮食娱乐服务企业环境管理的通知》</w:t>
            </w:r>
            <w:r>
              <w:rPr>
                <w:rFonts w:hint="eastAsia" w:ascii="仿宋" w:hAnsi="仿宋" w:eastAsia="仿宋" w:cs="仿宋"/>
                <w:kern w:val="0"/>
                <w:sz w:val="32"/>
                <w:szCs w:val="32"/>
              </w:rPr>
              <w:t>(环监[1995]100号)：禁止在居民区内兴办产生恶臭、 异味的修理业、加工业等服务企业。</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7</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开办互联网上网服务营业场所</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1.中小学校园</w:t>
            </w:r>
            <w:r>
              <w:rPr>
                <w:rFonts w:hint="eastAsia" w:ascii="仿宋" w:hAnsi="仿宋" w:eastAsia="仿宋" w:cs="仿宋"/>
                <w:kern w:val="0"/>
                <w:sz w:val="32"/>
                <w:szCs w:val="32"/>
                <w:lang w:val="en-US" w:eastAsia="zh-CN"/>
              </w:rPr>
              <w:t>出入口交通行走距离</w:t>
            </w:r>
            <w:r>
              <w:rPr>
                <w:rFonts w:hint="eastAsia" w:ascii="仿宋" w:hAnsi="仿宋" w:eastAsia="仿宋" w:cs="仿宋"/>
                <w:kern w:val="0"/>
                <w:sz w:val="32"/>
                <w:szCs w:val="32"/>
              </w:rPr>
              <w:t>200米范围内；</w:t>
            </w:r>
          </w:p>
          <w:p>
            <w:pPr>
              <w:widowControl/>
              <w:spacing w:line="40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2.居民住宅楼内</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农村乡镇依法取得消防安全手续的合法用房除外</w:t>
            </w:r>
            <w:r>
              <w:rPr>
                <w:rFonts w:hint="eastAsia" w:ascii="仿宋" w:hAnsi="仿宋" w:eastAsia="仿宋" w:cs="仿宋"/>
                <w:kern w:val="0"/>
                <w:sz w:val="32"/>
                <w:szCs w:val="32"/>
                <w:lang w:eastAsia="zh-CN"/>
              </w:rPr>
              <w:t>）；</w:t>
            </w:r>
          </w:p>
          <w:p>
            <w:pPr>
              <w:widowControl/>
              <w:spacing w:line="40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3.学校的房产。</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《互联网上网服务营业场所管理条例》第9条：</w:t>
            </w:r>
            <w:r>
              <w:rPr>
                <w:rFonts w:hint="eastAsia" w:ascii="仿宋" w:hAnsi="仿宋" w:eastAsia="仿宋" w:cs="仿宋"/>
                <w:kern w:val="0"/>
                <w:sz w:val="32"/>
                <w:szCs w:val="32"/>
              </w:rPr>
              <w:t>中学、小学校园周围200米范围内和居民住宅楼（院）内不得设立互联网上网服务营业场所。</w:t>
            </w:r>
          </w:p>
          <w:p>
            <w:pPr>
              <w:widowControl/>
              <w:spacing w:line="400" w:lineRule="exact"/>
              <w:ind w:firstLine="480"/>
              <w:jc w:val="left"/>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《湖北省实施&lt;中华人民共和国未成年人保护法&gt;办法》</w:t>
            </w:r>
            <w:r>
              <w:rPr>
                <w:rFonts w:hint="eastAsia" w:ascii="仿宋" w:hAnsi="仿宋" w:eastAsia="仿宋" w:cs="仿宋"/>
                <w:b/>
                <w:bCs/>
                <w:kern w:val="0"/>
                <w:sz w:val="32"/>
                <w:szCs w:val="32"/>
              </w:rPr>
              <w:t>第29条</w:t>
            </w:r>
            <w:r>
              <w:rPr>
                <w:rFonts w:hint="eastAsia" w:ascii="仿宋" w:hAnsi="仿宋" w:eastAsia="仿宋" w:cs="仿宋"/>
                <w:kern w:val="0"/>
                <w:sz w:val="32"/>
                <w:szCs w:val="32"/>
              </w:rPr>
              <w:t>：中小学校园周边二百米范围内不得开设互联网上网服务营业场所、营业性歌舞娱乐场所等不适宜未成年人活动的场所。</w:t>
            </w:r>
          </w:p>
          <w:p>
            <w:pPr>
              <w:widowControl/>
              <w:spacing w:line="400" w:lineRule="exact"/>
              <w:jc w:val="left"/>
              <w:rPr>
                <w:rFonts w:hint="eastAsia" w:ascii="仿宋" w:hAnsi="仿宋" w:eastAsia="仿宋" w:cs="仿宋"/>
                <w:kern w:val="0"/>
                <w:sz w:val="32"/>
                <w:szCs w:val="32"/>
                <w:lang w:val="en-US" w:eastAsia="en-US"/>
              </w:rPr>
            </w:pPr>
            <w:r>
              <w:rPr>
                <w:rFonts w:hint="eastAsia" w:ascii="仿宋" w:hAnsi="仿宋" w:eastAsia="仿宋" w:cs="仿宋"/>
                <w:kern w:val="0"/>
                <w:sz w:val="32"/>
                <w:szCs w:val="32"/>
                <w:lang w:val="en-US" w:eastAsia="en-US"/>
              </w:rPr>
              <w:t>省文化厅 省工商行政管理局 省公安厅 省通信管理局《关于转发文化部工商总局公安部工业和信息化部加强执法监督完善管理政策促进互联网上网服务行业健康</w:t>
            </w:r>
            <w:r>
              <w:rPr>
                <w:rFonts w:hint="eastAsia" w:ascii="仿宋" w:hAnsi="仿宋" w:eastAsia="仿宋" w:cs="仿宋"/>
                <w:kern w:val="0"/>
                <w:sz w:val="32"/>
                <w:szCs w:val="32"/>
                <w:lang w:val="en-US" w:eastAsia="zh-CN"/>
              </w:rPr>
              <w:t>有</w:t>
            </w:r>
            <w:r>
              <w:rPr>
                <w:rFonts w:hint="eastAsia" w:ascii="仿宋" w:hAnsi="仿宋" w:eastAsia="仿宋" w:cs="仿宋"/>
                <w:kern w:val="0"/>
                <w:sz w:val="32"/>
                <w:szCs w:val="32"/>
                <w:lang w:val="en-US" w:eastAsia="en-US"/>
              </w:rPr>
              <w:t>序发展的通知》</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en-US"/>
              </w:rPr>
              <w:t>文化部等十四部委《关于进一步加强网吧及网络游戏管理工作的通知》</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8</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开办营业性娱乐场所</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（含营业性歌舞厅、电子游戏场所）</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房屋用途中含有住宅建筑内；</w:t>
            </w:r>
          </w:p>
          <w:p>
            <w:pPr>
              <w:widowControl/>
              <w:numPr>
                <w:ilvl w:val="0"/>
                <w:numId w:val="1"/>
              </w:numPr>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博物馆、图书馆和被核定为文物保护单位的建筑物内；</w:t>
            </w:r>
          </w:p>
          <w:p>
            <w:pPr>
              <w:widowControl/>
              <w:numPr>
                <w:ilvl w:val="0"/>
                <w:numId w:val="1"/>
              </w:numPr>
              <w:spacing w:line="400" w:lineRule="exact"/>
              <w:ind w:left="0" w:leftChars="0"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居民住宅区</w:t>
            </w:r>
            <w:r>
              <w:rPr>
                <w:rFonts w:hint="eastAsia" w:ascii="仿宋" w:hAnsi="仿宋" w:eastAsia="仿宋" w:cs="仿宋"/>
                <w:kern w:val="0"/>
                <w:sz w:val="32"/>
                <w:szCs w:val="32"/>
                <w:lang w:eastAsia="zh-CN"/>
              </w:rPr>
              <w:t>；</w:t>
            </w:r>
          </w:p>
          <w:p>
            <w:pPr>
              <w:widowControl/>
              <w:numPr>
                <w:ilvl w:val="0"/>
                <w:numId w:val="1"/>
              </w:numPr>
              <w:spacing w:line="400" w:lineRule="exact"/>
              <w:ind w:left="0" w:leftChars="0"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中小学周边200米范围内</w:t>
            </w:r>
            <w:r>
              <w:rPr>
                <w:rFonts w:hint="eastAsia" w:ascii="仿宋" w:hAnsi="仿宋" w:eastAsia="仿宋" w:cs="仿宋"/>
                <w:kern w:val="0"/>
                <w:sz w:val="32"/>
                <w:szCs w:val="32"/>
              </w:rPr>
              <w:t>；</w:t>
            </w:r>
          </w:p>
          <w:p>
            <w:pPr>
              <w:widowControl/>
              <w:numPr>
                <w:ilvl w:val="0"/>
                <w:numId w:val="1"/>
              </w:numPr>
              <w:spacing w:line="400" w:lineRule="exact"/>
              <w:ind w:left="0" w:leftChars="0"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医院周边50米范围内</w:t>
            </w:r>
          </w:p>
          <w:p>
            <w:pPr>
              <w:widowControl/>
              <w:numPr>
                <w:ilvl w:val="0"/>
                <w:numId w:val="1"/>
              </w:numPr>
              <w:spacing w:line="400" w:lineRule="exact"/>
              <w:ind w:left="0" w:leftChars="0"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各党政机关周边50米范围内</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.车站、机场等人群密集的场所；</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.建筑物地下一层以下</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不含地下一层</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.与危险化学品仓库毗连的区域。</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lang w:eastAsia="zh-CN"/>
              </w:rPr>
            </w:pPr>
            <w:r>
              <w:rPr>
                <w:rFonts w:hint="eastAsia" w:ascii="仿宋" w:hAnsi="仿宋" w:eastAsia="仿宋" w:cs="仿宋"/>
                <w:b/>
                <w:bCs/>
                <w:kern w:val="0"/>
                <w:sz w:val="32"/>
                <w:szCs w:val="32"/>
              </w:rPr>
              <w:t>《娱乐场所管理条例》第7条：</w:t>
            </w:r>
            <w:r>
              <w:rPr>
                <w:rFonts w:hint="eastAsia" w:ascii="仿宋" w:hAnsi="仿宋" w:eastAsia="仿宋" w:cs="仿宋"/>
                <w:kern w:val="0"/>
                <w:sz w:val="32"/>
                <w:szCs w:val="32"/>
              </w:rPr>
              <w:t>娱乐场所不得设在下列地点：（一）居民楼、博物馆、图书馆和被核定为文物保护单位的建筑物内；（二）居民住宅区和学校、医院、机关周围；（三）车站、机场等人群密集的场所；（四）建筑物地下一层以下；（五）与危险化学品仓库毗连的区域</w:t>
            </w:r>
            <w:r>
              <w:rPr>
                <w:rFonts w:hint="eastAsia" w:ascii="仿宋" w:hAnsi="仿宋" w:eastAsia="仿宋" w:cs="仿宋"/>
                <w:kern w:val="0"/>
                <w:sz w:val="32"/>
                <w:szCs w:val="32"/>
                <w:lang w:eastAsia="zh-CN"/>
              </w:rPr>
              <w:t>。</w:t>
            </w:r>
          </w:p>
          <w:p>
            <w:pPr>
              <w:widowControl/>
              <w:spacing w:line="400" w:lineRule="exact"/>
              <w:ind w:firstLine="472"/>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文化部关于贯彻&lt;娱乐场所管理办法&gt;的通知</w:t>
            </w:r>
            <w:r>
              <w:rPr>
                <w:rFonts w:hint="eastAsia" w:ascii="仿宋" w:hAnsi="仿宋" w:eastAsia="仿宋" w:cs="仿宋"/>
                <w:b/>
                <w:bCs/>
                <w:kern w:val="0"/>
                <w:sz w:val="32"/>
                <w:szCs w:val="32"/>
                <w:lang w:eastAsia="zh-CN"/>
              </w:rPr>
              <w:t>》</w:t>
            </w:r>
          </w:p>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《预防未成年人犯罪法》第26条：</w:t>
            </w:r>
            <w:r>
              <w:rPr>
                <w:rFonts w:hint="eastAsia" w:ascii="仿宋" w:hAnsi="仿宋" w:eastAsia="仿宋" w:cs="仿宋"/>
                <w:kern w:val="0"/>
                <w:sz w:val="32"/>
                <w:szCs w:val="32"/>
              </w:rPr>
              <w:t>禁止在中小学校附近开办营业性歌舞厅、营业性电子游戏场所以及其他未成年人不适宜进入的场所。</w:t>
            </w:r>
          </w:p>
          <w:p>
            <w:pPr>
              <w:widowControl/>
              <w:spacing w:line="400" w:lineRule="exact"/>
              <w:ind w:firstLine="480"/>
              <w:jc w:val="left"/>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《湖北省实施&lt;中华人民共和国未成年人保护法&gt;办法》</w:t>
            </w:r>
            <w:r>
              <w:rPr>
                <w:rFonts w:hint="eastAsia" w:ascii="仿宋" w:hAnsi="仿宋" w:eastAsia="仿宋" w:cs="仿宋"/>
                <w:b/>
                <w:bCs/>
                <w:kern w:val="0"/>
                <w:sz w:val="32"/>
                <w:szCs w:val="32"/>
              </w:rPr>
              <w:t>第29条</w:t>
            </w:r>
            <w:r>
              <w:rPr>
                <w:rFonts w:hint="eastAsia" w:ascii="仿宋" w:hAnsi="仿宋" w:eastAsia="仿宋" w:cs="仿宋"/>
                <w:kern w:val="0"/>
                <w:sz w:val="32"/>
                <w:szCs w:val="32"/>
              </w:rPr>
              <w:t>：中小学校园周边二百米范围内不得开设互联网上网服务营业场所、营业性歌舞娱乐场所等不适宜未成年人活动的场所。</w:t>
            </w:r>
          </w:p>
          <w:p>
            <w:pPr>
              <w:widowControl/>
              <w:spacing w:line="400" w:lineRule="exact"/>
              <w:ind w:firstLine="470"/>
              <w:jc w:val="left"/>
              <w:rPr>
                <w:rFonts w:hint="eastAsia" w:ascii="仿宋" w:hAnsi="仿宋" w:eastAsia="仿宋" w:cs="仿宋"/>
                <w:b/>
                <w:bCs/>
                <w:kern w:val="0"/>
                <w:sz w:val="32"/>
                <w:szCs w:val="32"/>
              </w:rPr>
            </w:pPr>
            <w:r>
              <w:rPr>
                <w:rFonts w:hint="eastAsia" w:ascii="仿宋" w:hAnsi="仿宋" w:eastAsia="仿宋" w:cs="仿宋"/>
                <w:kern w:val="0"/>
                <w:sz w:val="32"/>
                <w:szCs w:val="32"/>
              </w:rPr>
              <w:t>《</w:t>
            </w:r>
            <w:r>
              <w:rPr>
                <w:rFonts w:hint="eastAsia" w:ascii="仿宋" w:hAnsi="仿宋" w:eastAsia="仿宋" w:cs="仿宋"/>
                <w:b/>
                <w:bCs/>
                <w:kern w:val="0"/>
                <w:sz w:val="32"/>
                <w:szCs w:val="32"/>
              </w:rPr>
              <w:t>湖北省</w:t>
            </w:r>
            <w:r>
              <w:rPr>
                <w:rFonts w:hint="eastAsia" w:ascii="仿宋" w:hAnsi="仿宋" w:eastAsia="仿宋" w:cs="仿宋"/>
                <w:b/>
                <w:bCs/>
                <w:kern w:val="0"/>
                <w:sz w:val="32"/>
                <w:szCs w:val="32"/>
                <w:lang w:val="en-US" w:eastAsia="zh-CN"/>
              </w:rPr>
              <w:t>文化厅关于贯彻落实&lt;娱乐场所管理办法&gt;的通知</w:t>
            </w:r>
            <w:r>
              <w:rPr>
                <w:rFonts w:hint="eastAsia" w:ascii="仿宋" w:hAnsi="仿宋" w:eastAsia="仿宋" w:cs="仿宋"/>
                <w:b/>
                <w:bCs/>
                <w:kern w:val="0"/>
                <w:sz w:val="32"/>
                <w:szCs w:val="32"/>
              </w:rPr>
              <w:t>》</w:t>
            </w:r>
          </w:p>
          <w:p>
            <w:pPr>
              <w:widowControl/>
              <w:spacing w:line="400" w:lineRule="exact"/>
              <w:ind w:firstLine="470"/>
              <w:jc w:val="left"/>
              <w:rPr>
                <w:rFonts w:hint="eastAsia" w:ascii="仿宋" w:hAnsi="仿宋" w:eastAsia="仿宋" w:cs="仿宋"/>
                <w:b/>
                <w:bCs/>
                <w:kern w:val="0"/>
                <w:sz w:val="32"/>
                <w:szCs w:val="32"/>
              </w:rPr>
            </w:pPr>
          </w:p>
          <w:p>
            <w:pPr>
              <w:widowControl/>
              <w:spacing w:line="400" w:lineRule="exact"/>
              <w:ind w:firstLine="470"/>
              <w:jc w:val="left"/>
              <w:rPr>
                <w:rFonts w:hint="eastAsia" w:ascii="仿宋" w:hAnsi="仿宋" w:eastAsia="仿宋" w:cs="仿宋"/>
                <w:b/>
                <w:bCs/>
                <w:kern w:val="0"/>
                <w:sz w:val="32"/>
                <w:szCs w:val="32"/>
              </w:rPr>
            </w:pPr>
          </w:p>
          <w:p>
            <w:pPr>
              <w:widowControl/>
              <w:spacing w:line="400" w:lineRule="exact"/>
              <w:ind w:firstLine="470"/>
              <w:jc w:val="left"/>
              <w:rPr>
                <w:rFonts w:hint="eastAsia" w:ascii="仿宋" w:hAnsi="仿宋" w:eastAsia="仿宋" w:cs="仿宋"/>
                <w:b/>
                <w:bCs/>
                <w:kern w:val="0"/>
                <w:sz w:val="32"/>
                <w:szCs w:val="32"/>
              </w:rPr>
            </w:pP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9</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开办旅行社</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非营业用房</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《旅行社条例实施细则》第6条</w:t>
            </w:r>
            <w:r>
              <w:rPr>
                <w:rFonts w:hint="eastAsia" w:ascii="仿宋" w:hAnsi="仿宋" w:eastAsia="仿宋" w:cs="仿宋"/>
                <w:kern w:val="0"/>
                <w:sz w:val="32"/>
                <w:szCs w:val="32"/>
              </w:rPr>
              <w:t>：……经营场所应当符合下列要求：（一）申请者拥有产权的营业用房，或者申请者租用的、租期不少于1年的营业用房；（二）营业用房应当满足申请者业务经营的需要。</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10</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b/>
                <w:bCs/>
                <w:kern w:val="0"/>
                <w:sz w:val="32"/>
                <w:szCs w:val="32"/>
              </w:rPr>
              <w:t>开办畜禽</w:t>
            </w:r>
            <w:r>
              <w:rPr>
                <w:rFonts w:hint="eastAsia" w:ascii="仿宋" w:hAnsi="仿宋" w:eastAsia="仿宋" w:cs="仿宋"/>
                <w:b/>
                <w:bCs/>
                <w:kern w:val="0"/>
                <w:sz w:val="32"/>
                <w:szCs w:val="32"/>
                <w:lang w:eastAsia="zh-CN"/>
              </w:rPr>
              <w:t>规模</w:t>
            </w:r>
            <w:r>
              <w:rPr>
                <w:rFonts w:hint="eastAsia" w:ascii="仿宋" w:hAnsi="仿宋" w:eastAsia="仿宋" w:cs="仿宋"/>
                <w:b/>
                <w:bCs/>
                <w:kern w:val="0"/>
                <w:sz w:val="32"/>
                <w:szCs w:val="32"/>
              </w:rPr>
              <w:t>养殖</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1.饮用水水源保护区，风景名胜区；</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2.自然保护区的核心区和缓冲区；</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3.城镇居民区、文化教育科学研究区等人口集中区域；</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4.法律、法规规定的其他禁止养殖区域；</w:t>
            </w:r>
          </w:p>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5.县以上人民政府依法划定的禁养、限养区域；</w:t>
            </w:r>
          </w:p>
          <w:p>
            <w:pPr>
              <w:widowControl/>
              <w:spacing w:line="400" w:lineRule="exact"/>
              <w:jc w:val="left"/>
              <w:rPr>
                <w:rFonts w:hint="eastAsia" w:ascii="仿宋" w:hAnsi="仿宋" w:eastAsia="仿宋" w:cs="仿宋"/>
                <w:kern w:val="0"/>
                <w:sz w:val="32"/>
                <w:szCs w:val="32"/>
                <w:lang w:eastAsia="zh-CN"/>
              </w:rPr>
            </w:pP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72"/>
              <w:jc w:val="left"/>
              <w:rPr>
                <w:rFonts w:hint="eastAsia" w:ascii="仿宋" w:hAnsi="仿宋" w:eastAsia="仿宋" w:cs="仿宋"/>
                <w:kern w:val="0"/>
                <w:sz w:val="32"/>
                <w:szCs w:val="32"/>
              </w:rPr>
            </w:pPr>
            <w:r>
              <w:rPr>
                <w:rFonts w:hint="eastAsia" w:ascii="仿宋" w:hAnsi="仿宋" w:eastAsia="仿宋" w:cs="仿宋"/>
                <w:b/>
                <w:bCs/>
                <w:kern w:val="0"/>
                <w:sz w:val="32"/>
                <w:szCs w:val="32"/>
              </w:rPr>
              <w:t>《畜禽规模养殖污染防治条例》第11条：</w:t>
            </w:r>
            <w:r>
              <w:rPr>
                <w:rFonts w:hint="eastAsia" w:ascii="仿宋" w:hAnsi="仿宋" w:eastAsia="仿宋" w:cs="仿宋"/>
                <w:kern w:val="0"/>
                <w:sz w:val="32"/>
                <w:szCs w:val="32"/>
              </w:rPr>
              <w:t>禁止在下列区域内建设畜禽养殖场、养殖小区：（一）饮用水水源保护区，风景名胜区；（二）自然保护区的核心区和缓冲区；（三）城镇居民区、文化教育科学研究区等人口集中区域；（四）法律、法规规定的其他禁止养殖区域。</w:t>
            </w:r>
          </w:p>
          <w:p>
            <w:pPr>
              <w:widowControl/>
              <w:spacing w:line="400" w:lineRule="exact"/>
              <w:ind w:firstLine="482"/>
              <w:jc w:val="left"/>
              <w:rPr>
                <w:rFonts w:hint="eastAsia" w:ascii="仿宋" w:hAnsi="仿宋" w:eastAsia="仿宋" w:cs="仿宋"/>
                <w:color w:val="FF0000"/>
                <w:kern w:val="0"/>
                <w:sz w:val="32"/>
                <w:szCs w:val="32"/>
              </w:rPr>
            </w:pPr>
            <w:r>
              <w:rPr>
                <w:rFonts w:hint="eastAsia" w:ascii="仿宋" w:hAnsi="仿宋" w:eastAsia="仿宋" w:cs="仿宋"/>
                <w:b/>
                <w:bCs/>
                <w:kern w:val="0"/>
                <w:sz w:val="32"/>
                <w:szCs w:val="32"/>
              </w:rPr>
              <w:t>《湖北省水污染防治条例》第23条：</w:t>
            </w:r>
            <w:r>
              <w:rPr>
                <w:rFonts w:hint="eastAsia" w:ascii="仿宋" w:hAnsi="仿宋" w:eastAsia="仿宋" w:cs="仿宋"/>
                <w:kern w:val="0"/>
                <w:sz w:val="32"/>
                <w:szCs w:val="32"/>
              </w:rPr>
              <w:t>县级以上人民政府应当根据水污染防治规划和区域环境承载能力，依法划定畜禽养殖的禁养区和限养区，并向社会公布。</w:t>
            </w:r>
          </w:p>
          <w:p>
            <w:pPr>
              <w:widowControl/>
              <w:spacing w:line="400" w:lineRule="exact"/>
              <w:ind w:firstLine="482"/>
              <w:jc w:val="left"/>
              <w:rPr>
                <w:rFonts w:hint="eastAsia" w:ascii="仿宋" w:hAnsi="仿宋" w:eastAsia="仿宋" w:cs="仿宋"/>
                <w:kern w:val="0"/>
                <w:sz w:val="32"/>
                <w:szCs w:val="32"/>
              </w:rPr>
            </w:pPr>
            <w:r>
              <w:rPr>
                <w:rFonts w:hint="eastAsia" w:ascii="仿宋" w:hAnsi="仿宋" w:eastAsia="仿宋" w:cs="仿宋"/>
                <w:b/>
                <w:bCs/>
                <w:kern w:val="0"/>
                <w:sz w:val="32"/>
                <w:szCs w:val="32"/>
              </w:rPr>
              <w:t>《湖北省城市市容和环境卫生管理条例》第25条</w:t>
            </w:r>
            <w:r>
              <w:rPr>
                <w:rFonts w:hint="eastAsia" w:ascii="仿宋" w:hAnsi="仿宋" w:eastAsia="仿宋" w:cs="仿宋"/>
                <w:kern w:val="0"/>
                <w:sz w:val="32"/>
                <w:szCs w:val="32"/>
              </w:rPr>
              <w:t>：禁止在设市的市区内饲养鸡、鸭、鹅、兔、羊、猪、食用鸽等家禽家畜。</w:t>
            </w:r>
          </w:p>
          <w:p>
            <w:pPr>
              <w:widowControl/>
              <w:spacing w:line="400" w:lineRule="exact"/>
              <w:ind w:firstLine="482"/>
              <w:jc w:val="left"/>
              <w:rPr>
                <w:rFonts w:hint="eastAsia" w:ascii="仿宋" w:hAnsi="仿宋" w:eastAsia="仿宋" w:cs="仿宋"/>
                <w:kern w:val="0"/>
                <w:sz w:val="32"/>
                <w:szCs w:val="32"/>
              </w:rPr>
            </w:pPr>
            <w:r>
              <w:rPr>
                <w:rFonts w:hint="eastAsia" w:ascii="仿宋" w:hAnsi="仿宋" w:eastAsia="仿宋" w:cs="仿宋"/>
                <w:b/>
                <w:bCs/>
                <w:kern w:val="0"/>
                <w:sz w:val="32"/>
                <w:szCs w:val="32"/>
                <w:lang w:eastAsia="zh-CN"/>
              </w:rPr>
              <w:t>《环境保护部办公厅、农业部办公厅关于印发&lt;畜禽养殖禁养区划定技术指南&gt;的通知》</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color w:val="FF0000"/>
                <w:kern w:val="0"/>
                <w:sz w:val="32"/>
                <w:szCs w:val="32"/>
              </w:rPr>
            </w:pPr>
            <w:r>
              <w:rPr>
                <w:rFonts w:hint="eastAsia" w:ascii="仿宋" w:hAnsi="仿宋" w:eastAsia="仿宋" w:cs="仿宋"/>
                <w:kern w:val="0"/>
                <w:sz w:val="32"/>
                <w:szCs w:val="32"/>
              </w:rPr>
              <w:t>11</w:t>
            </w:r>
          </w:p>
        </w:tc>
        <w:tc>
          <w:tcPr>
            <w:tcW w:w="19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71"/>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私人会所</w:t>
            </w:r>
            <w:r>
              <w:rPr>
                <w:rFonts w:hint="eastAsia" w:ascii="仿宋" w:hAnsi="仿宋" w:eastAsia="仿宋" w:cs="仿宋"/>
                <w:kern w:val="0"/>
                <w:sz w:val="32"/>
                <w:szCs w:val="32"/>
              </w:rPr>
              <w:t>（指改变历史建筑、公园等公共资源属性设立的高档餐饮、休闲、健身、美容、娱乐、住宿、接待等场所，包括实行会员制的场所、只对少数人开放的场所、违规出租经营的场所）</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历史建筑、公园等公共资源中</w:t>
            </w:r>
          </w:p>
        </w:tc>
        <w:tc>
          <w:tcPr>
            <w:tcW w:w="70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ind w:firstLine="482"/>
              <w:jc w:val="left"/>
              <w:rPr>
                <w:rFonts w:hint="eastAsia" w:ascii="仿宋" w:hAnsi="仿宋" w:eastAsia="仿宋" w:cs="仿宋"/>
                <w:kern w:val="0"/>
                <w:sz w:val="32"/>
                <w:szCs w:val="32"/>
              </w:rPr>
            </w:pPr>
            <w:r>
              <w:rPr>
                <w:rFonts w:hint="eastAsia" w:ascii="仿宋" w:hAnsi="仿宋" w:eastAsia="仿宋" w:cs="仿宋"/>
                <w:b/>
                <w:bCs/>
                <w:kern w:val="0"/>
                <w:sz w:val="32"/>
                <w:szCs w:val="32"/>
              </w:rPr>
              <w:t>中共中央办公厅、国务院办公厅《关于严禁在历史建筑、公园等公共资源中设立私人会所的暂行规定》第3条：</w:t>
            </w:r>
            <w:r>
              <w:rPr>
                <w:rFonts w:hint="eastAsia" w:ascii="仿宋" w:hAnsi="仿宋" w:eastAsia="仿宋" w:cs="仿宋"/>
                <w:kern w:val="0"/>
                <w:sz w:val="32"/>
                <w:szCs w:val="32"/>
              </w:rPr>
              <w:t>严禁在历史建筑、公园等公共资源中以自建、租赁、承包、转让、出借、抵押、买断、合资、合作等形式设立私人会所。</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12</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hint="eastAsia" w:ascii="仿宋" w:hAnsi="仿宋" w:eastAsia="仿宋" w:cs="仿宋"/>
                <w:b/>
                <w:kern w:val="0"/>
                <w:sz w:val="32"/>
                <w:szCs w:val="32"/>
              </w:rPr>
            </w:pPr>
            <w:r>
              <w:rPr>
                <w:rFonts w:hint="eastAsia" w:ascii="仿宋" w:hAnsi="仿宋" w:eastAsia="仿宋" w:cs="仿宋"/>
                <w:b/>
                <w:kern w:val="0"/>
                <w:sz w:val="32"/>
                <w:szCs w:val="32"/>
              </w:rPr>
              <w:t>卷烟零售</w:t>
            </w:r>
          </w:p>
        </w:tc>
        <w:tc>
          <w:tcPr>
            <w:tcW w:w="33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中小学校周围</w:t>
            </w:r>
          </w:p>
        </w:tc>
        <w:tc>
          <w:tcPr>
            <w:tcW w:w="70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72" w:firstLineChars="147"/>
              <w:jc w:val="left"/>
              <w:textAlignment w:val="auto"/>
              <w:rPr>
                <w:rFonts w:hint="eastAsia" w:ascii="仿宋" w:hAnsi="仿宋" w:eastAsia="仿宋" w:cs="仿宋"/>
                <w:kern w:val="0"/>
                <w:sz w:val="32"/>
                <w:szCs w:val="32"/>
              </w:rPr>
            </w:pPr>
            <w:r>
              <w:rPr>
                <w:rFonts w:hint="eastAsia" w:ascii="仿宋" w:hAnsi="仿宋" w:eastAsia="仿宋" w:cs="仿宋"/>
                <w:b/>
                <w:kern w:val="0"/>
                <w:sz w:val="32"/>
                <w:szCs w:val="32"/>
              </w:rPr>
              <w:t>《烟草专卖许可证管理办法》</w:t>
            </w:r>
            <w:r>
              <w:rPr>
                <w:rFonts w:hint="eastAsia" w:ascii="仿宋" w:hAnsi="仿宋" w:eastAsia="仿宋" w:cs="仿宋"/>
                <w:kern w:val="0"/>
                <w:sz w:val="32"/>
                <w:szCs w:val="32"/>
              </w:rPr>
              <w:t>第十</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条：</w:t>
            </w:r>
            <w:r>
              <w:rPr>
                <w:rFonts w:hint="eastAsia" w:ascii="仿宋" w:hAnsi="仿宋" w:eastAsia="仿宋" w:cs="仿宋"/>
                <w:color w:val="000000"/>
                <w:sz w:val="32"/>
                <w:szCs w:val="32"/>
                <w:shd w:val="clear" w:color="auto" w:fill="FFFFFF"/>
              </w:rPr>
              <w:t>申请烟草专卖零售许可证，应当具备下列条件：</w:t>
            </w:r>
            <w:r>
              <w:rPr>
                <w:rFonts w:hint="eastAsia" w:ascii="仿宋" w:hAnsi="仿宋" w:eastAsia="仿宋" w:cs="仿宋"/>
                <w:kern w:val="0"/>
                <w:sz w:val="32"/>
                <w:szCs w:val="32"/>
              </w:rPr>
              <w:t>……</w:t>
            </w:r>
            <w:r>
              <w:rPr>
                <w:rFonts w:hint="eastAsia" w:ascii="仿宋" w:hAnsi="仿宋" w:eastAsia="仿宋" w:cs="仿宋"/>
                <w:color w:val="000000"/>
                <w:sz w:val="32"/>
                <w:szCs w:val="32"/>
                <w:shd w:val="clear" w:color="auto" w:fill="FFFFFF"/>
              </w:rPr>
              <w:t>（三）符合当地烟草制品零售点合理布局的要求；</w:t>
            </w:r>
            <w:r>
              <w:rPr>
                <w:rFonts w:hint="eastAsia" w:ascii="仿宋" w:hAnsi="仿宋" w:eastAsia="仿宋" w:cs="仿宋"/>
                <w:kern w:val="0"/>
                <w:sz w:val="32"/>
                <w:szCs w:val="32"/>
              </w:rPr>
              <w:t>第二十</w:t>
            </w:r>
            <w:r>
              <w:rPr>
                <w:rFonts w:hint="eastAsia" w:ascii="仿宋" w:hAnsi="仿宋" w:eastAsia="仿宋" w:cs="仿宋"/>
                <w:kern w:val="0"/>
                <w:sz w:val="32"/>
                <w:szCs w:val="32"/>
                <w:lang w:eastAsia="zh-CN"/>
              </w:rPr>
              <w:t>五</w:t>
            </w:r>
            <w:r>
              <w:rPr>
                <w:rFonts w:hint="eastAsia" w:ascii="仿宋" w:hAnsi="仿宋" w:eastAsia="仿宋" w:cs="仿宋"/>
                <w:kern w:val="0"/>
                <w:sz w:val="32"/>
                <w:szCs w:val="32"/>
              </w:rPr>
              <w:t>条：</w:t>
            </w:r>
            <w:r>
              <w:rPr>
                <w:rFonts w:hint="eastAsia" w:ascii="仿宋" w:hAnsi="仿宋" w:eastAsia="仿宋" w:cs="仿宋"/>
                <w:color w:val="000000"/>
                <w:sz w:val="32"/>
                <w:szCs w:val="32"/>
                <w:shd w:val="clear" w:color="auto" w:fill="FFFFFF"/>
              </w:rPr>
              <w:t>有下列情形之一的，不予发放烟草专卖零售许可证：（一）经营场所基于安全因素不适宜经营卷烟的；（二）中、小学校周围；</w:t>
            </w:r>
            <w:r>
              <w:rPr>
                <w:rFonts w:hint="eastAsia" w:ascii="仿宋" w:hAnsi="仿宋" w:eastAsia="仿宋" w:cs="仿宋"/>
                <w:kern w:val="0"/>
                <w:sz w:val="32"/>
                <w:szCs w:val="32"/>
              </w:rPr>
              <w:t>……</w:t>
            </w:r>
          </w:p>
        </w:tc>
      </w:tr>
      <w:tr>
        <w:tblPrEx>
          <w:tblCellMar>
            <w:top w:w="0" w:type="dxa"/>
            <w:left w:w="0" w:type="dxa"/>
            <w:bottom w:w="0" w:type="dxa"/>
            <w:right w:w="0" w:type="dxa"/>
          </w:tblCellMar>
        </w:tblPrEx>
        <w:trPr>
          <w:jc w:val="center"/>
        </w:trPr>
        <w:tc>
          <w:tcPr>
            <w:tcW w:w="591"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240" w:line="480" w:lineRule="atLeast"/>
              <w:jc w:val="center"/>
              <w:rPr>
                <w:rFonts w:hint="eastAsia" w:ascii="仿宋" w:hAnsi="仿宋" w:eastAsia="仿宋" w:cs="仿宋"/>
                <w:kern w:val="0"/>
                <w:sz w:val="32"/>
                <w:szCs w:val="32"/>
              </w:rPr>
            </w:pPr>
            <w:r>
              <w:rPr>
                <w:rFonts w:hint="eastAsia" w:ascii="仿宋" w:hAnsi="仿宋" w:eastAsia="仿宋" w:cs="仿宋"/>
                <w:kern w:val="0"/>
                <w:sz w:val="32"/>
                <w:szCs w:val="32"/>
              </w:rPr>
              <w:t>13</w:t>
            </w:r>
          </w:p>
        </w:tc>
        <w:tc>
          <w:tcPr>
            <w:tcW w:w="1918"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240" w:line="480" w:lineRule="atLeas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餐饮服务</w:t>
            </w:r>
          </w:p>
        </w:tc>
        <w:tc>
          <w:tcPr>
            <w:tcW w:w="331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line="400" w:lineRule="exact"/>
              <w:ind w:firstLine="265" w:firstLineChars="83"/>
              <w:textAlignment w:val="auto"/>
              <w:rPr>
                <w:rFonts w:hint="eastAsia" w:ascii="仿宋" w:hAnsi="仿宋" w:eastAsia="仿宋" w:cs="仿宋"/>
                <w:kern w:val="0"/>
                <w:sz w:val="32"/>
                <w:szCs w:val="32"/>
              </w:rPr>
            </w:pPr>
            <w:r>
              <w:rPr>
                <w:rFonts w:hint="eastAsia" w:ascii="仿宋" w:hAnsi="仿宋" w:eastAsia="仿宋" w:cs="仿宋"/>
                <w:kern w:val="0"/>
                <w:sz w:val="32"/>
                <w:szCs w:val="32"/>
              </w:rPr>
              <w:t>食品加工和餐饮服务业与有毒、有害场所以及其他污染源保持25米的距离。</w:t>
            </w:r>
          </w:p>
        </w:tc>
        <w:tc>
          <w:tcPr>
            <w:tcW w:w="7018" w:type="dxa"/>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kinsoku/>
              <w:wordWrap/>
              <w:overflowPunct/>
              <w:topLinePunct w:val="0"/>
              <w:autoSpaceDE/>
              <w:autoSpaceDN/>
              <w:bidi w:val="0"/>
              <w:adjustRightInd/>
              <w:snapToGrid/>
              <w:spacing w:beforeAutospacing="0" w:line="400" w:lineRule="exact"/>
              <w:ind w:firstLine="482"/>
              <w:jc w:val="left"/>
              <w:textAlignment w:val="auto"/>
              <w:rPr>
                <w:rFonts w:hint="eastAsia" w:ascii="仿宋" w:hAnsi="仿宋" w:eastAsia="仿宋" w:cs="仿宋"/>
                <w:b/>
                <w:bCs/>
                <w:color w:val="35A543"/>
                <w:kern w:val="0"/>
                <w:sz w:val="32"/>
                <w:szCs w:val="32"/>
              </w:rPr>
            </w:pPr>
            <w:r>
              <w:rPr>
                <w:rFonts w:hint="eastAsia" w:ascii="仿宋" w:hAnsi="仿宋" w:eastAsia="仿宋" w:cs="仿宋"/>
                <w:b/>
                <w:kern w:val="0"/>
                <w:sz w:val="32"/>
                <w:szCs w:val="32"/>
              </w:rPr>
              <w:t>《湖北省餐饮服务许可管理实施细则（试行）》(鄂食药监文〔2012〕70号)</w:t>
            </w:r>
            <w:r>
              <w:rPr>
                <w:rFonts w:hint="eastAsia" w:ascii="仿宋" w:hAnsi="仿宋" w:eastAsia="仿宋" w:cs="仿宋"/>
                <w:color w:val="000000"/>
                <w:sz w:val="32"/>
                <w:szCs w:val="32"/>
                <w:shd w:val="clear" w:color="auto" w:fill="FFFFFF"/>
              </w:rPr>
              <w:t>第十条 申请人向食品药品监督管理部门提出餐饮服务许可申请应当具备以下基本条件：……（二）具有与制作供应的食品品种、数量相适应的食品原料处理和食品加工、贮存等场所，保持该场所环境整洁，并与有毒、有害场所以及其他污染源保持25米的距离…</w:t>
            </w:r>
            <w:r>
              <w:rPr>
                <w:rFonts w:hint="eastAsia" w:ascii="仿宋" w:hAnsi="仿宋" w:eastAsia="仿宋" w:cs="仿宋"/>
                <w:kern w:val="0"/>
                <w:sz w:val="32"/>
                <w:szCs w:val="32"/>
              </w:rPr>
              <w:t>…</w:t>
            </w:r>
          </w:p>
        </w:tc>
      </w:tr>
    </w:tbl>
    <w:p>
      <w:pPr>
        <w:pStyle w:val="5"/>
        <w:autoSpaceDN w:val="0"/>
        <w:spacing w:line="560" w:lineRule="exact"/>
        <w:rPr>
          <w:rFonts w:hint="eastAsia" w:ascii="仿宋" w:hAnsi="仿宋" w:eastAsia="仿宋" w:cs="仿宋"/>
          <w:color w:val="000000"/>
          <w:sz w:val="32"/>
          <w:szCs w:val="32"/>
          <w:shd w:val="clear" w:color="auto" w:fill="FFFFFF"/>
          <w:lang w:eastAsia="zh-CN"/>
        </w:rPr>
        <w:sectPr>
          <w:pgSz w:w="16838" w:h="11906" w:orient="landscape"/>
          <w:pgMar w:top="1803" w:right="1440" w:bottom="1803" w:left="1440" w:header="851" w:footer="992" w:gutter="0"/>
          <w:cols w:space="720" w:num="1"/>
          <w:rtlGutter w:val="0"/>
          <w:docGrid w:type="lines" w:linePitch="319" w:charSpace="0"/>
        </w:sectPr>
      </w:pPr>
      <w:r>
        <w:rPr>
          <w:rFonts w:hint="eastAsia" w:ascii="仿宋" w:hAnsi="仿宋" w:eastAsia="仿宋" w:cs="仿宋"/>
          <w:color w:val="000000"/>
          <w:sz w:val="32"/>
          <w:szCs w:val="32"/>
          <w:shd w:val="clear" w:color="auto" w:fill="FFFFFF"/>
        </w:rPr>
        <w:t>注：本清单将根据法定禁设依据的变化，及时进行调整。其他依法有明确规定的，按有关规定执行</w:t>
      </w:r>
      <w:r>
        <w:rPr>
          <w:rFonts w:hint="eastAsia" w:ascii="仿宋" w:hAnsi="仿宋" w:eastAsia="仿宋" w:cs="仿宋"/>
          <w:color w:val="000000"/>
          <w:sz w:val="32"/>
          <w:szCs w:val="32"/>
          <w:shd w:val="clear" w:color="auto" w:fill="FFFFFF"/>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3842"/>
    <w:multiLevelType w:val="singleLevel"/>
    <w:tmpl w:val="E35A38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FF7C19"/>
    <w:rsid w:val="ECFF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 w:type="paragraph" w:customStyle="1" w:styleId="5">
    <w:name w:val="p0"/>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2021-08-26T14:13:00Z</dcterms:created>
  <dc:creator>greatwall</dc:creator>
  <cp:lastModifiedBy>greatwall</cp:lastModifiedBy>
  <dcterms:modified xsi:type="dcterms:W3CDTF">2021-08-26T14:14:17Z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